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4C8A" w14:textId="483036A8" w:rsidR="00A5614F" w:rsidRPr="00334610" w:rsidRDefault="00A5614F" w:rsidP="00A5614F">
      <w:pPr>
        <w:pStyle w:val="Title"/>
        <w:jc w:val="center"/>
        <w:rPr>
          <w:b/>
          <w:kern w:val="28"/>
          <w:sz w:val="32"/>
          <w:szCs w:val="32"/>
        </w:rPr>
      </w:pPr>
      <w:r w:rsidRPr="00334610">
        <w:rPr>
          <w:b/>
          <w:kern w:val="28"/>
          <w:sz w:val="32"/>
          <w:szCs w:val="32"/>
        </w:rPr>
        <w:t xml:space="preserve">Supplementary Material for Integrated </w:t>
      </w:r>
      <w:proofErr w:type="spellStart"/>
      <w:r w:rsidRPr="00334610">
        <w:rPr>
          <w:b/>
          <w:kern w:val="28"/>
          <w:sz w:val="32"/>
          <w:szCs w:val="32"/>
        </w:rPr>
        <w:t>exposomic</w:t>
      </w:r>
      <w:proofErr w:type="spellEnd"/>
      <w:r w:rsidRPr="00334610">
        <w:rPr>
          <w:b/>
          <w:kern w:val="28"/>
          <w:sz w:val="32"/>
          <w:szCs w:val="32"/>
        </w:rPr>
        <w:t xml:space="preserve"> analysis of lipid phenotypes: leveraging </w:t>
      </w:r>
      <w:proofErr w:type="spellStart"/>
      <w:r w:rsidRPr="00334610">
        <w:rPr>
          <w:b/>
          <w:kern w:val="28"/>
          <w:sz w:val="32"/>
          <w:szCs w:val="32"/>
        </w:rPr>
        <w:t>GE.db</w:t>
      </w:r>
      <w:proofErr w:type="spellEnd"/>
      <w:r w:rsidRPr="00334610">
        <w:rPr>
          <w:b/>
          <w:kern w:val="28"/>
          <w:sz w:val="32"/>
          <w:szCs w:val="32"/>
        </w:rPr>
        <w:t xml:space="preserve"> in </w:t>
      </w:r>
      <w:proofErr w:type="gramStart"/>
      <w:r w:rsidRPr="00334610">
        <w:rPr>
          <w:b/>
          <w:kern w:val="28"/>
          <w:sz w:val="32"/>
          <w:szCs w:val="32"/>
        </w:rPr>
        <w:t>environment by environment</w:t>
      </w:r>
      <w:proofErr w:type="gramEnd"/>
      <w:r w:rsidRPr="00334610">
        <w:rPr>
          <w:b/>
          <w:kern w:val="28"/>
          <w:sz w:val="32"/>
          <w:szCs w:val="32"/>
        </w:rPr>
        <w:t xml:space="preserve"> association studies</w:t>
      </w:r>
    </w:p>
    <w:p w14:paraId="0AE2968C" w14:textId="77777777" w:rsidR="00A5614F" w:rsidRPr="00A5614F" w:rsidRDefault="00A5614F" w:rsidP="00A5614F"/>
    <w:p w14:paraId="2A183009" w14:textId="77777777" w:rsidR="00A5614F" w:rsidRDefault="00A5614F" w:rsidP="00A5614F">
      <w:pPr>
        <w:pStyle w:val="Author"/>
      </w:pPr>
      <w:r>
        <w:t>ANDRE LUIS GARAO RICO and NICOLE PALMIERO</w:t>
      </w:r>
    </w:p>
    <w:p w14:paraId="7CF7A44E" w14:textId="77777777" w:rsidR="00A5614F" w:rsidRDefault="00A5614F" w:rsidP="00A5614F">
      <w:pPr>
        <w:pStyle w:val="Affiliation"/>
      </w:pPr>
      <w:r>
        <w:t xml:space="preserve">Department of Genomics, University of Pennsylvania, </w:t>
      </w:r>
      <w:r w:rsidRPr="00F2351F">
        <w:t>3700 Hamilton Walk</w:t>
      </w:r>
      <w:r>
        <w:br/>
        <w:t>Philadelphia, PA 19104, USA</w:t>
      </w:r>
      <w:r>
        <w:br/>
        <w:t>Email: andreluis.rico@pennmedicine.upenn.edu</w:t>
      </w:r>
    </w:p>
    <w:p w14:paraId="436738C6" w14:textId="77777777" w:rsidR="00A5614F" w:rsidRDefault="00A5614F" w:rsidP="00A5614F">
      <w:pPr>
        <w:pStyle w:val="Author"/>
      </w:pPr>
      <w:r>
        <w:t>MARYLYN D. RITCHIE</w:t>
      </w:r>
    </w:p>
    <w:p w14:paraId="69F9E81B" w14:textId="77777777" w:rsidR="00A5614F" w:rsidRDefault="00A5614F" w:rsidP="00A5614F">
      <w:pPr>
        <w:pStyle w:val="Affiliation"/>
      </w:pPr>
      <w:r>
        <w:t xml:space="preserve">Department of Genomics, University of Pennsylvania, </w:t>
      </w:r>
      <w:r w:rsidRPr="00F2351F">
        <w:t>3700 Hamilton Walk</w:t>
      </w:r>
      <w:r>
        <w:br/>
        <w:t>Philadelphia, PA 19104, USA</w:t>
      </w:r>
      <w:r>
        <w:br/>
        <w:t>Email: marylyn@pennmedicine.upenn.edu</w:t>
      </w:r>
    </w:p>
    <w:p w14:paraId="334A4E64" w14:textId="77777777" w:rsidR="00A5614F" w:rsidRDefault="00A5614F" w:rsidP="00A5614F">
      <w:pPr>
        <w:pStyle w:val="Author"/>
      </w:pPr>
      <w:r>
        <w:t>MOLLY A. HALL</w:t>
      </w:r>
    </w:p>
    <w:p w14:paraId="44AE3276" w14:textId="77777777" w:rsidR="00A5614F" w:rsidRPr="00F2351F" w:rsidRDefault="00A5614F" w:rsidP="00A5614F">
      <w:pPr>
        <w:pStyle w:val="Affiliation"/>
      </w:pPr>
      <w:r>
        <w:t xml:space="preserve">Department of Genomics, University of Pennsylvania, </w:t>
      </w:r>
      <w:r w:rsidRPr="00F2351F">
        <w:t>3700 Hamilton Walk</w:t>
      </w:r>
      <w:r>
        <w:br/>
        <w:t>Philadelphia, PA 19104, USA</w:t>
      </w:r>
      <w:r>
        <w:br/>
        <w:t>Email: molly.hall@pennmedicne.upenn.edu</w:t>
      </w:r>
    </w:p>
    <w:p w14:paraId="198BD213" w14:textId="77777777" w:rsidR="00A5614F" w:rsidRPr="00A5614F" w:rsidRDefault="00A5614F" w:rsidP="00A5614F">
      <w:pPr>
        <w:rPr>
          <w:szCs w:val="20"/>
        </w:rPr>
      </w:pPr>
    </w:p>
    <w:p w14:paraId="44AD3092" w14:textId="77777777" w:rsidR="00334610" w:rsidRDefault="00334610" w:rsidP="00334610">
      <w:pPr>
        <w:rPr>
          <w:b/>
          <w:bCs/>
          <w:sz w:val="28"/>
        </w:rPr>
      </w:pPr>
    </w:p>
    <w:p w14:paraId="378DBA02" w14:textId="77777777" w:rsidR="00334610" w:rsidRDefault="00334610" w:rsidP="00334610">
      <w:pPr>
        <w:rPr>
          <w:b/>
          <w:bCs/>
          <w:sz w:val="28"/>
        </w:rPr>
      </w:pPr>
    </w:p>
    <w:p w14:paraId="02F88838" w14:textId="432D2FC0" w:rsidR="00334610" w:rsidRPr="00334610" w:rsidRDefault="00334610" w:rsidP="00334610">
      <w:pPr>
        <w:rPr>
          <w:b/>
          <w:bCs/>
          <w:sz w:val="28"/>
          <w:szCs w:val="28"/>
        </w:rPr>
      </w:pPr>
      <w:r w:rsidRPr="00334610">
        <w:rPr>
          <w:b/>
          <w:bCs/>
          <w:sz w:val="28"/>
          <w:szCs w:val="28"/>
        </w:rPr>
        <w:t>Contents of This File</w:t>
      </w:r>
    </w:p>
    <w:p w14:paraId="138E793B" w14:textId="77777777" w:rsidR="00334610" w:rsidRPr="00334610" w:rsidRDefault="00334610" w:rsidP="00334610">
      <w:pPr>
        <w:numPr>
          <w:ilvl w:val="0"/>
          <w:numId w:val="3"/>
        </w:numPr>
        <w:spacing w:before="100" w:beforeAutospacing="1" w:after="120" w:line="276" w:lineRule="auto"/>
        <w:rPr>
          <w:b/>
          <w:bCs/>
          <w:szCs w:val="20"/>
        </w:rPr>
      </w:pPr>
      <w:r w:rsidRPr="00334610">
        <w:rPr>
          <w:b/>
          <w:bCs/>
          <w:szCs w:val="20"/>
        </w:rPr>
        <w:t>Introduction</w:t>
      </w:r>
    </w:p>
    <w:p w14:paraId="5BCD7858" w14:textId="77777777" w:rsidR="00334610" w:rsidRPr="00334610" w:rsidRDefault="00334610" w:rsidP="00334610">
      <w:pPr>
        <w:numPr>
          <w:ilvl w:val="0"/>
          <w:numId w:val="3"/>
        </w:numPr>
        <w:spacing w:before="100" w:beforeAutospacing="1" w:after="120" w:line="276" w:lineRule="auto"/>
        <w:rPr>
          <w:szCs w:val="20"/>
        </w:rPr>
      </w:pPr>
      <w:r w:rsidRPr="00334610">
        <w:rPr>
          <w:b/>
          <w:bCs/>
          <w:szCs w:val="20"/>
        </w:rPr>
        <w:t>Figure S-1</w:t>
      </w:r>
      <w:r w:rsidRPr="00334610">
        <w:rPr>
          <w:szCs w:val="20"/>
        </w:rPr>
        <w:t>: Bar charts showing the sample counts by survey cycle of participants who either did or did not have cholesterol data and if they took cholesterol medications.</w:t>
      </w:r>
    </w:p>
    <w:p w14:paraId="748EA361" w14:textId="77777777" w:rsidR="00334610" w:rsidRPr="00334610" w:rsidRDefault="00334610" w:rsidP="00334610">
      <w:pPr>
        <w:numPr>
          <w:ilvl w:val="0"/>
          <w:numId w:val="3"/>
        </w:numPr>
        <w:spacing w:before="100" w:beforeAutospacing="1" w:after="120" w:line="276" w:lineRule="auto"/>
        <w:rPr>
          <w:szCs w:val="20"/>
        </w:rPr>
      </w:pPr>
      <w:r w:rsidRPr="00334610">
        <w:rPr>
          <w:b/>
          <w:bCs/>
          <w:szCs w:val="20"/>
        </w:rPr>
        <w:t>Figure S-2</w:t>
      </w:r>
      <w:r w:rsidRPr="00334610">
        <w:rPr>
          <w:szCs w:val="20"/>
        </w:rPr>
        <w:t>: Bar chart featuring only the samples who used cholesterol medication organized by survey cycle.</w:t>
      </w:r>
    </w:p>
    <w:p w14:paraId="1F1EB128" w14:textId="77777777" w:rsidR="00334610" w:rsidRPr="00334610" w:rsidRDefault="00334610" w:rsidP="00334610">
      <w:pPr>
        <w:numPr>
          <w:ilvl w:val="0"/>
          <w:numId w:val="3"/>
        </w:numPr>
        <w:spacing w:before="100" w:beforeAutospacing="1" w:after="120" w:line="276" w:lineRule="auto"/>
        <w:rPr>
          <w:szCs w:val="20"/>
        </w:rPr>
      </w:pPr>
      <w:r w:rsidRPr="00334610">
        <w:rPr>
          <w:b/>
          <w:bCs/>
          <w:szCs w:val="20"/>
        </w:rPr>
        <w:t>Figure S-3</w:t>
      </w:r>
      <w:r w:rsidRPr="00334610">
        <w:rPr>
          <w:szCs w:val="20"/>
        </w:rPr>
        <w:t>: Histograms displaying the frequencies before and after log transformation of the lipid phenotypes in the discovery and replication datasets.</w:t>
      </w:r>
    </w:p>
    <w:p w14:paraId="777F1B2D" w14:textId="77777777" w:rsidR="00334610" w:rsidRPr="00334610" w:rsidRDefault="00334610" w:rsidP="00334610">
      <w:pPr>
        <w:numPr>
          <w:ilvl w:val="0"/>
          <w:numId w:val="3"/>
        </w:numPr>
        <w:spacing w:before="100" w:beforeAutospacing="1" w:after="120" w:line="276" w:lineRule="auto"/>
        <w:rPr>
          <w:szCs w:val="20"/>
        </w:rPr>
      </w:pPr>
      <w:r w:rsidRPr="00334610">
        <w:rPr>
          <w:b/>
          <w:bCs/>
          <w:szCs w:val="20"/>
        </w:rPr>
        <w:t>Table S-1:</w:t>
      </w:r>
      <w:r w:rsidRPr="00334610">
        <w:rPr>
          <w:szCs w:val="20"/>
        </w:rPr>
        <w:t xml:space="preserve"> All twenty-one Bonferroni adjusted p &lt; 0.05 significant interactions listing their p-values, sample sizes, full interaction beta, and full main-effect betas.</w:t>
      </w:r>
    </w:p>
    <w:p w14:paraId="55A6F352" w14:textId="788B6C31" w:rsidR="00A5614F" w:rsidRDefault="00A5614F">
      <w:pPr>
        <w:rPr>
          <w:b/>
          <w:bCs/>
          <w:szCs w:val="21"/>
        </w:rPr>
      </w:pPr>
    </w:p>
    <w:p w14:paraId="0EEF08BF" w14:textId="77777777" w:rsidR="00334610" w:rsidRDefault="00334610">
      <w:pPr>
        <w:spacing w:line="276" w:lineRule="auto"/>
        <w:rPr>
          <w:b/>
          <w:bCs/>
          <w:sz w:val="28"/>
        </w:rPr>
      </w:pPr>
      <w:r>
        <w:rPr>
          <w:b/>
          <w:bCs/>
          <w:sz w:val="28"/>
        </w:rPr>
        <w:br w:type="page"/>
      </w:r>
    </w:p>
    <w:p w14:paraId="2BB45976" w14:textId="3B538A57" w:rsidR="00A5614F" w:rsidRPr="00953858" w:rsidRDefault="00A5614F" w:rsidP="00A5614F">
      <w:pPr>
        <w:rPr>
          <w:b/>
          <w:bCs/>
          <w:sz w:val="28"/>
        </w:rPr>
      </w:pPr>
      <w:r w:rsidRPr="00953858">
        <w:rPr>
          <w:b/>
          <w:bCs/>
          <w:sz w:val="28"/>
        </w:rPr>
        <w:lastRenderedPageBreak/>
        <w:t>Introduction</w:t>
      </w:r>
    </w:p>
    <w:p w14:paraId="40D8D71D" w14:textId="77777777" w:rsidR="00A5614F" w:rsidRPr="00A5614F" w:rsidRDefault="00A5614F" w:rsidP="00334610">
      <w:pPr>
        <w:jc w:val="both"/>
        <w:rPr>
          <w:szCs w:val="20"/>
        </w:rPr>
      </w:pPr>
    </w:p>
    <w:p w14:paraId="59C145CE" w14:textId="77777777" w:rsidR="00A5614F" w:rsidRPr="00A5614F" w:rsidRDefault="00A5614F" w:rsidP="00334610">
      <w:pPr>
        <w:spacing w:line="276" w:lineRule="auto"/>
        <w:jc w:val="both"/>
        <w:rPr>
          <w:szCs w:val="20"/>
        </w:rPr>
      </w:pPr>
      <w:r w:rsidRPr="00A5614F">
        <w:rPr>
          <w:szCs w:val="20"/>
        </w:rPr>
        <w:t xml:space="preserve">This document provides supplementary materials for the paper titled "Integrated </w:t>
      </w:r>
      <w:proofErr w:type="spellStart"/>
      <w:r w:rsidRPr="00A5614F">
        <w:rPr>
          <w:szCs w:val="20"/>
        </w:rPr>
        <w:t>Exposomic</w:t>
      </w:r>
      <w:proofErr w:type="spellEnd"/>
      <w:r w:rsidRPr="00A5614F">
        <w:rPr>
          <w:szCs w:val="20"/>
        </w:rPr>
        <w:t xml:space="preserve"> Analysis of Lipid Phenotypes: Leveraging </w:t>
      </w:r>
      <w:proofErr w:type="spellStart"/>
      <w:r w:rsidRPr="00A5614F">
        <w:rPr>
          <w:szCs w:val="20"/>
        </w:rPr>
        <w:t>GE.db</w:t>
      </w:r>
      <w:proofErr w:type="spellEnd"/>
      <w:r w:rsidRPr="00A5614F">
        <w:rPr>
          <w:szCs w:val="20"/>
        </w:rPr>
        <w:t xml:space="preserve"> in </w:t>
      </w:r>
      <w:proofErr w:type="gramStart"/>
      <w:r w:rsidRPr="00A5614F">
        <w:rPr>
          <w:szCs w:val="20"/>
        </w:rPr>
        <w:t>Environment by Environment</w:t>
      </w:r>
      <w:proofErr w:type="gramEnd"/>
      <w:r w:rsidRPr="00A5614F">
        <w:rPr>
          <w:szCs w:val="20"/>
        </w:rPr>
        <w:t xml:space="preserve"> Association Studies." The supplementary materials include additional figures and tables that support the findings presented in the main paper. These materials provide further details on the data, methods, and results, including extended descriptions of results and full details of models used in the study. The data were collected from the National Health and Nutrition Examination Survey (NHANES) spanning from 1999 to 2018. Known imperfections and anomalies in the data are discussed, including the limitations of self-reported data and adjustments made for cholesterol-lowering medications.</w:t>
      </w:r>
    </w:p>
    <w:p w14:paraId="669FDA9B" w14:textId="77777777" w:rsidR="00A5614F" w:rsidRPr="00A5614F" w:rsidRDefault="00A5614F" w:rsidP="00A5614F">
      <w:pPr>
        <w:rPr>
          <w:szCs w:val="20"/>
        </w:rPr>
      </w:pPr>
    </w:p>
    <w:p w14:paraId="146B1A00" w14:textId="77777777" w:rsidR="00A5614F" w:rsidRPr="00A5614F" w:rsidRDefault="00A5614F" w:rsidP="00A5614F">
      <w:pPr>
        <w:rPr>
          <w:szCs w:val="20"/>
        </w:rPr>
      </w:pPr>
    </w:p>
    <w:p w14:paraId="6F94076F" w14:textId="77777777" w:rsidR="00953858" w:rsidRDefault="00953858">
      <w:pPr>
        <w:rPr>
          <w:b/>
          <w:bCs/>
          <w:sz w:val="28"/>
        </w:rPr>
      </w:pPr>
      <w:r>
        <w:rPr>
          <w:b/>
          <w:bCs/>
          <w:sz w:val="28"/>
        </w:rPr>
        <w:br w:type="page"/>
      </w:r>
    </w:p>
    <w:p w14:paraId="4CF2F0E4" w14:textId="43DEB98B" w:rsidR="00A5614F" w:rsidRPr="0073496D" w:rsidRDefault="00A5614F" w:rsidP="0073496D">
      <w:pPr>
        <w:spacing w:line="276" w:lineRule="auto"/>
      </w:pPr>
      <w:r w:rsidRPr="0073496D">
        <w:rPr>
          <w:b/>
          <w:bCs/>
        </w:rPr>
        <w:lastRenderedPageBreak/>
        <w:t>Fig</w:t>
      </w:r>
      <w:r w:rsidR="007A14D3" w:rsidRPr="0073496D">
        <w:rPr>
          <w:b/>
          <w:bCs/>
        </w:rPr>
        <w:t>ure</w:t>
      </w:r>
      <w:r w:rsidRPr="0073496D">
        <w:rPr>
          <w:b/>
          <w:bCs/>
        </w:rPr>
        <w:t xml:space="preserve"> S-1</w:t>
      </w:r>
      <w:r w:rsidR="00334610" w:rsidRPr="0073496D">
        <w:t>:</w:t>
      </w:r>
      <w:r w:rsidR="007A14D3" w:rsidRPr="0073496D">
        <w:t xml:space="preserve"> Bar charts showing the sample counts by survey cycle of participants who either did or did not have cholesterol data and if they took cholesterol medications.</w:t>
      </w:r>
    </w:p>
    <w:p w14:paraId="5FE42320" w14:textId="77777777" w:rsidR="007A14D3" w:rsidRPr="00A5614F" w:rsidRDefault="007A14D3" w:rsidP="00A5614F">
      <w:pPr>
        <w:rPr>
          <w:szCs w:val="20"/>
        </w:rPr>
      </w:pPr>
    </w:p>
    <w:p w14:paraId="6302A219" w14:textId="670D6562" w:rsidR="007A14D3" w:rsidRDefault="00334610" w:rsidP="007A14D3">
      <w:pPr>
        <w:jc w:val="center"/>
        <w:rPr>
          <w:szCs w:val="20"/>
        </w:rPr>
      </w:pPr>
      <w:r w:rsidRPr="00334610">
        <w:rPr>
          <w:szCs w:val="20"/>
        </w:rPr>
        <w:drawing>
          <wp:inline distT="0" distB="0" distL="0" distR="0" wp14:anchorId="07F7508C" wp14:editId="23D004E4">
            <wp:extent cx="5943600" cy="2949575"/>
            <wp:effectExtent l="0" t="0" r="0" b="0"/>
            <wp:docPr id="1093822820" name="Picture 1" descr="A graph of samples per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22820" name="Picture 1" descr="A graph of samples per cycle&#10;&#10;Description automatically generated"/>
                    <pic:cNvPicPr/>
                  </pic:nvPicPr>
                  <pic:blipFill>
                    <a:blip r:embed="rId5"/>
                    <a:stretch>
                      <a:fillRect/>
                    </a:stretch>
                  </pic:blipFill>
                  <pic:spPr>
                    <a:xfrm>
                      <a:off x="0" y="0"/>
                      <a:ext cx="5943600" cy="2949575"/>
                    </a:xfrm>
                    <a:prstGeom prst="rect">
                      <a:avLst/>
                    </a:prstGeom>
                  </pic:spPr>
                </pic:pic>
              </a:graphicData>
            </a:graphic>
          </wp:inline>
        </w:drawing>
      </w:r>
    </w:p>
    <w:p w14:paraId="78F31A09" w14:textId="77777777" w:rsidR="007A14D3" w:rsidRDefault="007A14D3">
      <w:pPr>
        <w:rPr>
          <w:szCs w:val="20"/>
        </w:rPr>
      </w:pPr>
    </w:p>
    <w:p w14:paraId="41D2FD78" w14:textId="6FD64B28" w:rsidR="00B42F12" w:rsidRPr="007A14D3" w:rsidRDefault="00334610" w:rsidP="007A14D3">
      <w:pPr>
        <w:jc w:val="center"/>
        <w:rPr>
          <w:szCs w:val="20"/>
        </w:rPr>
      </w:pPr>
      <w:r w:rsidRPr="00334610">
        <w:rPr>
          <w:szCs w:val="20"/>
        </w:rPr>
        <w:drawing>
          <wp:inline distT="0" distB="0" distL="0" distR="0" wp14:anchorId="0B0E27DC" wp14:editId="32A8929D">
            <wp:extent cx="5943600" cy="2949575"/>
            <wp:effectExtent l="0" t="0" r="0" b="0"/>
            <wp:docPr id="1995673258" name="Picture 1" descr="A graph of samples per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3258" name="Picture 1" descr="A graph of samples per cycle&#10;&#10;Description automatically generated"/>
                    <pic:cNvPicPr/>
                  </pic:nvPicPr>
                  <pic:blipFill>
                    <a:blip r:embed="rId6"/>
                    <a:stretch>
                      <a:fillRect/>
                    </a:stretch>
                  </pic:blipFill>
                  <pic:spPr>
                    <a:xfrm>
                      <a:off x="0" y="0"/>
                      <a:ext cx="5943600" cy="2949575"/>
                    </a:xfrm>
                    <a:prstGeom prst="rect">
                      <a:avLst/>
                    </a:prstGeom>
                  </pic:spPr>
                </pic:pic>
              </a:graphicData>
            </a:graphic>
          </wp:inline>
        </w:drawing>
      </w:r>
    </w:p>
    <w:p w14:paraId="69D99B4D" w14:textId="77777777" w:rsidR="007A14D3" w:rsidRDefault="007A14D3" w:rsidP="007A14D3">
      <w:pPr>
        <w:rPr>
          <w:szCs w:val="20"/>
        </w:rPr>
      </w:pPr>
    </w:p>
    <w:p w14:paraId="52DC075C" w14:textId="77777777" w:rsidR="00334610" w:rsidRDefault="00334610" w:rsidP="007A14D3">
      <w:pPr>
        <w:rPr>
          <w:b/>
          <w:bCs/>
          <w:szCs w:val="20"/>
        </w:rPr>
      </w:pPr>
    </w:p>
    <w:p w14:paraId="1F3D74FF" w14:textId="77777777" w:rsidR="00334610" w:rsidRDefault="00334610">
      <w:pPr>
        <w:rPr>
          <w:b/>
          <w:bCs/>
          <w:szCs w:val="20"/>
        </w:rPr>
      </w:pPr>
      <w:r>
        <w:rPr>
          <w:b/>
          <w:bCs/>
          <w:szCs w:val="20"/>
        </w:rPr>
        <w:br w:type="page"/>
      </w:r>
    </w:p>
    <w:p w14:paraId="451A2DCC" w14:textId="37F9D0C2" w:rsidR="007A14D3" w:rsidRPr="0073496D" w:rsidRDefault="007A14D3" w:rsidP="0073496D">
      <w:pPr>
        <w:spacing w:line="276" w:lineRule="auto"/>
      </w:pPr>
      <w:r w:rsidRPr="0073496D">
        <w:rPr>
          <w:b/>
          <w:bCs/>
        </w:rPr>
        <w:lastRenderedPageBreak/>
        <w:t>Figure S-</w:t>
      </w:r>
      <w:r w:rsidRPr="0073496D">
        <w:rPr>
          <w:b/>
          <w:bCs/>
        </w:rPr>
        <w:t>2</w:t>
      </w:r>
      <w:r w:rsidR="00334610" w:rsidRPr="0073496D">
        <w:rPr>
          <w:b/>
          <w:bCs/>
        </w:rPr>
        <w:t>:</w:t>
      </w:r>
      <w:r w:rsidRPr="0073496D">
        <w:t xml:space="preserve"> Bar chart featuring only the samples who used cholesterol medication organized by survey cycle.</w:t>
      </w:r>
    </w:p>
    <w:p w14:paraId="3E7A8458" w14:textId="185BB1EB" w:rsidR="00B42F12" w:rsidRDefault="00B42F12"/>
    <w:p w14:paraId="4E14F0F1" w14:textId="77E148D6" w:rsidR="00334610" w:rsidRDefault="00334610">
      <w:r w:rsidRPr="00334610">
        <w:drawing>
          <wp:inline distT="0" distB="0" distL="0" distR="0" wp14:anchorId="18B42784" wp14:editId="23E4EF84">
            <wp:extent cx="6122869" cy="2523067"/>
            <wp:effectExtent l="0" t="0" r="0" b="4445"/>
            <wp:docPr id="26438805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88050" name="Picture 1" descr="A graph of blue bars&#10;&#10;Description automatically generated with medium confidence"/>
                    <pic:cNvPicPr/>
                  </pic:nvPicPr>
                  <pic:blipFill>
                    <a:blip r:embed="rId7"/>
                    <a:stretch>
                      <a:fillRect/>
                    </a:stretch>
                  </pic:blipFill>
                  <pic:spPr>
                    <a:xfrm>
                      <a:off x="0" y="0"/>
                      <a:ext cx="6140787" cy="2530451"/>
                    </a:xfrm>
                    <a:prstGeom prst="rect">
                      <a:avLst/>
                    </a:prstGeom>
                  </pic:spPr>
                </pic:pic>
              </a:graphicData>
            </a:graphic>
          </wp:inline>
        </w:drawing>
      </w:r>
    </w:p>
    <w:p w14:paraId="7D33EDC5" w14:textId="13BE2D6F" w:rsidR="00B42F12" w:rsidRDefault="00B42F12" w:rsidP="00100E85">
      <w:pPr>
        <w:jc w:val="center"/>
      </w:pPr>
    </w:p>
    <w:p w14:paraId="139F3155" w14:textId="77777777" w:rsidR="00334610" w:rsidRDefault="00334610">
      <w:pPr>
        <w:rPr>
          <w:b/>
          <w:bCs/>
          <w:szCs w:val="20"/>
        </w:rPr>
      </w:pPr>
      <w:r>
        <w:rPr>
          <w:b/>
          <w:bCs/>
          <w:szCs w:val="20"/>
        </w:rPr>
        <w:br w:type="page"/>
      </w:r>
    </w:p>
    <w:p w14:paraId="33AD348B" w14:textId="40C8A6DC" w:rsidR="007A14D3" w:rsidRPr="0073496D" w:rsidRDefault="007A14D3" w:rsidP="0073496D">
      <w:pPr>
        <w:spacing w:line="276" w:lineRule="auto"/>
      </w:pPr>
      <w:r w:rsidRPr="0073496D">
        <w:rPr>
          <w:b/>
          <w:bCs/>
        </w:rPr>
        <w:lastRenderedPageBreak/>
        <w:t>Figure S-</w:t>
      </w:r>
      <w:r w:rsidRPr="0073496D">
        <w:rPr>
          <w:b/>
          <w:bCs/>
        </w:rPr>
        <w:t>3</w:t>
      </w:r>
      <w:r w:rsidR="00334610" w:rsidRPr="0073496D">
        <w:rPr>
          <w:b/>
          <w:bCs/>
        </w:rPr>
        <w:t>:</w:t>
      </w:r>
      <w:r w:rsidRPr="0073496D">
        <w:t xml:space="preserve"> </w:t>
      </w:r>
      <w:r w:rsidRPr="0073496D">
        <w:t>Histograms displaying the frequencies before and after log transformation of the lipid phenotypes in the discovery and replication datasets.</w:t>
      </w:r>
    </w:p>
    <w:p w14:paraId="303BF094" w14:textId="77777777" w:rsidR="007A14D3" w:rsidRDefault="007A14D3"/>
    <w:p w14:paraId="41D0C4BB" w14:textId="01BD6F8C" w:rsidR="00B42F12" w:rsidRDefault="00000000">
      <w:r>
        <w:rPr>
          <w:noProof/>
        </w:rPr>
        <w:drawing>
          <wp:inline distT="114300" distB="114300" distL="114300" distR="114300" wp14:anchorId="09D0376D" wp14:editId="13EB111D">
            <wp:extent cx="5943600" cy="2527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3BFC4812" wp14:editId="5865BFC4">
            <wp:extent cx="5943600" cy="25273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527AAB40" wp14:editId="4708A96A">
            <wp:extent cx="5943600" cy="2527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32582851" wp14:editId="7B0F78F9">
            <wp:extent cx="5943600" cy="25273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1BA0E896" wp14:editId="07078D33">
            <wp:extent cx="5943600" cy="252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47C094AD" wp14:editId="42147EB3">
            <wp:extent cx="5943600" cy="2527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274D684E" wp14:editId="5FA7328E">
            <wp:extent cx="5943600" cy="25273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2C4B5099" wp14:editId="605FBD58">
            <wp:extent cx="5943600" cy="25273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53EFC8E9" wp14:editId="30FB7AB9">
            <wp:extent cx="5943600" cy="25273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527300"/>
                    </a:xfrm>
                    <a:prstGeom prst="rect">
                      <a:avLst/>
                    </a:prstGeom>
                    <a:ln/>
                  </pic:spPr>
                </pic:pic>
              </a:graphicData>
            </a:graphic>
          </wp:inline>
        </w:drawing>
      </w:r>
      <w:r>
        <w:rPr>
          <w:noProof/>
        </w:rPr>
        <w:lastRenderedPageBreak/>
        <w:drawing>
          <wp:inline distT="114300" distB="114300" distL="114300" distR="114300" wp14:anchorId="3A9FCA26" wp14:editId="1F1ADD76">
            <wp:extent cx="5943600" cy="2527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64AEC08C" wp14:editId="1F1D9C0B">
            <wp:extent cx="5943600" cy="2527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527300"/>
                    </a:xfrm>
                    <a:prstGeom prst="rect">
                      <a:avLst/>
                    </a:prstGeom>
                    <a:ln/>
                  </pic:spPr>
                </pic:pic>
              </a:graphicData>
            </a:graphic>
          </wp:inline>
        </w:drawing>
      </w:r>
      <w:r>
        <w:rPr>
          <w:noProof/>
        </w:rPr>
        <w:drawing>
          <wp:inline distT="114300" distB="114300" distL="114300" distR="114300" wp14:anchorId="4DF81C06" wp14:editId="4257FDB4">
            <wp:extent cx="5943600" cy="2527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2527300"/>
                    </a:xfrm>
                    <a:prstGeom prst="rect">
                      <a:avLst/>
                    </a:prstGeom>
                    <a:ln/>
                  </pic:spPr>
                </pic:pic>
              </a:graphicData>
            </a:graphic>
          </wp:inline>
        </w:drawing>
      </w:r>
    </w:p>
    <w:p w14:paraId="6F00AF32" w14:textId="2C414290" w:rsidR="008F3DFD" w:rsidRPr="008F3DFD" w:rsidRDefault="008F3DFD">
      <w:pPr>
        <w:rPr>
          <w:sz w:val="20"/>
          <w:szCs w:val="20"/>
        </w:rPr>
      </w:pPr>
      <w:r>
        <w:br w:type="page"/>
      </w:r>
    </w:p>
    <w:p w14:paraId="3C3FA327" w14:textId="77777777" w:rsidR="008F3DFD" w:rsidRDefault="008F3DFD">
      <w:pPr>
        <w:sectPr w:rsidR="008F3DFD" w:rsidSect="008F3DFD">
          <w:pgSz w:w="12240" w:h="15840"/>
          <w:pgMar w:top="1440" w:right="1440" w:bottom="1440" w:left="1440" w:header="720" w:footer="720" w:gutter="0"/>
          <w:pgNumType w:start="1"/>
          <w:cols w:space="720"/>
          <w:docGrid w:linePitch="299"/>
        </w:sectPr>
      </w:pPr>
    </w:p>
    <w:p w14:paraId="7C0956DC" w14:textId="23F875FA" w:rsidR="00100E85" w:rsidRPr="0073496D" w:rsidRDefault="00100E85" w:rsidP="0073496D">
      <w:pPr>
        <w:spacing w:line="276" w:lineRule="auto"/>
      </w:pPr>
      <w:r w:rsidRPr="0073496D">
        <w:rPr>
          <w:b/>
          <w:bCs/>
        </w:rPr>
        <w:lastRenderedPageBreak/>
        <w:t>Table S-1</w:t>
      </w:r>
      <w:r w:rsidR="00334610" w:rsidRPr="0073496D">
        <w:rPr>
          <w:b/>
          <w:bCs/>
        </w:rPr>
        <w:t>:</w:t>
      </w:r>
      <w:r w:rsidRPr="0073496D">
        <w:t xml:space="preserve"> All twenty-one Bonferroni adjusted p &lt; 0.05 significant interactions listing their p-values, sample sizes, full interaction </w:t>
      </w:r>
      <w:r w:rsidRPr="0073496D">
        <w:t xml:space="preserve">beta </w:t>
      </w:r>
      <w:r w:rsidRPr="0073496D">
        <w:t xml:space="preserve">and </w:t>
      </w:r>
      <w:r w:rsidRPr="0073496D">
        <w:t xml:space="preserve">full </w:t>
      </w:r>
      <w:r w:rsidRPr="0073496D">
        <w:t>main-effect betas.</w:t>
      </w:r>
    </w:p>
    <w:p w14:paraId="2B2D49E8" w14:textId="77777777" w:rsidR="00100E85" w:rsidRPr="007A14D3" w:rsidRDefault="00100E85" w:rsidP="00100E85">
      <w:pPr>
        <w:rPr>
          <w:szCs w:val="20"/>
        </w:rPr>
      </w:pPr>
    </w:p>
    <w:p w14:paraId="1A4B3C4B" w14:textId="7CBADFF1" w:rsidR="008F3DFD" w:rsidRDefault="00100E85" w:rsidP="00334610">
      <w:r w:rsidRPr="00100E85">
        <w:drawing>
          <wp:inline distT="0" distB="0" distL="0" distR="0" wp14:anchorId="282E0CF9" wp14:editId="117ABB9F">
            <wp:extent cx="9144000" cy="5935345"/>
            <wp:effectExtent l="0" t="0" r="0" b="0"/>
            <wp:docPr id="69246803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68038" name="Picture 1" descr="A table with numbers and letters&#10;&#10;Description automatically generated"/>
                    <pic:cNvPicPr/>
                  </pic:nvPicPr>
                  <pic:blipFill>
                    <a:blip r:embed="rId20"/>
                    <a:stretch>
                      <a:fillRect/>
                    </a:stretch>
                  </pic:blipFill>
                  <pic:spPr>
                    <a:xfrm>
                      <a:off x="0" y="0"/>
                      <a:ext cx="9144000" cy="5935345"/>
                    </a:xfrm>
                    <a:prstGeom prst="rect">
                      <a:avLst/>
                    </a:prstGeom>
                  </pic:spPr>
                </pic:pic>
              </a:graphicData>
            </a:graphic>
          </wp:inline>
        </w:drawing>
      </w:r>
    </w:p>
    <w:sectPr w:rsidR="008F3DFD" w:rsidSect="00100E85">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1381"/>
    <w:multiLevelType w:val="hybridMultilevel"/>
    <w:tmpl w:val="F0A8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A50CA"/>
    <w:multiLevelType w:val="hybridMultilevel"/>
    <w:tmpl w:val="2D4A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468D9"/>
    <w:multiLevelType w:val="multilevel"/>
    <w:tmpl w:val="5018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933521">
    <w:abstractNumId w:val="1"/>
  </w:num>
  <w:num w:numId="2" w16cid:durableId="599721704">
    <w:abstractNumId w:val="0"/>
  </w:num>
  <w:num w:numId="3" w16cid:durableId="404031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F12"/>
    <w:rsid w:val="00035270"/>
    <w:rsid w:val="0007361A"/>
    <w:rsid w:val="000A79AC"/>
    <w:rsid w:val="00100E85"/>
    <w:rsid w:val="002157E8"/>
    <w:rsid w:val="002C311F"/>
    <w:rsid w:val="00334610"/>
    <w:rsid w:val="0073496D"/>
    <w:rsid w:val="007A14D3"/>
    <w:rsid w:val="008D0BC6"/>
    <w:rsid w:val="008F3DFD"/>
    <w:rsid w:val="00950E86"/>
    <w:rsid w:val="00953858"/>
    <w:rsid w:val="009E0052"/>
    <w:rsid w:val="00A5614F"/>
    <w:rsid w:val="00B42F12"/>
    <w:rsid w:val="00D61B83"/>
    <w:rsid w:val="00F41113"/>
    <w:rsid w:val="00FC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1AF8E"/>
  <w15:docId w15:val="{4CFD8942-8682-6941-B685-7D8E8583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610"/>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8F3D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next w:val="Affiliation"/>
    <w:rsid w:val="00A5614F"/>
    <w:pPr>
      <w:keepNext/>
      <w:keepLines/>
      <w:suppressAutoHyphens/>
      <w:jc w:val="center"/>
    </w:pPr>
    <w:rPr>
      <w:szCs w:val="20"/>
    </w:rPr>
  </w:style>
  <w:style w:type="paragraph" w:customStyle="1" w:styleId="Affiliation">
    <w:name w:val="Affiliation"/>
    <w:basedOn w:val="Normal"/>
    <w:next w:val="Normal"/>
    <w:rsid w:val="00A5614F"/>
    <w:pPr>
      <w:spacing w:before="60" w:after="320"/>
      <w:jc w:val="center"/>
    </w:pPr>
    <w:rPr>
      <w:i/>
      <w:szCs w:val="20"/>
    </w:rPr>
  </w:style>
  <w:style w:type="paragraph" w:styleId="ListParagraph">
    <w:name w:val="List Paragraph"/>
    <w:basedOn w:val="Normal"/>
    <w:uiPriority w:val="34"/>
    <w:qFormat/>
    <w:rsid w:val="00A5614F"/>
    <w:pPr>
      <w:ind w:left="720"/>
      <w:contextualSpacing/>
    </w:pPr>
  </w:style>
  <w:style w:type="character" w:customStyle="1" w:styleId="Heading3Char">
    <w:name w:val="Heading 3 Char"/>
    <w:basedOn w:val="DefaultParagraphFont"/>
    <w:link w:val="Heading3"/>
    <w:uiPriority w:val="9"/>
    <w:rsid w:val="00334610"/>
    <w:rPr>
      <w:color w:val="434343"/>
      <w:sz w:val="28"/>
      <w:szCs w:val="28"/>
    </w:rPr>
  </w:style>
  <w:style w:type="character" w:styleId="Strong">
    <w:name w:val="Strong"/>
    <w:basedOn w:val="DefaultParagraphFont"/>
    <w:uiPriority w:val="22"/>
    <w:qFormat/>
    <w:rsid w:val="00334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0902">
      <w:bodyDiv w:val="1"/>
      <w:marLeft w:val="0"/>
      <w:marRight w:val="0"/>
      <w:marTop w:val="0"/>
      <w:marBottom w:val="0"/>
      <w:divBdr>
        <w:top w:val="none" w:sz="0" w:space="0" w:color="auto"/>
        <w:left w:val="none" w:sz="0" w:space="0" w:color="auto"/>
        <w:bottom w:val="none" w:sz="0" w:space="0" w:color="auto"/>
        <w:right w:val="none" w:sz="0" w:space="0" w:color="auto"/>
      </w:divBdr>
    </w:div>
    <w:div w:id="1112743887">
      <w:bodyDiv w:val="1"/>
      <w:marLeft w:val="0"/>
      <w:marRight w:val="0"/>
      <w:marTop w:val="0"/>
      <w:marBottom w:val="0"/>
      <w:divBdr>
        <w:top w:val="none" w:sz="0" w:space="0" w:color="auto"/>
        <w:left w:val="none" w:sz="0" w:space="0" w:color="auto"/>
        <w:bottom w:val="none" w:sz="0" w:space="0" w:color="auto"/>
        <w:right w:val="none" w:sz="0" w:space="0" w:color="auto"/>
      </w:divBdr>
    </w:div>
    <w:div w:id="1743599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Rico, Andre Luis</cp:lastModifiedBy>
  <cp:revision>8</cp:revision>
  <dcterms:created xsi:type="dcterms:W3CDTF">2024-07-16T14:53:00Z</dcterms:created>
  <dcterms:modified xsi:type="dcterms:W3CDTF">2024-07-16T16:12:00Z</dcterms:modified>
</cp:coreProperties>
</file>