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722B2" w14:textId="0AEBD1E9" w:rsidR="00471C5D" w:rsidRPr="00471C5D" w:rsidRDefault="00471C5D" w:rsidP="00471C5D">
      <w:pPr>
        <w:spacing w:after="0" w:line="240" w:lineRule="auto"/>
        <w:outlineLvl w:val="0"/>
        <w:rPr>
          <w:rFonts w:ascii="Nyala" w:eastAsia="Times New Roman" w:hAnsi="Nyala" w:cs="Times New Roman"/>
          <w:b/>
          <w:bCs/>
          <w:i/>
          <w:iCs/>
          <w:color w:val="0070C0"/>
          <w:kern w:val="36"/>
          <w:sz w:val="52"/>
          <w:szCs w:val="52"/>
          <w14:ligatures w14:val="none"/>
        </w:rPr>
      </w:pPr>
      <w:r w:rsidRPr="00471C5D">
        <w:rPr>
          <w:rFonts w:ascii="Nyala" w:eastAsia="Times New Roman" w:hAnsi="Nyala" w:cs="Times New Roman"/>
          <w:b/>
          <w:bCs/>
          <w:i/>
          <w:iCs/>
          <w:color w:val="0070C0"/>
          <w:kern w:val="36"/>
          <w:sz w:val="52"/>
          <w:szCs w:val="52"/>
          <w14:ligatures w14:val="none"/>
        </w:rPr>
        <w:t>H</w:t>
      </w:r>
      <w:r w:rsidRPr="00471C5D">
        <w:rPr>
          <w:rFonts w:ascii="Nyala" w:eastAsia="Times New Roman" w:hAnsi="Nyala" w:cs="Times New Roman"/>
          <w:b/>
          <w:bCs/>
          <w:i/>
          <w:iCs/>
          <w:color w:val="0070C0"/>
          <w:kern w:val="36"/>
          <w:sz w:val="52"/>
          <w:szCs w:val="52"/>
          <w14:ligatures w14:val="none"/>
        </w:rPr>
        <w:t>allelujah</w:t>
      </w:r>
      <w:r w:rsidRPr="00471C5D">
        <w:rPr>
          <w:rFonts w:ascii="Nyala" w:eastAsia="Times New Roman" w:hAnsi="Nyala" w:cs="Times New Roman"/>
          <w:b/>
          <w:bCs/>
          <w:i/>
          <w:iCs/>
          <w:color w:val="0070C0"/>
          <w:kern w:val="36"/>
          <w:sz w:val="52"/>
          <w:szCs w:val="52"/>
          <w14:ligatures w14:val="none"/>
        </w:rPr>
        <w:t xml:space="preserve"> H</w:t>
      </w:r>
      <w:r w:rsidRPr="00471C5D">
        <w:rPr>
          <w:rFonts w:ascii="Nyala" w:eastAsia="Times New Roman" w:hAnsi="Nyala" w:cs="Times New Roman"/>
          <w:b/>
          <w:bCs/>
          <w:i/>
          <w:iCs/>
          <w:color w:val="0070C0"/>
          <w:kern w:val="36"/>
          <w:sz w:val="52"/>
          <w:szCs w:val="52"/>
          <w14:ligatures w14:val="none"/>
        </w:rPr>
        <w:t xml:space="preserve">ealth </w:t>
      </w:r>
      <w:r w:rsidRPr="00471C5D">
        <w:rPr>
          <w:rFonts w:ascii="Nyala" w:eastAsia="Times New Roman" w:hAnsi="Nyala" w:cs="Times New Roman"/>
          <w:b/>
          <w:bCs/>
          <w:i/>
          <w:iCs/>
          <w:color w:val="0070C0"/>
          <w:kern w:val="36"/>
          <w:sz w:val="52"/>
          <w:szCs w:val="52"/>
          <w14:ligatures w14:val="none"/>
        </w:rPr>
        <w:t>C</w:t>
      </w:r>
      <w:r w:rsidRPr="00471C5D">
        <w:rPr>
          <w:rFonts w:ascii="Nyala" w:eastAsia="Times New Roman" w:hAnsi="Nyala" w:cs="Times New Roman"/>
          <w:b/>
          <w:bCs/>
          <w:i/>
          <w:iCs/>
          <w:color w:val="0070C0"/>
          <w:kern w:val="36"/>
          <w:sz w:val="52"/>
          <w:szCs w:val="52"/>
          <w14:ligatures w14:val="none"/>
        </w:rPr>
        <w:t>onsulting</w:t>
      </w:r>
    </w:p>
    <w:p w14:paraId="3B5AEF57" w14:textId="572B9672" w:rsidR="00471C5D" w:rsidRPr="00471C5D" w:rsidRDefault="00471C5D" w:rsidP="00471C5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30"/>
          <w:szCs w:val="30"/>
          <w14:ligatures w14:val="none"/>
        </w:rPr>
      </w:pPr>
      <w:r w:rsidRPr="00471C5D">
        <w:rPr>
          <w:rFonts w:ascii="Nyala" w:eastAsia="Times New Roman" w:hAnsi="Nyala" w:cs="Nyala"/>
          <w:b/>
          <w:bCs/>
          <w:color w:val="0070C0"/>
          <w:kern w:val="0"/>
          <w:sz w:val="30"/>
          <w:szCs w:val="30"/>
          <w14:ligatures w14:val="none"/>
        </w:rPr>
        <w:t>ሃሌሉያ</w:t>
      </w:r>
      <w:r w:rsidRPr="00471C5D">
        <w:rPr>
          <w:rFonts w:ascii="Times New Roman" w:eastAsia="Times New Roman" w:hAnsi="Times New Roman" w:cs="Times New Roman"/>
          <w:b/>
          <w:bCs/>
          <w:color w:val="0070C0"/>
          <w:kern w:val="0"/>
          <w:sz w:val="30"/>
          <w:szCs w:val="30"/>
          <w14:ligatures w14:val="none"/>
        </w:rPr>
        <w:t xml:space="preserve"> </w:t>
      </w:r>
      <w:proofErr w:type="spellStart"/>
      <w:r>
        <w:rPr>
          <w:rFonts w:ascii="Nyala" w:eastAsia="Times New Roman" w:hAnsi="Nyala" w:cs="Nyala"/>
          <w:b/>
          <w:bCs/>
          <w:color w:val="0070C0"/>
          <w:kern w:val="0"/>
          <w:sz w:val="30"/>
          <w:szCs w:val="30"/>
          <w14:ligatures w14:val="none"/>
        </w:rPr>
        <w:t>ኮንሰልት</w:t>
      </w:r>
      <w:proofErr w:type="spellEnd"/>
    </w:p>
    <w:p w14:paraId="2A9CACEE" w14:textId="2B377A89" w:rsidR="00471C5D" w:rsidRPr="00471C5D" w:rsidRDefault="00471C5D" w:rsidP="00471C5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B0F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B0F0"/>
          <w:kern w:val="0"/>
          <w:sz w:val="28"/>
          <w:szCs w:val="28"/>
          <w14:ligatures w14:val="none"/>
        </w:rPr>
        <w:t>H</w:t>
      </w:r>
      <w:r w:rsidRPr="00471C5D">
        <w:rPr>
          <w:rFonts w:ascii="Times New Roman" w:eastAsia="Times New Roman" w:hAnsi="Times New Roman" w:cs="Times New Roman"/>
          <w:b/>
          <w:bCs/>
          <w:color w:val="00B0F0"/>
          <w:kern w:val="0"/>
          <w:sz w:val="28"/>
          <w:szCs w:val="28"/>
          <w14:ligatures w14:val="none"/>
        </w:rPr>
        <w:t xml:space="preserve">ealth </w:t>
      </w:r>
      <w:r>
        <w:rPr>
          <w:rFonts w:ascii="Times New Roman" w:eastAsia="Times New Roman" w:hAnsi="Times New Roman" w:cs="Times New Roman"/>
          <w:b/>
          <w:bCs/>
          <w:color w:val="00B0F0"/>
          <w:kern w:val="0"/>
          <w:sz w:val="28"/>
          <w:szCs w:val="28"/>
          <w14:ligatures w14:val="none"/>
        </w:rPr>
        <w:t>S</w:t>
      </w:r>
      <w:r w:rsidRPr="00471C5D">
        <w:rPr>
          <w:rFonts w:ascii="Times New Roman" w:eastAsia="Times New Roman" w:hAnsi="Times New Roman" w:cs="Times New Roman"/>
          <w:b/>
          <w:bCs/>
          <w:color w:val="00B0F0"/>
          <w:kern w:val="0"/>
          <w:sz w:val="28"/>
          <w:szCs w:val="28"/>
          <w14:ligatures w14:val="none"/>
        </w:rPr>
        <w:t xml:space="preserve">ystems </w:t>
      </w:r>
      <w:r>
        <w:rPr>
          <w:rFonts w:ascii="Times New Roman" w:eastAsia="Times New Roman" w:hAnsi="Times New Roman" w:cs="Times New Roman"/>
          <w:b/>
          <w:bCs/>
          <w:color w:val="00B0F0"/>
          <w:kern w:val="0"/>
          <w:sz w:val="28"/>
          <w:szCs w:val="28"/>
          <w14:ligatures w14:val="none"/>
        </w:rPr>
        <w:t>S</w:t>
      </w:r>
      <w:r w:rsidRPr="00471C5D">
        <w:rPr>
          <w:rFonts w:ascii="Times New Roman" w:eastAsia="Times New Roman" w:hAnsi="Times New Roman" w:cs="Times New Roman"/>
          <w:b/>
          <w:bCs/>
          <w:color w:val="00B0F0"/>
          <w:kern w:val="0"/>
          <w:sz w:val="28"/>
          <w:szCs w:val="28"/>
          <w14:ligatures w14:val="none"/>
        </w:rPr>
        <w:t>trengthening</w:t>
      </w:r>
    </w:p>
    <w:p w14:paraId="57A2F582" w14:textId="77777777" w:rsidR="00471C5D" w:rsidRPr="00471C5D" w:rsidRDefault="00471C5D" w:rsidP="00471C5D">
      <w:pPr>
        <w:spacing w:before="100" w:beforeAutospacing="1" w:after="300" w:line="240" w:lineRule="auto"/>
        <w:outlineLvl w:val="1"/>
        <w:rPr>
          <w:rFonts w:ascii="Times New Roman" w:eastAsia="Times New Roman" w:hAnsi="Times New Roman" w:cs="Times New Roman"/>
          <w:b/>
          <w:bCs/>
          <w:color w:val="9EE2FF"/>
          <w:kern w:val="0"/>
          <w:sz w:val="39"/>
          <w:szCs w:val="39"/>
          <w14:ligatures w14:val="none"/>
        </w:rPr>
      </w:pPr>
      <w:r w:rsidRPr="00471C5D">
        <w:rPr>
          <w:rFonts w:ascii="Times New Roman" w:eastAsia="Times New Roman" w:hAnsi="Times New Roman" w:cs="Times New Roman"/>
          <w:b/>
          <w:bCs/>
          <w:color w:val="9EE2FF"/>
          <w:kern w:val="0"/>
          <w:sz w:val="39"/>
          <w:szCs w:val="39"/>
          <w14:ligatures w14:val="none"/>
        </w:rPr>
        <w:t>About Us</w:t>
      </w:r>
    </w:p>
    <w:p w14:paraId="21B16E45" w14:textId="77777777" w:rsidR="00471C5D" w:rsidRPr="00471C5D" w:rsidRDefault="00471C5D" w:rsidP="00471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C5D">
        <w:rPr>
          <w:rFonts w:ascii="Times New Roman" w:eastAsia="Times New Roman" w:hAnsi="Times New Roman" w:cs="Times New Roman"/>
          <w:kern w:val="0"/>
          <w14:ligatures w14:val="none"/>
        </w:rPr>
        <w:t>Hallelujah Health Consulting (HHC) strengthens immunization, PHC, RMNCAH, AYH, SRH, MEAL, and humanitarian health systems across governments, UN agencies, and INGOs. Over 20 years of leadership, evidence-driven design, and field practicality.</w:t>
      </w:r>
    </w:p>
    <w:p w14:paraId="2EE01214" w14:textId="77777777" w:rsidR="00471C5D" w:rsidRPr="00471C5D" w:rsidRDefault="00471C5D" w:rsidP="00471C5D">
      <w:pPr>
        <w:spacing w:before="100" w:beforeAutospacing="1" w:after="300" w:line="240" w:lineRule="auto"/>
        <w:outlineLvl w:val="1"/>
        <w:rPr>
          <w:rFonts w:ascii="Times New Roman" w:eastAsia="Times New Roman" w:hAnsi="Times New Roman" w:cs="Times New Roman"/>
          <w:b/>
          <w:bCs/>
          <w:color w:val="9EE2FF"/>
          <w:kern w:val="0"/>
          <w:sz w:val="39"/>
          <w:szCs w:val="39"/>
          <w14:ligatures w14:val="none"/>
        </w:rPr>
      </w:pPr>
      <w:r w:rsidRPr="00471C5D">
        <w:rPr>
          <w:rFonts w:ascii="Times New Roman" w:eastAsia="Times New Roman" w:hAnsi="Times New Roman" w:cs="Times New Roman"/>
          <w:b/>
          <w:bCs/>
          <w:color w:val="9EE2FF"/>
          <w:kern w:val="0"/>
          <w:sz w:val="39"/>
          <w:szCs w:val="39"/>
          <w14:ligatures w14:val="none"/>
        </w:rPr>
        <w:t>Services</w:t>
      </w:r>
    </w:p>
    <w:p w14:paraId="652247E7" w14:textId="77777777" w:rsidR="00471C5D" w:rsidRPr="00471C5D" w:rsidRDefault="00471C5D" w:rsidP="00471C5D">
      <w:pPr>
        <w:shd w:val="clear" w:color="auto" w:fill="01455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C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EPI &amp; Cold Chain</w:t>
      </w:r>
    </w:p>
    <w:p w14:paraId="6F2D636C" w14:textId="77777777" w:rsidR="00471C5D" w:rsidRPr="00471C5D" w:rsidRDefault="00471C5D" w:rsidP="00471C5D">
      <w:pPr>
        <w:shd w:val="clear" w:color="auto" w:fill="01455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C5D">
        <w:rPr>
          <w:rFonts w:ascii="Times New Roman" w:eastAsia="Times New Roman" w:hAnsi="Times New Roman" w:cs="Times New Roman"/>
          <w:kern w:val="0"/>
          <w14:ligatures w14:val="none"/>
        </w:rPr>
        <w:t>Readiness, measles switch, AEFI, DHIS2.</w:t>
      </w:r>
    </w:p>
    <w:p w14:paraId="3B4C25C3" w14:textId="77777777" w:rsidR="00471C5D" w:rsidRPr="00471C5D" w:rsidRDefault="00471C5D" w:rsidP="00471C5D">
      <w:pPr>
        <w:shd w:val="clear" w:color="auto" w:fill="01455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C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RMNCAH Integration</w:t>
      </w:r>
    </w:p>
    <w:p w14:paraId="735189AC" w14:textId="77777777" w:rsidR="00471C5D" w:rsidRPr="00471C5D" w:rsidRDefault="00471C5D" w:rsidP="00471C5D">
      <w:pPr>
        <w:shd w:val="clear" w:color="auto" w:fill="01455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C5D">
        <w:rPr>
          <w:rFonts w:ascii="Times New Roman" w:eastAsia="Times New Roman" w:hAnsi="Times New Roman" w:cs="Times New Roman"/>
          <w:kern w:val="0"/>
          <w14:ligatures w14:val="none"/>
        </w:rPr>
        <w:t>ANC–PNC–EPI linkage, maternal QI.</w:t>
      </w:r>
    </w:p>
    <w:p w14:paraId="1A1B718A" w14:textId="77777777" w:rsidR="00471C5D" w:rsidRPr="00471C5D" w:rsidRDefault="00471C5D" w:rsidP="00471C5D">
      <w:pPr>
        <w:shd w:val="clear" w:color="auto" w:fill="01455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C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AYH</w:t>
      </w:r>
    </w:p>
    <w:p w14:paraId="29DF7DE5" w14:textId="77777777" w:rsidR="00471C5D" w:rsidRPr="00471C5D" w:rsidRDefault="00471C5D" w:rsidP="00471C5D">
      <w:pPr>
        <w:shd w:val="clear" w:color="auto" w:fill="01455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C5D">
        <w:rPr>
          <w:rFonts w:ascii="Times New Roman" w:eastAsia="Times New Roman" w:hAnsi="Times New Roman" w:cs="Times New Roman"/>
          <w:kern w:val="0"/>
          <w14:ligatures w14:val="none"/>
        </w:rPr>
        <w:t>AYH standards, youth-friendly models.</w:t>
      </w:r>
    </w:p>
    <w:p w14:paraId="7DED8DF5" w14:textId="77777777" w:rsidR="00471C5D" w:rsidRPr="00471C5D" w:rsidRDefault="00471C5D" w:rsidP="00471C5D">
      <w:pPr>
        <w:shd w:val="clear" w:color="auto" w:fill="01455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C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SRH/FP</w:t>
      </w:r>
    </w:p>
    <w:p w14:paraId="1D6BF30E" w14:textId="77777777" w:rsidR="00471C5D" w:rsidRPr="00471C5D" w:rsidRDefault="00471C5D" w:rsidP="00471C5D">
      <w:pPr>
        <w:shd w:val="clear" w:color="auto" w:fill="01455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C5D">
        <w:rPr>
          <w:rFonts w:ascii="Times New Roman" w:eastAsia="Times New Roman" w:hAnsi="Times New Roman" w:cs="Times New Roman"/>
          <w:kern w:val="0"/>
          <w14:ligatures w14:val="none"/>
        </w:rPr>
        <w:t>FP CIPs, cervical cancer vaccination.</w:t>
      </w:r>
    </w:p>
    <w:p w14:paraId="51582E16" w14:textId="77777777" w:rsidR="00471C5D" w:rsidRPr="00471C5D" w:rsidRDefault="00471C5D" w:rsidP="00471C5D">
      <w:pPr>
        <w:shd w:val="clear" w:color="auto" w:fill="01455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C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MEAL &amp; IR</w:t>
      </w:r>
    </w:p>
    <w:p w14:paraId="3EECDF34" w14:textId="77777777" w:rsidR="00471C5D" w:rsidRPr="00471C5D" w:rsidRDefault="00471C5D" w:rsidP="00471C5D">
      <w:pPr>
        <w:shd w:val="clear" w:color="auto" w:fill="01455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C5D">
        <w:rPr>
          <w:rFonts w:ascii="Times New Roman" w:eastAsia="Times New Roman" w:hAnsi="Times New Roman" w:cs="Times New Roman"/>
          <w:kern w:val="0"/>
          <w14:ligatures w14:val="none"/>
        </w:rPr>
        <w:t>DQA SOPs, dashboards, mixed methods.</w:t>
      </w:r>
    </w:p>
    <w:p w14:paraId="203BA63C" w14:textId="77777777" w:rsidR="00471C5D" w:rsidRPr="00471C5D" w:rsidRDefault="00471C5D" w:rsidP="00471C5D">
      <w:pPr>
        <w:shd w:val="clear" w:color="auto" w:fill="01455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C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Policy &amp; Costing</w:t>
      </w:r>
    </w:p>
    <w:p w14:paraId="2B650532" w14:textId="77777777" w:rsidR="00471C5D" w:rsidRPr="00471C5D" w:rsidRDefault="00471C5D" w:rsidP="00471C5D">
      <w:pPr>
        <w:shd w:val="clear" w:color="auto" w:fill="01455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C5D">
        <w:rPr>
          <w:rFonts w:ascii="Times New Roman" w:eastAsia="Times New Roman" w:hAnsi="Times New Roman" w:cs="Times New Roman"/>
          <w:kern w:val="0"/>
          <w14:ligatures w14:val="none"/>
        </w:rPr>
        <w:t>Guidelines, ABC costing, scale-up.</w:t>
      </w:r>
    </w:p>
    <w:p w14:paraId="5D8507E2" w14:textId="77777777" w:rsidR="00471C5D" w:rsidRPr="00471C5D" w:rsidRDefault="00471C5D" w:rsidP="00471C5D">
      <w:pPr>
        <w:shd w:val="clear" w:color="auto" w:fill="01455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C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Humanitarian Health</w:t>
      </w:r>
    </w:p>
    <w:p w14:paraId="538C5632" w14:textId="77777777" w:rsidR="00471C5D" w:rsidRPr="00471C5D" w:rsidRDefault="00471C5D" w:rsidP="00471C5D">
      <w:pPr>
        <w:shd w:val="clear" w:color="auto" w:fill="01455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C5D">
        <w:rPr>
          <w:rFonts w:ascii="Times New Roman" w:eastAsia="Times New Roman" w:hAnsi="Times New Roman" w:cs="Times New Roman"/>
          <w:kern w:val="0"/>
          <w14:ligatures w14:val="none"/>
        </w:rPr>
        <w:t>IMS, outbreak response, mobile clinics.</w:t>
      </w:r>
    </w:p>
    <w:p w14:paraId="49D3A7FC" w14:textId="77777777" w:rsidR="00471C5D" w:rsidRPr="00471C5D" w:rsidRDefault="00471C5D" w:rsidP="00471C5D">
      <w:pPr>
        <w:shd w:val="clear" w:color="auto" w:fill="01455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C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Donor Compliance</w:t>
      </w:r>
    </w:p>
    <w:p w14:paraId="57E056FF" w14:textId="77777777" w:rsidR="00471C5D" w:rsidRPr="00471C5D" w:rsidRDefault="00471C5D" w:rsidP="00471C5D">
      <w:pPr>
        <w:shd w:val="clear" w:color="auto" w:fill="01455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C5D">
        <w:rPr>
          <w:rFonts w:ascii="Times New Roman" w:eastAsia="Times New Roman" w:hAnsi="Times New Roman" w:cs="Times New Roman"/>
          <w:kern w:val="0"/>
          <w14:ligatures w14:val="none"/>
        </w:rPr>
        <w:t>Risk registers, VfM, reporting.</w:t>
      </w:r>
    </w:p>
    <w:p w14:paraId="5476566B" w14:textId="77777777" w:rsidR="00471C5D" w:rsidRPr="00471C5D" w:rsidRDefault="00471C5D" w:rsidP="00471C5D">
      <w:pPr>
        <w:spacing w:before="100" w:beforeAutospacing="1" w:after="300" w:line="240" w:lineRule="auto"/>
        <w:outlineLvl w:val="1"/>
        <w:rPr>
          <w:rFonts w:ascii="Times New Roman" w:eastAsia="Times New Roman" w:hAnsi="Times New Roman" w:cs="Times New Roman"/>
          <w:b/>
          <w:bCs/>
          <w:color w:val="9EE2FF"/>
          <w:kern w:val="0"/>
          <w:sz w:val="39"/>
          <w:szCs w:val="39"/>
          <w14:ligatures w14:val="none"/>
        </w:rPr>
      </w:pPr>
      <w:r w:rsidRPr="00471C5D">
        <w:rPr>
          <w:rFonts w:ascii="Times New Roman" w:eastAsia="Times New Roman" w:hAnsi="Times New Roman" w:cs="Times New Roman"/>
          <w:b/>
          <w:bCs/>
          <w:color w:val="9EE2FF"/>
          <w:kern w:val="0"/>
          <w:sz w:val="39"/>
          <w:szCs w:val="39"/>
          <w14:ligatures w14:val="none"/>
        </w:rPr>
        <w:lastRenderedPageBreak/>
        <w:t>Contact</w:t>
      </w:r>
    </w:p>
    <w:p w14:paraId="5ADE2248" w14:textId="77777777" w:rsidR="00471C5D" w:rsidRPr="00471C5D" w:rsidRDefault="00471C5D" w:rsidP="00471C5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471C5D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16D61513" w14:textId="77777777" w:rsidR="00471C5D" w:rsidRPr="00471C5D" w:rsidRDefault="00471C5D" w:rsidP="00471C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C5D">
        <w:rPr>
          <w:rFonts w:ascii="Times New Roman" w:eastAsia="Times New Roman" w:hAnsi="Times New Roman" w:cs="Times New Roman"/>
          <w:kern w:val="0"/>
          <w14:ligatures w14:val="none"/>
        </w:rPr>
        <w:t>   Send Message</w:t>
      </w:r>
    </w:p>
    <w:p w14:paraId="2DF3497A" w14:textId="77777777" w:rsidR="00471C5D" w:rsidRPr="00471C5D" w:rsidRDefault="00471C5D" w:rsidP="00471C5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471C5D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46256EAA" w14:textId="6956A369" w:rsidR="00471C5D" w:rsidRDefault="00471C5D" w:rsidP="00471C5D">
      <w:r w:rsidRPr="00471C5D">
        <w:rPr>
          <w:rFonts w:ascii="Times New Roman" w:eastAsia="Times New Roman" w:hAnsi="Times New Roman" w:cs="Times New Roman"/>
          <w:kern w:val="0"/>
          <w14:ligatures w14:val="none"/>
        </w:rPr>
        <w:t>© Hallelujah Health Consulting — 2026</w:t>
      </w:r>
    </w:p>
    <w:sectPr w:rsidR="00471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C5D"/>
    <w:rsid w:val="00471C5D"/>
    <w:rsid w:val="009E7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EE789"/>
  <w15:chartTrackingRefBased/>
  <w15:docId w15:val="{5C764F34-77DE-4684-8691-EBC30CFDF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Abebe Abadi</dc:creator>
  <cp:keywords/>
  <dc:description/>
  <cp:lastModifiedBy>Abebe Abadi</cp:lastModifiedBy>
  <cp:revision>1</cp:revision>
  <dcterms:created xsi:type="dcterms:W3CDTF">2026-03-16T20:35:00Z</dcterms:created>
  <dcterms:modified xsi:type="dcterms:W3CDTF">2026-03-16T20:39:00Z</dcterms:modified>
</cp:coreProperties>
</file>