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Layout w:type="autofit"/>
        <w:tblCellMar>
          <w:top w:w="0" w:type="dxa"/>
          <w:left w:w="108" w:type="dxa"/>
          <w:bottom w:w="0" w:type="dxa"/>
          <w:right w:w="108" w:type="dxa"/>
        </w:tblCellMar>
      </w:tblPr>
      <w:tblGrid>
        <w:gridCol w:w="9832"/>
      </w:tblGrid>
      <w:tr w14:paraId="01F4A761">
        <w:tblPrEx>
          <w:tblCellMar>
            <w:top w:w="0" w:type="dxa"/>
            <w:left w:w="108" w:type="dxa"/>
            <w:bottom w:w="0" w:type="dxa"/>
            <w:right w:w="108" w:type="dxa"/>
          </w:tblCellMar>
        </w:tblPrEx>
        <w:trPr>
          <w:cantSplit/>
          <w:jc w:val="center"/>
        </w:trPr>
        <w:tc>
          <w:tcPr>
            <w:tcW w:w="9832" w:type="dxa"/>
            <w:tcBorders>
              <w:top w:val="nil"/>
              <w:left w:val="nil"/>
              <w:bottom w:val="nil"/>
              <w:right w:val="nil"/>
            </w:tcBorders>
            <w:shd w:val="clear" w:color="auto" w:fill="163B82"/>
          </w:tcPr>
          <w:p w14:paraId="3F037036">
            <w:pPr>
              <w:jc w:val="center"/>
              <w:rPr>
                <w:rFonts w:hint="eastAsia"/>
              </w:rPr>
            </w:pPr>
            <w:r>
              <w:rPr>
                <w:b/>
                <w:color w:val="FFFFFF"/>
              </w:rPr>
              <w:t>QUANSKILL • AI ENGINEERING &amp; DEPLOYMENT</w:t>
            </w:r>
          </w:p>
        </w:tc>
      </w:tr>
    </w:tbl>
    <w:p w14:paraId="21C5ECF6">
      <w:pPr>
        <w:spacing w:before="280"/>
        <w:jc w:val="center"/>
        <w:rPr>
          <w:rFonts w:hint="eastAsia"/>
        </w:rPr>
      </w:pPr>
      <w:r>
        <w:rPr>
          <w:b/>
          <w:color w:val="163B82"/>
          <w:sz w:val="48"/>
        </w:rPr>
        <w:t>WEEK 1 HOMEWORK</w:t>
      </w:r>
    </w:p>
    <w:p w14:paraId="4120601A">
      <w:pPr>
        <w:spacing w:after="40"/>
        <w:jc w:val="center"/>
        <w:rPr>
          <w:rFonts w:hint="eastAsia"/>
        </w:rPr>
      </w:pPr>
      <w:r>
        <w:rPr>
          <w:b/>
          <w:color w:val="1F1F1F"/>
          <w:sz w:val="30"/>
        </w:rPr>
        <w:t>Chapter 3 • From Business Pain to AI Opportunity</w:t>
      </w:r>
    </w:p>
    <w:p w14:paraId="1213A1E9">
      <w:pPr>
        <w:spacing w:after="240"/>
        <w:jc w:val="center"/>
        <w:rPr>
          <w:b/>
          <w:color w:val="F5A000"/>
          <w:sz w:val="21"/>
        </w:rPr>
      </w:pPr>
      <w:r>
        <w:rPr>
          <w:b/>
          <w:color w:val="F5A000"/>
          <w:sz w:val="21"/>
        </w:rPr>
        <w:t>Problem Framing • AI Suitability • MVP Design • Evaluation • Business Value</w:t>
      </w:r>
    </w:p>
    <w:p w14:paraId="23D9EB46">
      <w:pPr>
        <w:spacing w:after="240"/>
        <w:jc w:val="center"/>
        <w:rPr>
          <w:rFonts w:hint="eastAsia"/>
        </w:rPr>
      </w:pPr>
      <w:r>
        <w:rPr>
          <w:b/>
          <w:color w:val="F5A000"/>
          <w:sz w:val="21"/>
        </w:rPr>
        <w:t>Investigator: Mr. Satyam &amp; Mr. Nghiep</w:t>
      </w:r>
    </w:p>
    <w:tbl>
      <w:tblPr>
        <w:tblStyle w:val="12"/>
        <w:tblW w:w="0" w:type="auto"/>
        <w:jc w:val="center"/>
        <w:tblLayout w:type="fixed"/>
        <w:tblCellMar>
          <w:top w:w="0" w:type="dxa"/>
          <w:left w:w="108" w:type="dxa"/>
          <w:bottom w:w="0" w:type="dxa"/>
          <w:right w:w="108" w:type="dxa"/>
        </w:tblCellMar>
      </w:tblPr>
      <w:tblGrid>
        <w:gridCol w:w="2520"/>
        <w:gridCol w:w="6912"/>
      </w:tblGrid>
      <w:tr w14:paraId="2D9A5720">
        <w:tblPrEx>
          <w:tblCellMar>
            <w:top w:w="0" w:type="dxa"/>
            <w:left w:w="108" w:type="dxa"/>
            <w:bottom w:w="0" w:type="dxa"/>
            <w:right w:w="108" w:type="dxa"/>
          </w:tblCellMar>
        </w:tblPrEx>
        <w:trPr>
          <w:cantSplit/>
          <w:jc w:val="center"/>
        </w:trPr>
        <w:tc>
          <w:tcPr>
            <w:tcW w:w="2520" w:type="dxa"/>
            <w:tcBorders>
              <w:top w:val="single" w:color="CAD6EA" w:sz="4" w:space="0"/>
              <w:left w:val="single" w:color="CAD6EA" w:sz="4" w:space="0"/>
              <w:bottom w:val="single" w:color="CAD6EA" w:sz="4" w:space="0"/>
              <w:right w:val="single" w:color="CAD6EA" w:sz="4" w:space="0"/>
            </w:tcBorders>
            <w:shd w:val="clear" w:color="auto" w:fill="EAF1FB"/>
          </w:tcPr>
          <w:p w14:paraId="163720AB">
            <w:pPr>
              <w:rPr>
                <w:rFonts w:hint="eastAsia"/>
              </w:rPr>
            </w:pPr>
            <w:r>
              <w:rPr>
                <w:b/>
                <w:color w:val="163B82"/>
                <w:sz w:val="18"/>
              </w:rPr>
              <w:t>Student Name</w:t>
            </w:r>
          </w:p>
        </w:tc>
        <w:tc>
          <w:tcPr>
            <w:tcW w:w="6912" w:type="dxa"/>
            <w:tcBorders>
              <w:top w:val="single" w:color="CAD6EA" w:sz="4" w:space="0"/>
              <w:left w:val="single" w:color="CAD6EA" w:sz="4" w:space="0"/>
              <w:bottom w:val="single" w:color="CAD6EA" w:sz="4" w:space="0"/>
              <w:right w:val="single" w:color="CAD6EA" w:sz="4" w:space="0"/>
            </w:tcBorders>
          </w:tcPr>
          <w:p w14:paraId="5BECFC5D">
            <w:pPr>
              <w:rPr>
                <w:rFonts w:hint="default"/>
                <w:lang w:val="en-US"/>
              </w:rPr>
            </w:pPr>
            <w:r>
              <w:rPr>
                <w:rFonts w:hint="default"/>
                <w:lang w:val="en-US"/>
              </w:rPr>
              <w:t>Nguyễn Tiến Việt Hưng</w:t>
            </w:r>
          </w:p>
        </w:tc>
      </w:tr>
      <w:tr w14:paraId="21EC2BC8">
        <w:tblPrEx>
          <w:tblCellMar>
            <w:top w:w="0" w:type="dxa"/>
            <w:left w:w="108" w:type="dxa"/>
            <w:bottom w:w="0" w:type="dxa"/>
            <w:right w:w="108" w:type="dxa"/>
          </w:tblCellMar>
        </w:tblPrEx>
        <w:trPr>
          <w:cantSplit/>
          <w:jc w:val="center"/>
        </w:trPr>
        <w:tc>
          <w:tcPr>
            <w:tcW w:w="2520" w:type="dxa"/>
            <w:tcBorders>
              <w:top w:val="single" w:color="CAD6EA" w:sz="4" w:space="0"/>
              <w:left w:val="single" w:color="CAD6EA" w:sz="4" w:space="0"/>
              <w:bottom w:val="single" w:color="CAD6EA" w:sz="4" w:space="0"/>
              <w:right w:val="single" w:color="CAD6EA" w:sz="4" w:space="0"/>
            </w:tcBorders>
            <w:shd w:val="clear" w:color="auto" w:fill="EAF1FB"/>
          </w:tcPr>
          <w:p w14:paraId="150D2A37">
            <w:pPr>
              <w:rPr>
                <w:rFonts w:hint="eastAsia"/>
              </w:rPr>
            </w:pPr>
            <w:r>
              <w:rPr>
                <w:b/>
                <w:color w:val="163B82"/>
                <w:sz w:val="18"/>
              </w:rPr>
              <w:t>Student Email</w:t>
            </w:r>
          </w:p>
        </w:tc>
        <w:tc>
          <w:tcPr>
            <w:tcW w:w="6912" w:type="dxa"/>
            <w:tcBorders>
              <w:top w:val="single" w:color="CAD6EA" w:sz="4" w:space="0"/>
              <w:left w:val="single" w:color="CAD6EA" w:sz="4" w:space="0"/>
              <w:bottom w:val="single" w:color="CAD6EA" w:sz="4" w:space="0"/>
              <w:right w:val="single" w:color="CAD6EA" w:sz="4" w:space="0"/>
            </w:tcBorders>
          </w:tcPr>
          <w:p w14:paraId="35192D50">
            <w:pPr>
              <w:rPr>
                <w:rFonts w:hint="default"/>
                <w:lang w:val="en-US"/>
              </w:rPr>
            </w:pPr>
            <w:r>
              <w:rPr>
                <w:rFonts w:hint="default"/>
                <w:lang w:val="en-US"/>
              </w:rPr>
              <w:t>ntvh0211@gmail.com</w:t>
            </w:r>
          </w:p>
        </w:tc>
      </w:tr>
      <w:tr w14:paraId="1F36681D">
        <w:tblPrEx>
          <w:tblCellMar>
            <w:top w:w="0" w:type="dxa"/>
            <w:left w:w="108" w:type="dxa"/>
            <w:bottom w:w="0" w:type="dxa"/>
            <w:right w:w="108" w:type="dxa"/>
          </w:tblCellMar>
        </w:tblPrEx>
        <w:trPr>
          <w:cantSplit/>
          <w:jc w:val="center"/>
        </w:trPr>
        <w:tc>
          <w:tcPr>
            <w:tcW w:w="2520" w:type="dxa"/>
            <w:tcBorders>
              <w:top w:val="single" w:color="CAD6EA" w:sz="4" w:space="0"/>
              <w:left w:val="single" w:color="CAD6EA" w:sz="4" w:space="0"/>
              <w:bottom w:val="single" w:color="CAD6EA" w:sz="4" w:space="0"/>
              <w:right w:val="single" w:color="CAD6EA" w:sz="4" w:space="0"/>
            </w:tcBorders>
            <w:shd w:val="clear" w:color="auto" w:fill="EAF1FB"/>
          </w:tcPr>
          <w:p w14:paraId="7C5869B3">
            <w:pPr>
              <w:rPr>
                <w:rFonts w:hint="eastAsia"/>
              </w:rPr>
            </w:pPr>
            <w:r>
              <w:rPr>
                <w:b/>
                <w:color w:val="163B82"/>
                <w:sz w:val="18"/>
              </w:rPr>
              <w:t>Selected Solution Track</w:t>
            </w:r>
          </w:p>
        </w:tc>
        <w:tc>
          <w:tcPr>
            <w:tcW w:w="6912" w:type="dxa"/>
            <w:tcBorders>
              <w:top w:val="single" w:color="CAD6EA" w:sz="4" w:space="0"/>
              <w:left w:val="single" w:color="CAD6EA" w:sz="4" w:space="0"/>
              <w:bottom w:val="single" w:color="CAD6EA" w:sz="4" w:space="0"/>
              <w:right w:val="single" w:color="CAD6EA" w:sz="4" w:space="0"/>
            </w:tcBorders>
          </w:tcPr>
          <w:p w14:paraId="66DBF442">
            <w:pPr>
              <w:rPr>
                <w:rFonts w:hint="eastAsia"/>
              </w:rPr>
            </w:pPr>
            <w:r>
              <w:rPr>
                <w:b/>
                <w:color w:val="1F2937"/>
                <w:sz w:val="20"/>
              </w:rPr>
              <w:t>Customer Support Assistant</w:t>
            </w:r>
          </w:p>
        </w:tc>
      </w:tr>
      <w:tr w14:paraId="6EF5BDB6">
        <w:trPr>
          <w:cantSplit/>
          <w:jc w:val="center"/>
        </w:trPr>
        <w:tc>
          <w:tcPr>
            <w:tcW w:w="2520" w:type="dxa"/>
            <w:tcBorders>
              <w:top w:val="single" w:color="CAD6EA" w:sz="4" w:space="0"/>
              <w:left w:val="single" w:color="CAD6EA" w:sz="4" w:space="0"/>
              <w:bottom w:val="single" w:color="CAD6EA" w:sz="4" w:space="0"/>
              <w:right w:val="single" w:color="CAD6EA" w:sz="4" w:space="0"/>
            </w:tcBorders>
            <w:shd w:val="clear" w:color="auto" w:fill="EAF1FB"/>
          </w:tcPr>
          <w:p w14:paraId="0544D5BD">
            <w:pPr>
              <w:rPr>
                <w:rFonts w:hint="eastAsia"/>
              </w:rPr>
            </w:pPr>
            <w:r>
              <w:rPr>
                <w:b/>
                <w:color w:val="163B82"/>
                <w:sz w:val="18"/>
              </w:rPr>
              <w:t>Submission Date</w:t>
            </w:r>
          </w:p>
        </w:tc>
        <w:tc>
          <w:tcPr>
            <w:tcW w:w="6912" w:type="dxa"/>
            <w:tcBorders>
              <w:top w:val="single" w:color="CAD6EA" w:sz="4" w:space="0"/>
              <w:left w:val="single" w:color="CAD6EA" w:sz="4" w:space="0"/>
              <w:bottom w:val="single" w:color="CAD6EA" w:sz="4" w:space="0"/>
              <w:right w:val="single" w:color="CAD6EA" w:sz="4" w:space="0"/>
            </w:tcBorders>
          </w:tcPr>
          <w:p w14:paraId="3CC865CA">
            <w:pPr>
              <w:rPr>
                <w:rFonts w:hint="default"/>
                <w:lang w:val="en-US"/>
              </w:rPr>
            </w:pPr>
            <w:r>
              <w:rPr>
                <w:rFonts w:hint="default"/>
                <w:lang w:val="en-US"/>
              </w:rPr>
              <w:t>19/9/2026</w:t>
            </w:r>
          </w:p>
        </w:tc>
      </w:tr>
    </w:tbl>
    <w:p w14:paraId="647BEC52">
      <w:pPr>
        <w:spacing w:before="200" w:after="60"/>
        <w:rPr>
          <w:rFonts w:hint="eastAsia"/>
        </w:rPr>
      </w:pPr>
      <w:r>
        <w:rPr>
          <w:b/>
          <w:color w:val="163B82"/>
          <w:sz w:val="22"/>
        </w:rPr>
        <w:t>Deadline: 20</w:t>
      </w:r>
      <w:r>
        <w:rPr>
          <w:b/>
          <w:color w:val="163B82"/>
          <w:sz w:val="22"/>
          <w:vertAlign w:val="superscript"/>
        </w:rPr>
        <w:t>th</w:t>
      </w:r>
      <w:r>
        <w:rPr>
          <w:b/>
          <w:color w:val="163B82"/>
          <w:sz w:val="22"/>
        </w:rPr>
        <w:t xml:space="preserve"> Sep, 2026 | Assessment: 100 marks</w:t>
      </w:r>
      <w:r>
        <w:rPr>
          <w:color w:val="6B7280"/>
          <w:sz w:val="19"/>
        </w:rPr>
        <w:t xml:space="preserve">   |   Suggested effort: 2–3 hours   |   Submission format: editable DOCX + Week 1 project artifact | </w:t>
      </w:r>
      <w:r>
        <w:rPr>
          <w:b/>
          <w:bCs/>
          <w:color w:val="6B7280"/>
          <w:sz w:val="19"/>
        </w:rPr>
        <w:t xml:space="preserve">Submit your homework to </w:t>
      </w:r>
      <w:r>
        <w:fldChar w:fldCharType="begin"/>
      </w:r>
      <w:r>
        <w:instrText xml:space="preserve"> HYPERLINK "mailto:info@quanskill.com" </w:instrText>
      </w:r>
      <w:r>
        <w:fldChar w:fldCharType="separate"/>
      </w:r>
      <w:r>
        <w:rPr>
          <w:rStyle w:val="20"/>
          <w:b/>
          <w:bCs/>
          <w:sz w:val="19"/>
        </w:rPr>
        <w:t>info@quanskill.com</w:t>
      </w:r>
      <w:r>
        <w:rPr>
          <w:rStyle w:val="20"/>
          <w:b/>
          <w:bCs/>
          <w:sz w:val="19"/>
        </w:rPr>
        <w:fldChar w:fldCharType="end"/>
      </w:r>
      <w:r>
        <w:rPr>
          <w:b/>
          <w:bCs/>
          <w:color w:val="6B7280"/>
          <w:sz w:val="19"/>
        </w:rPr>
        <w:t xml:space="preserve"> with your github repository link, after uploading your all homework in a Github Repository as week 1.</w:t>
      </w:r>
    </w:p>
    <w:tbl>
      <w:tblPr>
        <w:tblStyle w:val="12"/>
        <w:tblW w:w="0" w:type="auto"/>
        <w:jc w:val="center"/>
        <w:tblLayout w:type="autofit"/>
        <w:tblCellMar>
          <w:top w:w="0" w:type="dxa"/>
          <w:left w:w="108" w:type="dxa"/>
          <w:bottom w:w="0" w:type="dxa"/>
          <w:right w:w="108" w:type="dxa"/>
        </w:tblCellMar>
      </w:tblPr>
      <w:tblGrid>
        <w:gridCol w:w="9832"/>
      </w:tblGrid>
      <w:tr w14:paraId="28035281">
        <w:tblPrEx>
          <w:tblCellMar>
            <w:top w:w="0" w:type="dxa"/>
            <w:left w:w="108" w:type="dxa"/>
            <w:bottom w:w="0" w:type="dxa"/>
            <w:right w:w="108" w:type="dxa"/>
          </w:tblCellMar>
        </w:tblPrEx>
        <w:trPr>
          <w:cantSplit/>
          <w:jc w:val="center"/>
        </w:trPr>
        <w:tc>
          <w:tcPr>
            <w:tcW w:w="9832" w:type="dxa"/>
            <w:tcBorders>
              <w:top w:val="single" w:color="E2C769" w:sz="4" w:space="0"/>
              <w:left w:val="single" w:color="E2C769" w:sz="4" w:space="0"/>
              <w:bottom w:val="single" w:color="E2C769" w:sz="4" w:space="0"/>
              <w:right w:val="single" w:color="E2C769" w:sz="4" w:space="0"/>
            </w:tcBorders>
            <w:shd w:val="clear" w:color="auto" w:fill="FFF6DD"/>
          </w:tcPr>
          <w:p w14:paraId="0125F3B7">
            <w:pPr>
              <w:rPr>
                <w:rFonts w:hint="eastAsia"/>
              </w:rPr>
            </w:pPr>
            <w:r>
              <w:rPr>
                <w:b/>
                <w:color w:val="163B82"/>
                <w:sz w:val="19"/>
              </w:rPr>
              <w:t>Purpose of this homework</w:t>
            </w:r>
            <w:r>
              <w:rPr>
                <w:b/>
                <w:color w:val="163B82"/>
                <w:sz w:val="19"/>
              </w:rPr>
              <w:br w:type="textWrapping"/>
            </w:r>
            <w:r>
              <w:rPr>
                <w:color w:val="1F1F1F"/>
                <w:sz w:val="18"/>
              </w:rPr>
              <w:t>Demonstrate that you can move from a vague business complaint to a testable AI engineering project definition. Your answers should show reasoning, not only terminology. All page numbers refer to the printed book pages in Chapter 3.</w:t>
            </w:r>
          </w:p>
        </w:tc>
      </w:tr>
    </w:tbl>
    <w:p w14:paraId="2280D9FC">
      <w:pPr>
        <w:spacing w:before="160" w:after="100"/>
        <w:rPr>
          <w:rFonts w:hint="eastAsia"/>
        </w:rPr>
      </w:pPr>
      <w:r>
        <w:rPr>
          <w:b/>
          <w:color w:val="163B82"/>
          <w:sz w:val="30"/>
        </w:rPr>
        <w:t>Submission Instructions</w:t>
      </w:r>
    </w:p>
    <w:p w14:paraId="44376396">
      <w:pPr>
        <w:pStyle w:val="24"/>
        <w:spacing w:after="40"/>
        <w:rPr>
          <w:rFonts w:hint="eastAsia"/>
        </w:rPr>
      </w:pPr>
      <w:r>
        <w:rPr>
          <w:sz w:val="19"/>
        </w:rPr>
        <w:t>Answer every question. Show calculations where requested.</w:t>
      </w:r>
    </w:p>
    <w:p w14:paraId="1BF45B2E">
      <w:pPr>
        <w:pStyle w:val="24"/>
        <w:spacing w:after="40"/>
        <w:rPr>
          <w:rFonts w:hint="eastAsia"/>
        </w:rPr>
      </w:pPr>
      <w:r>
        <w:rPr>
          <w:sz w:val="19"/>
        </w:rPr>
        <w:t>For applied questions, write the problem before naming an AI technology.</w:t>
      </w:r>
    </w:p>
    <w:p w14:paraId="085AC23D">
      <w:pPr>
        <w:pStyle w:val="24"/>
        <w:spacing w:after="40"/>
        <w:rPr>
          <w:rFonts w:hint="eastAsia"/>
        </w:rPr>
      </w:pPr>
      <w:r>
        <w:rPr>
          <w:sz w:val="19"/>
        </w:rPr>
        <w:t>When evidence is uncertain, label it Observed, Estimated, Assumed, or Unknown instead of inventing precision.</w:t>
      </w:r>
    </w:p>
    <w:p w14:paraId="1CDA5F6D">
      <w:pPr>
        <w:pStyle w:val="24"/>
        <w:spacing w:after="40"/>
        <w:rPr>
          <w:rFonts w:hint="eastAsia"/>
        </w:rPr>
      </w:pPr>
      <w:r>
        <w:rPr>
          <w:sz w:val="19"/>
        </w:rPr>
        <w:t>Use one selected solution track for the major applied task: AI Research Assistant, Business Insight Assistant, Customer Support Assistant, or AIOps Log Intelligence.</w:t>
      </w:r>
    </w:p>
    <w:p w14:paraId="008B9418">
      <w:pPr>
        <w:pStyle w:val="24"/>
        <w:spacing w:after="40"/>
        <w:rPr>
          <w:rFonts w:hint="eastAsia"/>
        </w:rPr>
      </w:pPr>
      <w:r>
        <w:rPr>
          <w:sz w:val="19"/>
        </w:rPr>
        <w:t>The document is intentionally editable. Expand answer boxes as needed.</w:t>
      </w:r>
    </w:p>
    <w:p w14:paraId="05BD18BD">
      <w:pPr>
        <w:spacing w:before="160" w:after="100"/>
        <w:rPr>
          <w:rFonts w:hint="eastAsia"/>
        </w:rPr>
      </w:pPr>
      <w:r>
        <w:rPr>
          <w:b/>
          <w:color w:val="163B82"/>
          <w:sz w:val="30"/>
        </w:rPr>
        <w:t>Section A: Problem Framing Foundations (20 marks)</w:t>
      </w:r>
    </w:p>
    <w:p w14:paraId="426AD118">
      <w:pPr>
        <w:spacing w:after="120"/>
        <w:rPr>
          <w:rFonts w:hint="eastAsia"/>
        </w:rPr>
      </w:pPr>
      <w:r>
        <w:rPr>
          <w:i/>
          <w:color w:val="6B7280"/>
          <w:sz w:val="19"/>
        </w:rPr>
        <w:t>Focus: problem-first thinking, target users, workflow and baseline.</w:t>
      </w:r>
    </w:p>
    <w:tbl>
      <w:tblPr>
        <w:tblStyle w:val="12"/>
        <w:tblW w:w="0" w:type="auto"/>
        <w:jc w:val="center"/>
        <w:tblLayout w:type="fixed"/>
        <w:tblCellMar>
          <w:top w:w="0" w:type="dxa"/>
          <w:left w:w="108" w:type="dxa"/>
          <w:bottom w:w="0" w:type="dxa"/>
          <w:right w:w="108" w:type="dxa"/>
        </w:tblCellMar>
      </w:tblPr>
      <w:tblGrid>
        <w:gridCol w:w="4916"/>
        <w:gridCol w:w="4916"/>
      </w:tblGrid>
      <w:tr w14:paraId="3C678B24">
        <w:tblPrEx>
          <w:tblCellMar>
            <w:top w:w="0" w:type="dxa"/>
            <w:left w:w="108" w:type="dxa"/>
            <w:bottom w:w="0" w:type="dxa"/>
            <w:right w:w="108" w:type="dxa"/>
          </w:tblCellMar>
        </w:tblPrEx>
        <w:trPr>
          <w:cantSplit/>
          <w:jc w:val="center"/>
        </w:trPr>
        <w:tc>
          <w:tcPr>
            <w:tcW w:w="4916" w:type="dxa"/>
            <w:tcBorders>
              <w:top w:val="single" w:color="D7E0EF" w:sz="4" w:space="0"/>
              <w:left w:val="single" w:color="D7E0EF" w:sz="4" w:space="0"/>
              <w:bottom w:val="single" w:color="D7E0EF" w:sz="4" w:space="0"/>
              <w:right w:val="single" w:color="D7E0EF" w:sz="4" w:space="0"/>
            </w:tcBorders>
            <w:shd w:val="clear" w:color="auto" w:fill="EAF1FB"/>
          </w:tcPr>
          <w:p w14:paraId="16E4612B">
            <w:pPr>
              <w:spacing w:after="0"/>
              <w:rPr>
                <w:rFonts w:hint="eastAsia"/>
              </w:rPr>
            </w:pPr>
            <w:r>
              <w:rPr>
                <w:b/>
                <w:color w:val="1F1F1F"/>
                <w:sz w:val="21"/>
              </w:rPr>
              <w:t>Q1. Explain why “We need a RAG chatbot” is not yet an engineering problem. Rewrite it as a problem statement that does not name a technology.</w:t>
            </w:r>
          </w:p>
        </w:tc>
        <w:tc>
          <w:tcPr>
            <w:tcW w:w="4916" w:type="dxa"/>
            <w:tcBorders>
              <w:top w:val="single" w:color="D7E0EF" w:sz="4" w:space="0"/>
              <w:left w:val="single" w:color="D7E0EF" w:sz="4" w:space="0"/>
              <w:bottom w:val="single" w:color="D7E0EF" w:sz="4" w:space="0"/>
              <w:right w:val="single" w:color="D7E0EF" w:sz="4" w:space="0"/>
            </w:tcBorders>
            <w:shd w:val="clear" w:color="auto" w:fill="FFF6DD"/>
          </w:tcPr>
          <w:p w14:paraId="527061DF">
            <w:pPr>
              <w:spacing w:after="0"/>
              <w:jc w:val="center"/>
              <w:rPr>
                <w:rFonts w:hint="eastAsia"/>
              </w:rPr>
            </w:pPr>
            <w:r>
              <w:rPr>
                <w:b/>
                <w:color w:val="163B82"/>
                <w:sz w:val="18"/>
              </w:rPr>
              <w:t>3 marks</w:t>
            </w:r>
          </w:p>
        </w:tc>
      </w:tr>
    </w:tbl>
    <w:p w14:paraId="6B51C9D4">
      <w:pPr>
        <w:spacing w:before="40" w:after="60"/>
        <w:rPr>
          <w:rFonts w:hint="eastAsia"/>
        </w:rPr>
      </w:pPr>
      <w:r>
        <w:rPr>
          <w:b/>
          <w:color w:val="F5A000"/>
          <w:sz w:val="17"/>
        </w:rPr>
        <w:t>Book reference: §3.1, “Business Problem: Do Not Begin with the Model,” pp. 210–212</w:t>
      </w:r>
    </w:p>
    <w:tbl>
      <w:tblPr>
        <w:tblStyle w:val="12"/>
        <w:tblW w:w="0" w:type="auto"/>
        <w:jc w:val="center"/>
        <w:tblLayout w:type="fixed"/>
        <w:tblCellMar>
          <w:top w:w="0" w:type="dxa"/>
          <w:left w:w="108" w:type="dxa"/>
          <w:bottom w:w="0" w:type="dxa"/>
          <w:right w:w="108" w:type="dxa"/>
        </w:tblCellMar>
      </w:tblPr>
      <w:tblGrid>
        <w:gridCol w:w="9432"/>
      </w:tblGrid>
      <w:tr w14:paraId="3949EE14">
        <w:tblPrEx>
          <w:tblCellMar>
            <w:top w:w="0" w:type="dxa"/>
            <w:left w:w="108" w:type="dxa"/>
            <w:bottom w:w="0" w:type="dxa"/>
            <w:right w:w="108" w:type="dxa"/>
          </w:tblCellMar>
        </w:tblPrEx>
        <w:trPr>
          <w:cantSplit/>
          <w:jc w:val="center"/>
        </w:trPr>
        <w:tc>
          <w:tcPr>
            <w:tcW w:w="9432" w:type="dxa"/>
            <w:tcBorders>
              <w:top w:val="single" w:color="B7C7E6" w:sz="6" w:space="0"/>
              <w:left w:val="single" w:color="B7C7E6" w:sz="6" w:space="0"/>
              <w:bottom w:val="single" w:color="B7C7E6" w:sz="6" w:space="0"/>
              <w:right w:val="single" w:color="B7C7E6" w:sz="6" w:space="0"/>
            </w:tcBorders>
            <w:shd w:val="clear" w:color="auto" w:fill="F9FBFE"/>
          </w:tcPr>
          <w:p w14:paraId="3BB8BD7B">
            <w:pPr>
              <w:spacing w:before="0" w:after="80"/>
              <w:rPr>
                <w:rFonts w:hint="eastAsia"/>
              </w:rPr>
            </w:pPr>
            <w:r>
              <w:rPr>
                <w:b/>
                <w:color w:val="1F2937"/>
                <w:sz w:val="18"/>
              </w:rPr>
              <w:t>Why it is not yet an engineering problem.</w:t>
            </w:r>
            <w:r>
              <w:rPr>
                <w:b w:val="0"/>
                <w:color w:val="1F2937"/>
                <w:sz w:val="18"/>
              </w:rPr>
              <w:t xml:space="preserve"> “We need a RAG chatbot” names a solution (a technique plus an interface). It does not say who has the pain, what task is painful, how the work is done today, what “better” means, or what limits apply. Without those, nobody can test whether the solution worked, and simpler alternatives (a better search box, response templates, cleaning up the help-center pages) are never compared. It is a technology preference, not a testable problem.</w:t>
            </w:r>
          </w:p>
          <w:p w14:paraId="44077B17">
            <w:pPr>
              <w:spacing w:before="0" w:after="80"/>
            </w:pPr>
            <w:r>
              <w:rPr>
                <w:b/>
                <w:color w:val="1F2937"/>
                <w:sz w:val="18"/>
              </w:rPr>
              <w:t>Technology-free problem statement (Assumed scenario):</w:t>
            </w:r>
            <w:r>
              <w:rPr>
                <w:b w:val="0"/>
                <w:color w:val="1F2937"/>
                <w:sz w:val="18"/>
              </w:rPr>
              <w:t xml:space="preserve"> Tier-1 support agents re-answer the same product and policy questions every day by manually searching several scattered sources (help-center pages, an internal wiki, past tickets) and checking that the answer matches the current policy. This slows the first reply (current time per ticket: Unknown, not yet measured) and lets answers differ from agent to agent. The team needs a way to find and verify the correct answer for repeated questions faster, without lowering answer correctness.</w:t>
            </w:r>
          </w:p>
          <w:p w14:paraId="36C29627">
            <w:pPr>
              <w:spacing w:before="0" w:after="80"/>
            </w:pPr>
            <w:r>
              <w:rPr>
                <w:b w:val="0"/>
                <w:color w:val="1F2937"/>
                <w:sz w:val="18"/>
              </w:rPr>
              <w:t>Evidence status: problem statement = Assumed (scenario); baseline size = Unknown.</w:t>
            </w:r>
          </w:p>
        </w:tc>
      </w:tr>
    </w:tbl>
    <w:p w14:paraId="643F394C">
      <w:pPr>
        <w:spacing w:after="40"/>
        <w:rPr>
          <w:rFonts w:hint="eastAsia"/>
        </w:rPr>
      </w:pPr>
    </w:p>
    <w:tbl>
      <w:tblPr>
        <w:tblStyle w:val="12"/>
        <w:tblW w:w="0" w:type="auto"/>
        <w:jc w:val="center"/>
        <w:tblLayout w:type="fixed"/>
        <w:tblCellMar>
          <w:top w:w="0" w:type="dxa"/>
          <w:left w:w="108" w:type="dxa"/>
          <w:bottom w:w="0" w:type="dxa"/>
          <w:right w:w="108" w:type="dxa"/>
        </w:tblCellMar>
      </w:tblPr>
      <w:tblGrid>
        <w:gridCol w:w="4916"/>
        <w:gridCol w:w="4916"/>
      </w:tblGrid>
      <w:tr w14:paraId="78B8B41F">
        <w:tblPrEx>
          <w:tblCellMar>
            <w:top w:w="0" w:type="dxa"/>
            <w:left w:w="108" w:type="dxa"/>
            <w:bottom w:w="0" w:type="dxa"/>
            <w:right w:w="108" w:type="dxa"/>
          </w:tblCellMar>
        </w:tblPrEx>
        <w:trPr>
          <w:cantSplit/>
          <w:jc w:val="center"/>
        </w:trPr>
        <w:tc>
          <w:tcPr>
            <w:tcW w:w="4916" w:type="dxa"/>
            <w:tcBorders>
              <w:top w:val="single" w:color="D7E0EF" w:sz="4" w:space="0"/>
              <w:left w:val="single" w:color="D7E0EF" w:sz="4" w:space="0"/>
              <w:bottom w:val="single" w:color="D7E0EF" w:sz="4" w:space="0"/>
              <w:right w:val="single" w:color="D7E0EF" w:sz="4" w:space="0"/>
            </w:tcBorders>
            <w:shd w:val="clear" w:color="auto" w:fill="EAF1FB"/>
          </w:tcPr>
          <w:p w14:paraId="6886161D">
            <w:pPr>
              <w:spacing w:after="0"/>
              <w:rPr>
                <w:rFonts w:hint="eastAsia"/>
              </w:rPr>
            </w:pPr>
            <w:r>
              <w:rPr>
                <w:b/>
                <w:color w:val="1F1F1F"/>
                <w:sz w:val="21"/>
              </w:rPr>
              <w:t>Q2. Transform the complaint “Our support team answers the same questions every day” using the chain Complaint → Observable Process → Measurable Gap.</w:t>
            </w:r>
          </w:p>
        </w:tc>
        <w:tc>
          <w:tcPr>
            <w:tcW w:w="4916" w:type="dxa"/>
            <w:tcBorders>
              <w:top w:val="single" w:color="D7E0EF" w:sz="4" w:space="0"/>
              <w:left w:val="single" w:color="D7E0EF" w:sz="4" w:space="0"/>
              <w:bottom w:val="single" w:color="D7E0EF" w:sz="4" w:space="0"/>
              <w:right w:val="single" w:color="D7E0EF" w:sz="4" w:space="0"/>
            </w:tcBorders>
            <w:shd w:val="clear" w:color="auto" w:fill="FFF6DD"/>
          </w:tcPr>
          <w:p w14:paraId="7B0B39E3">
            <w:pPr>
              <w:spacing w:after="0"/>
              <w:jc w:val="center"/>
              <w:rPr>
                <w:rFonts w:hint="eastAsia"/>
              </w:rPr>
            </w:pPr>
            <w:r>
              <w:rPr>
                <w:b/>
                <w:color w:val="163B82"/>
                <w:sz w:val="18"/>
              </w:rPr>
              <w:t>3 marks</w:t>
            </w:r>
          </w:p>
        </w:tc>
      </w:tr>
    </w:tbl>
    <w:p w14:paraId="60E2F070">
      <w:pPr>
        <w:spacing w:before="40" w:after="60"/>
        <w:rPr>
          <w:rFonts w:hint="eastAsia"/>
        </w:rPr>
      </w:pPr>
      <w:r>
        <w:rPr>
          <w:b/>
          <w:color w:val="F5A000"/>
          <w:sz w:val="17"/>
        </w:rPr>
        <w:t>Book reference: §3.3, “From a Complaint to an Engineering Problem,” pp. 213–215</w:t>
      </w:r>
    </w:p>
    <w:tbl>
      <w:tblPr>
        <w:tblStyle w:val="12"/>
        <w:tblW w:w="0" w:type="auto"/>
        <w:jc w:val="center"/>
        <w:tblLayout w:type="fixed"/>
        <w:tblCellMar>
          <w:top w:w="0" w:type="dxa"/>
          <w:left w:w="108" w:type="dxa"/>
          <w:bottom w:w="0" w:type="dxa"/>
          <w:right w:w="108" w:type="dxa"/>
        </w:tblCellMar>
      </w:tblPr>
      <w:tblGrid>
        <w:gridCol w:w="9432"/>
      </w:tblGrid>
      <w:tr w14:paraId="09018EB3">
        <w:tblPrEx>
          <w:tblCellMar>
            <w:top w:w="0" w:type="dxa"/>
            <w:left w:w="108" w:type="dxa"/>
            <w:bottom w:w="0" w:type="dxa"/>
            <w:right w:w="108" w:type="dxa"/>
          </w:tblCellMar>
        </w:tblPrEx>
        <w:trPr>
          <w:cantSplit/>
          <w:jc w:val="center"/>
        </w:trPr>
        <w:tc>
          <w:tcPr>
            <w:tcW w:w="9432" w:type="dxa"/>
            <w:tcBorders>
              <w:top w:val="single" w:color="B7C7E6" w:sz="6" w:space="0"/>
              <w:left w:val="single" w:color="B7C7E6" w:sz="6" w:space="0"/>
              <w:bottom w:val="single" w:color="B7C7E6" w:sz="6" w:space="0"/>
              <w:right w:val="single" w:color="B7C7E6" w:sz="6" w:space="0"/>
            </w:tcBorders>
            <w:shd w:val="clear" w:color="auto" w:fill="F9FBFE"/>
          </w:tcPr>
          <w:p w14:paraId="7D2ED72B">
            <w:pPr>
              <w:spacing w:before="0" w:after="0" w:line="20" w:lineRule="exact"/>
              <w:rPr>
                <w:rFonts w:hint="eastAsia"/>
              </w:rPr>
            </w:pPr>
          </w:p>
          <w:tbl>
            <w:tblPr>
              <w:tblStyle w:val="12"/>
              <w:tblW w:w="9200" w:type="dxa"/>
              <w:tblInd w:w="0" w:type="dxa"/>
              <w:tblLayout w:type="fixed"/>
              <w:tblCellMar>
                <w:top w:w="30" w:type="dxa"/>
                <w:left w:w="70" w:type="dxa"/>
                <w:bottom w:w="30" w:type="dxa"/>
                <w:right w:w="70" w:type="dxa"/>
              </w:tblCellMar>
            </w:tblPr>
            <w:tblGrid>
              <w:gridCol w:w="1500"/>
              <w:gridCol w:w="6300"/>
              <w:gridCol w:w="1400"/>
            </w:tblGrid>
            <w:tr w14:paraId="290F2D6F">
              <w:tblPrEx>
                <w:tblCellMar>
                  <w:top w:w="30" w:type="dxa"/>
                  <w:left w:w="70" w:type="dxa"/>
                  <w:bottom w:w="30" w:type="dxa"/>
                  <w:right w:w="70" w:type="dxa"/>
                </w:tblCellMar>
              </w:tblPrEx>
              <w:trPr>
                <w:cantSplit/>
                <w:tblHeader/>
              </w:trPr>
              <w:tc>
                <w:tcPr>
                  <w:tcW w:w="1500" w:type="dxa"/>
                  <w:tcBorders>
                    <w:top w:val="single" w:color="B7C7E6" w:sz="4" w:space="0"/>
                    <w:left w:val="single" w:color="B7C7E6" w:sz="4" w:space="0"/>
                    <w:bottom w:val="single" w:color="B7C7E6" w:sz="4" w:space="0"/>
                    <w:right w:val="single" w:color="B7C7E6" w:sz="4" w:space="0"/>
                  </w:tcBorders>
                  <w:shd w:val="clear" w:color="auto" w:fill="EAF1FB"/>
                </w:tcPr>
                <w:p w14:paraId="5A96D14F">
                  <w:pPr>
                    <w:spacing w:before="0" w:after="0"/>
                  </w:pPr>
                  <w:r>
                    <w:rPr>
                      <w:b/>
                      <w:color w:val="163B82"/>
                      <w:sz w:val="16"/>
                    </w:rPr>
                    <w:t>Step</w:t>
                  </w:r>
                </w:p>
              </w:tc>
              <w:tc>
                <w:tcPr>
                  <w:tcW w:w="6300" w:type="dxa"/>
                  <w:tcBorders>
                    <w:top w:val="single" w:color="B7C7E6" w:sz="4" w:space="0"/>
                    <w:left w:val="single" w:color="B7C7E6" w:sz="4" w:space="0"/>
                    <w:bottom w:val="single" w:color="B7C7E6" w:sz="4" w:space="0"/>
                    <w:right w:val="single" w:color="B7C7E6" w:sz="4" w:space="0"/>
                  </w:tcBorders>
                  <w:shd w:val="clear" w:color="auto" w:fill="EAF1FB"/>
                </w:tcPr>
                <w:p w14:paraId="23733BA0">
                  <w:pPr>
                    <w:spacing w:before="0" w:after="0"/>
                  </w:pPr>
                  <w:r>
                    <w:rPr>
                      <w:b/>
                      <w:color w:val="163B82"/>
                      <w:sz w:val="16"/>
                    </w:rPr>
                    <w:t>Content</w:t>
                  </w:r>
                </w:p>
              </w:tc>
              <w:tc>
                <w:tcPr>
                  <w:tcW w:w="1400" w:type="dxa"/>
                  <w:tcBorders>
                    <w:top w:val="single" w:color="B7C7E6" w:sz="4" w:space="0"/>
                    <w:left w:val="single" w:color="B7C7E6" w:sz="4" w:space="0"/>
                    <w:bottom w:val="single" w:color="B7C7E6" w:sz="4" w:space="0"/>
                    <w:right w:val="single" w:color="B7C7E6" w:sz="4" w:space="0"/>
                  </w:tcBorders>
                  <w:shd w:val="clear" w:color="auto" w:fill="EAF1FB"/>
                </w:tcPr>
                <w:p w14:paraId="603A7165">
                  <w:pPr>
                    <w:spacing w:before="0" w:after="0"/>
                  </w:pPr>
                  <w:r>
                    <w:rPr>
                      <w:b/>
                      <w:color w:val="163B82"/>
                      <w:sz w:val="16"/>
                    </w:rPr>
                    <w:t>Status</w:t>
                  </w:r>
                </w:p>
              </w:tc>
            </w:tr>
            <w:tr w14:paraId="3AF0F13B">
              <w:tblPrEx>
                <w:tblCellMar>
                  <w:top w:w="30" w:type="dxa"/>
                  <w:left w:w="70" w:type="dxa"/>
                  <w:bottom w:w="30" w:type="dxa"/>
                  <w:right w:w="70" w:type="dxa"/>
                </w:tblCellMar>
              </w:tblPrEx>
              <w:trPr>
                <w:cantSplit/>
              </w:trPr>
              <w:tc>
                <w:tcPr>
                  <w:tcW w:w="1500" w:type="dxa"/>
                  <w:tcBorders>
                    <w:top w:val="single" w:color="B7C7E6" w:sz="4" w:space="0"/>
                    <w:left w:val="single" w:color="B7C7E6" w:sz="4" w:space="0"/>
                    <w:bottom w:val="single" w:color="B7C7E6" w:sz="4" w:space="0"/>
                    <w:right w:val="single" w:color="B7C7E6" w:sz="4" w:space="0"/>
                  </w:tcBorders>
                </w:tcPr>
                <w:p w14:paraId="0070AF39">
                  <w:pPr>
                    <w:spacing w:before="0" w:after="0"/>
                  </w:pPr>
                  <w:r>
                    <w:rPr>
                      <w:b/>
                      <w:color w:val="1F2937"/>
                      <w:sz w:val="16"/>
                    </w:rPr>
                    <w:t>Complaint</w:t>
                  </w:r>
                </w:p>
              </w:tc>
              <w:tc>
                <w:tcPr>
                  <w:tcW w:w="6300" w:type="dxa"/>
                  <w:tcBorders>
                    <w:top w:val="single" w:color="B7C7E6" w:sz="4" w:space="0"/>
                    <w:left w:val="single" w:color="B7C7E6" w:sz="4" w:space="0"/>
                    <w:bottom w:val="single" w:color="B7C7E6" w:sz="4" w:space="0"/>
                    <w:right w:val="single" w:color="B7C7E6" w:sz="4" w:space="0"/>
                  </w:tcBorders>
                </w:tcPr>
                <w:p w14:paraId="6F5643E8">
                  <w:pPr>
                    <w:spacing w:before="0" w:after="0"/>
                  </w:pPr>
                  <w:r>
                    <w:rPr>
                      <w:b w:val="0"/>
                      <w:color w:val="1F2937"/>
                      <w:sz w:val="16"/>
                    </w:rPr>
                    <w:t>“Our support team answers the same questions every day.” (a feeling, not yet measurable)</w:t>
                  </w:r>
                </w:p>
              </w:tc>
              <w:tc>
                <w:tcPr>
                  <w:tcW w:w="1400" w:type="dxa"/>
                  <w:tcBorders>
                    <w:top w:val="single" w:color="B7C7E6" w:sz="4" w:space="0"/>
                    <w:left w:val="single" w:color="B7C7E6" w:sz="4" w:space="0"/>
                    <w:bottom w:val="single" w:color="B7C7E6" w:sz="4" w:space="0"/>
                    <w:right w:val="single" w:color="B7C7E6" w:sz="4" w:space="0"/>
                  </w:tcBorders>
                </w:tcPr>
                <w:p w14:paraId="08082597">
                  <w:pPr>
                    <w:spacing w:before="0" w:after="0"/>
                  </w:pPr>
                  <w:r>
                    <w:rPr>
                      <w:b w:val="0"/>
                      <w:color w:val="1F2937"/>
                      <w:sz w:val="16"/>
                    </w:rPr>
                    <w:t>Observed (as stated)</w:t>
                  </w:r>
                </w:p>
              </w:tc>
            </w:tr>
            <w:tr w14:paraId="4A890360">
              <w:tblPrEx>
                <w:tblCellMar>
                  <w:top w:w="30" w:type="dxa"/>
                  <w:left w:w="70" w:type="dxa"/>
                  <w:bottom w:w="30" w:type="dxa"/>
                  <w:right w:w="70" w:type="dxa"/>
                </w:tblCellMar>
              </w:tblPrEx>
              <w:trPr>
                <w:cantSplit/>
              </w:trPr>
              <w:tc>
                <w:tcPr>
                  <w:tcW w:w="1500" w:type="dxa"/>
                  <w:tcBorders>
                    <w:top w:val="single" w:color="B7C7E6" w:sz="4" w:space="0"/>
                    <w:left w:val="single" w:color="B7C7E6" w:sz="4" w:space="0"/>
                    <w:bottom w:val="single" w:color="B7C7E6" w:sz="4" w:space="0"/>
                    <w:right w:val="single" w:color="B7C7E6" w:sz="4" w:space="0"/>
                  </w:tcBorders>
                </w:tcPr>
                <w:p w14:paraId="4CDEE81E">
                  <w:pPr>
                    <w:spacing w:before="0" w:after="0"/>
                  </w:pPr>
                  <w:r>
                    <w:rPr>
                      <w:b/>
                      <w:color w:val="1F2937"/>
                      <w:sz w:val="16"/>
                    </w:rPr>
                    <w:t>Observable process</w:t>
                  </w:r>
                </w:p>
              </w:tc>
              <w:tc>
                <w:tcPr>
                  <w:tcW w:w="6300" w:type="dxa"/>
                  <w:tcBorders>
                    <w:top w:val="single" w:color="B7C7E6" w:sz="4" w:space="0"/>
                    <w:left w:val="single" w:color="B7C7E6" w:sz="4" w:space="0"/>
                    <w:bottom w:val="single" w:color="B7C7E6" w:sz="4" w:space="0"/>
                    <w:right w:val="single" w:color="B7C7E6" w:sz="4" w:space="0"/>
                  </w:tcBorders>
                </w:tcPr>
                <w:p w14:paraId="6800E71F">
                  <w:pPr>
                    <w:spacing w:before="0" w:after="0"/>
                  </w:pPr>
                  <w:r>
                    <w:rPr>
                      <w:b w:val="0"/>
                      <w:color w:val="1F2937"/>
                      <w:sz w:val="16"/>
                    </w:rPr>
                    <w:t>For each incoming ticket the agent: (1) reads the message and identifies the intent (e.g., refund status, delivery time, password reset); (2) searches the help center / wiki / past tickets; (3) checks the current policy; (4) writes or edits a reply; (5) sends and tags the ticket. This is visible in the helpdesk through ticket timestamps, intent tags, macros used and reopen events.</w:t>
                  </w:r>
                </w:p>
              </w:tc>
              <w:tc>
                <w:tcPr>
                  <w:tcW w:w="1400" w:type="dxa"/>
                  <w:tcBorders>
                    <w:top w:val="single" w:color="B7C7E6" w:sz="4" w:space="0"/>
                    <w:left w:val="single" w:color="B7C7E6" w:sz="4" w:space="0"/>
                    <w:bottom w:val="single" w:color="B7C7E6" w:sz="4" w:space="0"/>
                    <w:right w:val="single" w:color="B7C7E6" w:sz="4" w:space="0"/>
                  </w:tcBorders>
                </w:tcPr>
                <w:p w14:paraId="501BA15B">
                  <w:pPr>
                    <w:spacing w:before="0" w:after="0"/>
                  </w:pPr>
                  <w:r>
                    <w:rPr>
                      <w:b w:val="0"/>
                      <w:color w:val="1F2937"/>
                      <w:sz w:val="16"/>
                    </w:rPr>
                    <w:t>Assumed</w:t>
                  </w:r>
                </w:p>
              </w:tc>
            </w:tr>
            <w:tr w14:paraId="5FB74414">
              <w:tblPrEx>
                <w:tblCellMar>
                  <w:top w:w="30" w:type="dxa"/>
                  <w:left w:w="70" w:type="dxa"/>
                  <w:bottom w:w="30" w:type="dxa"/>
                  <w:right w:w="70" w:type="dxa"/>
                </w:tblCellMar>
              </w:tblPrEx>
              <w:trPr>
                <w:cantSplit/>
              </w:trPr>
              <w:tc>
                <w:tcPr>
                  <w:tcW w:w="1500" w:type="dxa"/>
                  <w:tcBorders>
                    <w:top w:val="single" w:color="B7C7E6" w:sz="4" w:space="0"/>
                    <w:left w:val="single" w:color="B7C7E6" w:sz="4" w:space="0"/>
                    <w:bottom w:val="single" w:color="B7C7E6" w:sz="4" w:space="0"/>
                    <w:right w:val="single" w:color="B7C7E6" w:sz="4" w:space="0"/>
                  </w:tcBorders>
                </w:tcPr>
                <w:p w14:paraId="5B0FFC96">
                  <w:pPr>
                    <w:spacing w:before="0" w:after="0"/>
                  </w:pPr>
                  <w:r>
                    <w:rPr>
                      <w:b/>
                      <w:color w:val="1F2937"/>
                      <w:sz w:val="16"/>
                    </w:rPr>
                    <w:t>Measurable gap</w:t>
                  </w:r>
                </w:p>
              </w:tc>
              <w:tc>
                <w:tcPr>
                  <w:tcW w:w="6300" w:type="dxa"/>
                  <w:tcBorders>
                    <w:top w:val="single" w:color="B7C7E6" w:sz="4" w:space="0"/>
                    <w:left w:val="single" w:color="B7C7E6" w:sz="4" w:space="0"/>
                    <w:bottom w:val="single" w:color="B7C7E6" w:sz="4" w:space="0"/>
                    <w:right w:val="single" w:color="B7C7E6" w:sz="4" w:space="0"/>
                  </w:tcBorders>
                </w:tcPr>
                <w:p w14:paraId="1A419890">
                  <w:pPr>
                    <w:spacing w:before="0" w:after="0"/>
                  </w:pPr>
                  <w:r>
                    <w:rPr>
                      <w:b w:val="0"/>
                      <w:color w:val="1F2937"/>
                      <w:sz w:val="16"/>
                    </w:rPr>
                    <w:t>Repetition rate = tickets in the top-10 recurring intents ÷ all tickets (Unknown until a 200-ticket sample is labelled). Average handle time on those tickets: B₀ = 14 min/ticket (Assumed) versus an MVP target of 6 min/ticket (Assumed). Answer consistency = share of sampled replies that match current policy (Unknown).</w:t>
                  </w:r>
                </w:p>
              </w:tc>
              <w:tc>
                <w:tcPr>
                  <w:tcW w:w="1400" w:type="dxa"/>
                  <w:tcBorders>
                    <w:top w:val="single" w:color="B7C7E6" w:sz="4" w:space="0"/>
                    <w:left w:val="single" w:color="B7C7E6" w:sz="4" w:space="0"/>
                    <w:bottom w:val="single" w:color="B7C7E6" w:sz="4" w:space="0"/>
                    <w:right w:val="single" w:color="B7C7E6" w:sz="4" w:space="0"/>
                  </w:tcBorders>
                </w:tcPr>
                <w:p w14:paraId="76E65A1E">
                  <w:pPr>
                    <w:spacing w:before="0" w:after="0"/>
                  </w:pPr>
                  <w:r>
                    <w:rPr>
                      <w:b w:val="0"/>
                      <w:color w:val="1F2937"/>
                      <w:sz w:val="16"/>
                    </w:rPr>
                    <w:t>Assumed / Unknown</w:t>
                  </w:r>
                </w:p>
              </w:tc>
            </w:tr>
          </w:tbl>
          <w:p w14:paraId="4F104C19">
            <w:pPr>
              <w:spacing w:before="0" w:after="40" w:line="80" w:lineRule="exact"/>
            </w:pPr>
          </w:p>
          <w:p w14:paraId="0B0E2446">
            <w:pPr>
              <w:spacing w:before="0" w:after="80"/>
            </w:pPr>
            <w:r>
              <w:rPr>
                <w:b w:val="0"/>
                <w:color w:val="1F2937"/>
                <w:sz w:val="18"/>
              </w:rPr>
              <w:t>Result: the complaint becomes “a repeated-question workflow with a measurable time and consistency gap”, which can be baselined and tested.</w:t>
            </w:r>
          </w:p>
        </w:tc>
      </w:tr>
    </w:tbl>
    <w:p w14:paraId="1BCC2918">
      <w:pPr>
        <w:spacing w:after="40"/>
        <w:rPr>
          <w:rFonts w:hint="eastAsia"/>
        </w:rPr>
      </w:pPr>
    </w:p>
    <w:tbl>
      <w:tblPr>
        <w:tblStyle w:val="12"/>
        <w:tblW w:w="0" w:type="auto"/>
        <w:jc w:val="center"/>
        <w:tblLayout w:type="fixed"/>
        <w:tblCellMar>
          <w:top w:w="0" w:type="dxa"/>
          <w:left w:w="108" w:type="dxa"/>
          <w:bottom w:w="0" w:type="dxa"/>
          <w:right w:w="108" w:type="dxa"/>
        </w:tblCellMar>
      </w:tblPr>
      <w:tblGrid>
        <w:gridCol w:w="4916"/>
        <w:gridCol w:w="4916"/>
      </w:tblGrid>
      <w:tr w14:paraId="0BD63431">
        <w:tblPrEx>
          <w:tblCellMar>
            <w:top w:w="0" w:type="dxa"/>
            <w:left w:w="108" w:type="dxa"/>
            <w:bottom w:w="0" w:type="dxa"/>
            <w:right w:w="108" w:type="dxa"/>
          </w:tblCellMar>
        </w:tblPrEx>
        <w:trPr>
          <w:cantSplit/>
          <w:jc w:val="center"/>
        </w:trPr>
        <w:tc>
          <w:tcPr>
            <w:tcW w:w="4916" w:type="dxa"/>
            <w:tcBorders>
              <w:top w:val="single" w:color="D7E0EF" w:sz="4" w:space="0"/>
              <w:left w:val="single" w:color="D7E0EF" w:sz="4" w:space="0"/>
              <w:bottom w:val="single" w:color="D7E0EF" w:sz="4" w:space="0"/>
              <w:right w:val="single" w:color="D7E0EF" w:sz="4" w:space="0"/>
            </w:tcBorders>
            <w:shd w:val="clear" w:color="auto" w:fill="EAF1FB"/>
          </w:tcPr>
          <w:p w14:paraId="02513CD0">
            <w:pPr>
              <w:spacing w:after="0"/>
              <w:rPr>
                <w:rFonts w:hint="eastAsia"/>
              </w:rPr>
            </w:pPr>
            <w:r>
              <w:rPr>
                <w:b/>
                <w:color w:val="1F1F1F"/>
                <w:sz w:val="21"/>
              </w:rPr>
              <w:t>Q3. Choose three pain types from time, cost, repetition, quality, risk, scale, and decision delay. For each, give one measurable form of evidence.</w:t>
            </w:r>
          </w:p>
        </w:tc>
        <w:tc>
          <w:tcPr>
            <w:tcW w:w="4916" w:type="dxa"/>
            <w:tcBorders>
              <w:top w:val="single" w:color="D7E0EF" w:sz="4" w:space="0"/>
              <w:left w:val="single" w:color="D7E0EF" w:sz="4" w:space="0"/>
              <w:bottom w:val="single" w:color="D7E0EF" w:sz="4" w:space="0"/>
              <w:right w:val="single" w:color="D7E0EF" w:sz="4" w:space="0"/>
            </w:tcBorders>
            <w:shd w:val="clear" w:color="auto" w:fill="FFF6DD"/>
          </w:tcPr>
          <w:p w14:paraId="0196A8CB">
            <w:pPr>
              <w:spacing w:after="0"/>
              <w:jc w:val="center"/>
              <w:rPr>
                <w:rFonts w:hint="eastAsia"/>
              </w:rPr>
            </w:pPr>
            <w:r>
              <w:rPr>
                <w:b/>
                <w:color w:val="163B82"/>
                <w:sz w:val="18"/>
              </w:rPr>
              <w:t>3 marks</w:t>
            </w:r>
          </w:p>
        </w:tc>
      </w:tr>
    </w:tbl>
    <w:p w14:paraId="339CE801">
      <w:pPr>
        <w:spacing w:before="40" w:after="60"/>
        <w:rPr>
          <w:rFonts w:hint="eastAsia"/>
        </w:rPr>
      </w:pPr>
      <w:r>
        <w:rPr>
          <w:b/>
          <w:color w:val="F5A000"/>
          <w:sz w:val="17"/>
        </w:rPr>
        <w:t>Book reference: §3.3, pp. 214–215</w:t>
      </w:r>
    </w:p>
    <w:tbl>
      <w:tblPr>
        <w:tblStyle w:val="12"/>
        <w:tblW w:w="0" w:type="auto"/>
        <w:jc w:val="center"/>
        <w:tblLayout w:type="fixed"/>
        <w:tblCellMar>
          <w:top w:w="0" w:type="dxa"/>
          <w:left w:w="108" w:type="dxa"/>
          <w:bottom w:w="0" w:type="dxa"/>
          <w:right w:w="108" w:type="dxa"/>
        </w:tblCellMar>
      </w:tblPr>
      <w:tblGrid>
        <w:gridCol w:w="9432"/>
      </w:tblGrid>
      <w:tr w14:paraId="50614278">
        <w:tblPrEx>
          <w:tblCellMar>
            <w:top w:w="0" w:type="dxa"/>
            <w:left w:w="108" w:type="dxa"/>
            <w:bottom w:w="0" w:type="dxa"/>
            <w:right w:w="108" w:type="dxa"/>
          </w:tblCellMar>
        </w:tblPrEx>
        <w:trPr>
          <w:cantSplit/>
          <w:jc w:val="center"/>
        </w:trPr>
        <w:tc>
          <w:tcPr>
            <w:tcW w:w="9432" w:type="dxa"/>
            <w:tcBorders>
              <w:top w:val="single" w:color="B7C7E6" w:sz="6" w:space="0"/>
              <w:left w:val="single" w:color="B7C7E6" w:sz="6" w:space="0"/>
              <w:bottom w:val="single" w:color="B7C7E6" w:sz="6" w:space="0"/>
              <w:right w:val="single" w:color="B7C7E6" w:sz="6" w:space="0"/>
            </w:tcBorders>
            <w:shd w:val="clear" w:color="auto" w:fill="F9FBFE"/>
          </w:tcPr>
          <w:p w14:paraId="257D3B86">
            <w:pPr>
              <w:spacing w:before="0" w:after="80"/>
              <w:rPr>
                <w:rFonts w:hint="eastAsia"/>
              </w:rPr>
            </w:pPr>
            <w:r>
              <w:rPr>
                <w:b w:val="0"/>
                <w:color w:val="1F2937"/>
                <w:sz w:val="18"/>
              </w:rPr>
              <w:t xml:space="preserve">Three pain types chosen for the customer-support scenario: </w:t>
            </w:r>
            <w:r>
              <w:rPr>
                <w:b/>
                <w:color w:val="1F2937"/>
                <w:sz w:val="18"/>
              </w:rPr>
              <w:t>time, repetition, quality</w:t>
            </w:r>
            <w:r>
              <w:rPr>
                <w:b w:val="0"/>
                <w:color w:val="1F2937"/>
                <w:sz w:val="18"/>
              </w:rPr>
              <w:t>.</w:t>
            </w:r>
          </w:p>
          <w:tbl>
            <w:tblPr>
              <w:tblStyle w:val="12"/>
              <w:tblW w:w="9200" w:type="dxa"/>
              <w:tblInd w:w="0" w:type="dxa"/>
              <w:tblLayout w:type="fixed"/>
              <w:tblCellMar>
                <w:top w:w="30" w:type="dxa"/>
                <w:left w:w="70" w:type="dxa"/>
                <w:bottom w:w="30" w:type="dxa"/>
                <w:right w:w="70" w:type="dxa"/>
              </w:tblCellMar>
            </w:tblPr>
            <w:tblGrid>
              <w:gridCol w:w="1300"/>
              <w:gridCol w:w="2400"/>
              <w:gridCol w:w="4600"/>
              <w:gridCol w:w="900"/>
            </w:tblGrid>
            <w:tr w14:paraId="009BFB61">
              <w:tblPrEx>
                <w:tblCellMar>
                  <w:top w:w="30" w:type="dxa"/>
                  <w:left w:w="70" w:type="dxa"/>
                  <w:bottom w:w="30" w:type="dxa"/>
                  <w:right w:w="70" w:type="dxa"/>
                </w:tblCellMar>
              </w:tblPrEx>
              <w:trPr>
                <w:cantSplit/>
                <w:tblHeader/>
              </w:trPr>
              <w:tc>
                <w:tcPr>
                  <w:tcW w:w="1300" w:type="dxa"/>
                  <w:tcBorders>
                    <w:top w:val="single" w:color="B7C7E6" w:sz="4" w:space="0"/>
                    <w:left w:val="single" w:color="B7C7E6" w:sz="4" w:space="0"/>
                    <w:bottom w:val="single" w:color="B7C7E6" w:sz="4" w:space="0"/>
                    <w:right w:val="single" w:color="B7C7E6" w:sz="4" w:space="0"/>
                  </w:tcBorders>
                  <w:shd w:val="clear" w:color="auto" w:fill="EAF1FB"/>
                </w:tcPr>
                <w:p w14:paraId="193D788C">
                  <w:pPr>
                    <w:spacing w:before="0" w:after="0"/>
                  </w:pPr>
                  <w:r>
                    <w:rPr>
                      <w:b/>
                      <w:color w:val="163B82"/>
                      <w:sz w:val="16"/>
                    </w:rPr>
                    <w:t>Pain type</w:t>
                  </w:r>
                </w:p>
              </w:tc>
              <w:tc>
                <w:tcPr>
                  <w:tcW w:w="2400" w:type="dxa"/>
                  <w:tcBorders>
                    <w:top w:val="single" w:color="B7C7E6" w:sz="4" w:space="0"/>
                    <w:left w:val="single" w:color="B7C7E6" w:sz="4" w:space="0"/>
                    <w:bottom w:val="single" w:color="B7C7E6" w:sz="4" w:space="0"/>
                    <w:right w:val="single" w:color="B7C7E6" w:sz="4" w:space="0"/>
                  </w:tcBorders>
                  <w:shd w:val="clear" w:color="auto" w:fill="EAF1FB"/>
                </w:tcPr>
                <w:p w14:paraId="2D15A24F">
                  <w:pPr>
                    <w:spacing w:before="0" w:after="0"/>
                  </w:pPr>
                  <w:r>
                    <w:rPr>
                      <w:b/>
                      <w:color w:val="163B82"/>
                      <w:sz w:val="16"/>
                    </w:rPr>
                    <w:t>How it appears</w:t>
                  </w:r>
                </w:p>
              </w:tc>
              <w:tc>
                <w:tcPr>
                  <w:tcW w:w="4600" w:type="dxa"/>
                  <w:tcBorders>
                    <w:top w:val="single" w:color="B7C7E6" w:sz="4" w:space="0"/>
                    <w:left w:val="single" w:color="B7C7E6" w:sz="4" w:space="0"/>
                    <w:bottom w:val="single" w:color="B7C7E6" w:sz="4" w:space="0"/>
                    <w:right w:val="single" w:color="B7C7E6" w:sz="4" w:space="0"/>
                  </w:tcBorders>
                  <w:shd w:val="clear" w:color="auto" w:fill="EAF1FB"/>
                </w:tcPr>
                <w:p w14:paraId="48BA946F">
                  <w:pPr>
                    <w:spacing w:before="0" w:after="0"/>
                  </w:pPr>
                  <w:r>
                    <w:rPr>
                      <w:b/>
                      <w:color w:val="163B82"/>
                      <w:sz w:val="16"/>
                    </w:rPr>
                    <w:t>One measurable form of evidence</w:t>
                  </w:r>
                </w:p>
              </w:tc>
              <w:tc>
                <w:tcPr>
                  <w:tcW w:w="900" w:type="dxa"/>
                  <w:tcBorders>
                    <w:top w:val="single" w:color="B7C7E6" w:sz="4" w:space="0"/>
                    <w:left w:val="single" w:color="B7C7E6" w:sz="4" w:space="0"/>
                    <w:bottom w:val="single" w:color="B7C7E6" w:sz="4" w:space="0"/>
                    <w:right w:val="single" w:color="B7C7E6" w:sz="4" w:space="0"/>
                  </w:tcBorders>
                  <w:shd w:val="clear" w:color="auto" w:fill="EAF1FB"/>
                </w:tcPr>
                <w:p w14:paraId="4119C833">
                  <w:pPr>
                    <w:spacing w:before="0" w:after="0"/>
                  </w:pPr>
                  <w:r>
                    <w:rPr>
                      <w:b/>
                      <w:color w:val="163B82"/>
                      <w:sz w:val="16"/>
                    </w:rPr>
                    <w:t>Status</w:t>
                  </w:r>
                </w:p>
              </w:tc>
            </w:tr>
            <w:tr w14:paraId="0E80E287">
              <w:tblPrEx>
                <w:tblCellMar>
                  <w:top w:w="30" w:type="dxa"/>
                  <w:left w:w="70" w:type="dxa"/>
                  <w:bottom w:w="30" w:type="dxa"/>
                  <w:right w:w="70" w:type="dxa"/>
                </w:tblCellMar>
              </w:tblPrEx>
              <w:trPr>
                <w:cantSplit/>
              </w:trPr>
              <w:tc>
                <w:tcPr>
                  <w:tcW w:w="1300" w:type="dxa"/>
                  <w:tcBorders>
                    <w:top w:val="single" w:color="B7C7E6" w:sz="4" w:space="0"/>
                    <w:left w:val="single" w:color="B7C7E6" w:sz="4" w:space="0"/>
                    <w:bottom w:val="single" w:color="B7C7E6" w:sz="4" w:space="0"/>
                    <w:right w:val="single" w:color="B7C7E6" w:sz="4" w:space="0"/>
                  </w:tcBorders>
                </w:tcPr>
                <w:p w14:paraId="09B38307">
                  <w:pPr>
                    <w:spacing w:before="0" w:after="0"/>
                  </w:pPr>
                  <w:r>
                    <w:rPr>
                      <w:b/>
                      <w:color w:val="1F2937"/>
                      <w:sz w:val="16"/>
                    </w:rPr>
                    <w:t>Time</w:t>
                  </w:r>
                </w:p>
              </w:tc>
              <w:tc>
                <w:tcPr>
                  <w:tcW w:w="2400" w:type="dxa"/>
                  <w:tcBorders>
                    <w:top w:val="single" w:color="B7C7E6" w:sz="4" w:space="0"/>
                    <w:left w:val="single" w:color="B7C7E6" w:sz="4" w:space="0"/>
                    <w:bottom w:val="single" w:color="B7C7E6" w:sz="4" w:space="0"/>
                    <w:right w:val="single" w:color="B7C7E6" w:sz="4" w:space="0"/>
                  </w:tcBorders>
                </w:tcPr>
                <w:p w14:paraId="24940F87">
                  <w:pPr>
                    <w:spacing w:before="0" w:after="0"/>
                  </w:pPr>
                  <w:r>
                    <w:rPr>
                      <w:b w:val="0"/>
                      <w:color w:val="1F2937"/>
                      <w:sz w:val="16"/>
                    </w:rPr>
                    <w:t>Slow replies to customers; agents spend minutes hunting for answers.</w:t>
                  </w:r>
                </w:p>
              </w:tc>
              <w:tc>
                <w:tcPr>
                  <w:tcW w:w="4600" w:type="dxa"/>
                  <w:tcBorders>
                    <w:top w:val="single" w:color="B7C7E6" w:sz="4" w:space="0"/>
                    <w:left w:val="single" w:color="B7C7E6" w:sz="4" w:space="0"/>
                    <w:bottom w:val="single" w:color="B7C7E6" w:sz="4" w:space="0"/>
                    <w:right w:val="single" w:color="B7C7E6" w:sz="4" w:space="0"/>
                  </w:tcBorders>
                </w:tcPr>
                <w:p w14:paraId="0B55E392">
                  <w:pPr>
                    <w:spacing w:before="0" w:after="0"/>
                  </w:pPr>
                  <w:r>
                    <w:rPr>
                      <w:b w:val="0"/>
                      <w:color w:val="1F2937"/>
                      <w:sz w:val="16"/>
                    </w:rPr>
                    <w:t>Average handle time (AHT) and first-response time per repeated-intent ticket, taken from helpdesk timestamps (minutes/ticket). Planning value: 14 min.</w:t>
                  </w:r>
                </w:p>
              </w:tc>
              <w:tc>
                <w:tcPr>
                  <w:tcW w:w="900" w:type="dxa"/>
                  <w:tcBorders>
                    <w:top w:val="single" w:color="B7C7E6" w:sz="4" w:space="0"/>
                    <w:left w:val="single" w:color="B7C7E6" w:sz="4" w:space="0"/>
                    <w:bottom w:val="single" w:color="B7C7E6" w:sz="4" w:space="0"/>
                    <w:right w:val="single" w:color="B7C7E6" w:sz="4" w:space="0"/>
                  </w:tcBorders>
                </w:tcPr>
                <w:p w14:paraId="1CF3A460">
                  <w:pPr>
                    <w:spacing w:before="0" w:after="0"/>
                  </w:pPr>
                  <w:r>
                    <w:rPr>
                      <w:b w:val="0"/>
                      <w:color w:val="1F2937"/>
                      <w:sz w:val="16"/>
                    </w:rPr>
                    <w:t>Assumed</w:t>
                  </w:r>
                </w:p>
              </w:tc>
            </w:tr>
            <w:tr w14:paraId="5AB2BC40">
              <w:tblPrEx>
                <w:tblCellMar>
                  <w:top w:w="30" w:type="dxa"/>
                  <w:left w:w="70" w:type="dxa"/>
                  <w:bottom w:w="30" w:type="dxa"/>
                  <w:right w:w="70" w:type="dxa"/>
                </w:tblCellMar>
              </w:tblPrEx>
              <w:trPr>
                <w:cantSplit/>
              </w:trPr>
              <w:tc>
                <w:tcPr>
                  <w:tcW w:w="1300" w:type="dxa"/>
                  <w:tcBorders>
                    <w:top w:val="single" w:color="B7C7E6" w:sz="4" w:space="0"/>
                    <w:left w:val="single" w:color="B7C7E6" w:sz="4" w:space="0"/>
                    <w:bottom w:val="single" w:color="B7C7E6" w:sz="4" w:space="0"/>
                    <w:right w:val="single" w:color="B7C7E6" w:sz="4" w:space="0"/>
                  </w:tcBorders>
                </w:tcPr>
                <w:p w14:paraId="593BCE7A">
                  <w:pPr>
                    <w:spacing w:before="0" w:after="0"/>
                  </w:pPr>
                  <w:r>
                    <w:rPr>
                      <w:b/>
                      <w:color w:val="1F2937"/>
                      <w:sz w:val="16"/>
                    </w:rPr>
                    <w:t>Repetition</w:t>
                  </w:r>
                </w:p>
              </w:tc>
              <w:tc>
                <w:tcPr>
                  <w:tcW w:w="2400" w:type="dxa"/>
                  <w:tcBorders>
                    <w:top w:val="single" w:color="B7C7E6" w:sz="4" w:space="0"/>
                    <w:left w:val="single" w:color="B7C7E6" w:sz="4" w:space="0"/>
                    <w:bottom w:val="single" w:color="B7C7E6" w:sz="4" w:space="0"/>
                    <w:right w:val="single" w:color="B7C7E6" w:sz="4" w:space="0"/>
                  </w:tcBorders>
                </w:tcPr>
                <w:p w14:paraId="72739D84">
                  <w:pPr>
                    <w:spacing w:before="0" w:after="0"/>
                  </w:pPr>
                  <w:r>
                    <w:rPr>
                      <w:b w:val="0"/>
                      <w:color w:val="1F2937"/>
                      <w:sz w:val="16"/>
                    </w:rPr>
                    <w:t>Same questions handled again and again.</w:t>
                  </w:r>
                </w:p>
              </w:tc>
              <w:tc>
                <w:tcPr>
                  <w:tcW w:w="4600" w:type="dxa"/>
                  <w:tcBorders>
                    <w:top w:val="single" w:color="B7C7E6" w:sz="4" w:space="0"/>
                    <w:left w:val="single" w:color="B7C7E6" w:sz="4" w:space="0"/>
                    <w:bottom w:val="single" w:color="B7C7E6" w:sz="4" w:space="0"/>
                    <w:right w:val="single" w:color="B7C7E6" w:sz="4" w:space="0"/>
                  </w:tcBorders>
                </w:tcPr>
                <w:p w14:paraId="68BD02D7">
                  <w:pPr>
                    <w:spacing w:before="0" w:after="0"/>
                  </w:pPr>
                  <w:r>
                    <w:rPr>
                      <w:b w:val="0"/>
                      <w:color w:val="1F2937"/>
                      <w:sz w:val="16"/>
                    </w:rPr>
                    <w:t>Share of tickets belonging to the top-10 intents, measured on a labelled sample of 200 recent tickets (% of tickets).</w:t>
                  </w:r>
                </w:p>
              </w:tc>
              <w:tc>
                <w:tcPr>
                  <w:tcW w:w="900" w:type="dxa"/>
                  <w:tcBorders>
                    <w:top w:val="single" w:color="B7C7E6" w:sz="4" w:space="0"/>
                    <w:left w:val="single" w:color="B7C7E6" w:sz="4" w:space="0"/>
                    <w:bottom w:val="single" w:color="B7C7E6" w:sz="4" w:space="0"/>
                    <w:right w:val="single" w:color="B7C7E6" w:sz="4" w:space="0"/>
                  </w:tcBorders>
                </w:tcPr>
                <w:p w14:paraId="6767F969">
                  <w:pPr>
                    <w:spacing w:before="0" w:after="0"/>
                  </w:pPr>
                  <w:r>
                    <w:rPr>
                      <w:b w:val="0"/>
                      <w:color w:val="1F2937"/>
                      <w:sz w:val="16"/>
                    </w:rPr>
                    <w:t>Unknown</w:t>
                  </w:r>
                </w:p>
              </w:tc>
            </w:tr>
            <w:tr w14:paraId="5F44F207">
              <w:tblPrEx>
                <w:tblCellMar>
                  <w:top w:w="30" w:type="dxa"/>
                  <w:left w:w="70" w:type="dxa"/>
                  <w:bottom w:w="30" w:type="dxa"/>
                  <w:right w:w="70" w:type="dxa"/>
                </w:tblCellMar>
              </w:tblPrEx>
              <w:trPr>
                <w:cantSplit/>
              </w:trPr>
              <w:tc>
                <w:tcPr>
                  <w:tcW w:w="1300" w:type="dxa"/>
                  <w:tcBorders>
                    <w:top w:val="single" w:color="B7C7E6" w:sz="4" w:space="0"/>
                    <w:left w:val="single" w:color="B7C7E6" w:sz="4" w:space="0"/>
                    <w:bottom w:val="single" w:color="B7C7E6" w:sz="4" w:space="0"/>
                    <w:right w:val="single" w:color="B7C7E6" w:sz="4" w:space="0"/>
                  </w:tcBorders>
                </w:tcPr>
                <w:p w14:paraId="76A41897">
                  <w:pPr>
                    <w:spacing w:before="0" w:after="0"/>
                  </w:pPr>
                  <w:r>
                    <w:rPr>
                      <w:b/>
                      <w:color w:val="1F2937"/>
                      <w:sz w:val="16"/>
                    </w:rPr>
                    <w:t>Quality</w:t>
                  </w:r>
                </w:p>
              </w:tc>
              <w:tc>
                <w:tcPr>
                  <w:tcW w:w="2400" w:type="dxa"/>
                  <w:tcBorders>
                    <w:top w:val="single" w:color="B7C7E6" w:sz="4" w:space="0"/>
                    <w:left w:val="single" w:color="B7C7E6" w:sz="4" w:space="0"/>
                    <w:bottom w:val="single" w:color="B7C7E6" w:sz="4" w:space="0"/>
                    <w:right w:val="single" w:color="B7C7E6" w:sz="4" w:space="0"/>
                  </w:tcBorders>
                </w:tcPr>
                <w:p w14:paraId="1B7FBA71">
                  <w:pPr>
                    <w:spacing w:before="0" w:after="0"/>
                  </w:pPr>
                  <w:r>
                    <w:rPr>
                      <w:b w:val="0"/>
                      <w:color w:val="1F2937"/>
                      <w:sz w:val="16"/>
                    </w:rPr>
                    <w:t>Different agents give different or outdated answers; customers write back.</w:t>
                  </w:r>
                </w:p>
              </w:tc>
              <w:tc>
                <w:tcPr>
                  <w:tcW w:w="4600" w:type="dxa"/>
                  <w:tcBorders>
                    <w:top w:val="single" w:color="B7C7E6" w:sz="4" w:space="0"/>
                    <w:left w:val="single" w:color="B7C7E6" w:sz="4" w:space="0"/>
                    <w:bottom w:val="single" w:color="B7C7E6" w:sz="4" w:space="0"/>
                    <w:right w:val="single" w:color="B7C7E6" w:sz="4" w:space="0"/>
                  </w:tcBorders>
                </w:tcPr>
                <w:p w14:paraId="6B5361F6">
                  <w:pPr>
                    <w:spacing w:before="0" w:after="0"/>
                  </w:pPr>
                  <w:r>
                    <w:rPr>
                      <w:b w:val="0"/>
                      <w:color w:val="1F2937"/>
                      <w:sz w:val="16"/>
                    </w:rPr>
                    <w:t>Rate of sampled replies contradicting the current policy, or reopen rate on repeated-intent tickets (% of replies / tickets).</w:t>
                  </w:r>
                </w:p>
              </w:tc>
              <w:tc>
                <w:tcPr>
                  <w:tcW w:w="900" w:type="dxa"/>
                  <w:tcBorders>
                    <w:top w:val="single" w:color="B7C7E6" w:sz="4" w:space="0"/>
                    <w:left w:val="single" w:color="B7C7E6" w:sz="4" w:space="0"/>
                    <w:bottom w:val="single" w:color="B7C7E6" w:sz="4" w:space="0"/>
                    <w:right w:val="single" w:color="B7C7E6" w:sz="4" w:space="0"/>
                  </w:tcBorders>
                </w:tcPr>
                <w:p w14:paraId="51A82524">
                  <w:pPr>
                    <w:spacing w:before="0" w:after="0"/>
                  </w:pPr>
                  <w:r>
                    <w:rPr>
                      <w:b w:val="0"/>
                      <w:color w:val="1F2937"/>
                      <w:sz w:val="16"/>
                    </w:rPr>
                    <w:t>Unknown</w:t>
                  </w:r>
                </w:p>
              </w:tc>
            </w:tr>
          </w:tbl>
          <w:p w14:paraId="7A001662">
            <w:pPr>
              <w:spacing w:before="0" w:after="40" w:line="80" w:lineRule="exact"/>
            </w:pPr>
          </w:p>
        </w:tc>
      </w:tr>
    </w:tbl>
    <w:p w14:paraId="3E3FD7AD">
      <w:pPr>
        <w:spacing w:after="40"/>
        <w:rPr>
          <w:rFonts w:hint="eastAsia"/>
        </w:rPr>
      </w:pPr>
    </w:p>
    <w:tbl>
      <w:tblPr>
        <w:tblStyle w:val="12"/>
        <w:tblW w:w="0" w:type="auto"/>
        <w:jc w:val="center"/>
        <w:tblLayout w:type="fixed"/>
        <w:tblCellMar>
          <w:top w:w="0" w:type="dxa"/>
          <w:left w:w="108" w:type="dxa"/>
          <w:bottom w:w="0" w:type="dxa"/>
          <w:right w:w="108" w:type="dxa"/>
        </w:tblCellMar>
      </w:tblPr>
      <w:tblGrid>
        <w:gridCol w:w="4916"/>
        <w:gridCol w:w="4916"/>
      </w:tblGrid>
      <w:tr w14:paraId="7EC27712">
        <w:tblPrEx>
          <w:tblCellMar>
            <w:top w:w="0" w:type="dxa"/>
            <w:left w:w="108" w:type="dxa"/>
            <w:bottom w:w="0" w:type="dxa"/>
            <w:right w:w="108" w:type="dxa"/>
          </w:tblCellMar>
        </w:tblPrEx>
        <w:trPr>
          <w:cantSplit/>
          <w:jc w:val="center"/>
        </w:trPr>
        <w:tc>
          <w:tcPr>
            <w:tcW w:w="4916" w:type="dxa"/>
            <w:tcBorders>
              <w:top w:val="single" w:color="D7E0EF" w:sz="4" w:space="0"/>
              <w:left w:val="single" w:color="D7E0EF" w:sz="4" w:space="0"/>
              <w:bottom w:val="single" w:color="D7E0EF" w:sz="4" w:space="0"/>
              <w:right w:val="single" w:color="D7E0EF" w:sz="4" w:space="0"/>
            </w:tcBorders>
            <w:shd w:val="clear" w:color="auto" w:fill="EAF1FB"/>
          </w:tcPr>
          <w:p w14:paraId="3241D8C5">
            <w:pPr>
              <w:spacing w:after="0"/>
              <w:rPr>
                <w:rFonts w:hint="eastAsia"/>
              </w:rPr>
            </w:pPr>
            <w:r>
              <w:rPr>
                <w:b/>
                <w:color w:val="1F1F1F"/>
                <w:sz w:val="21"/>
              </w:rPr>
              <w:t>Q4. For a customer-support assistant, distinguish the primary user, beneficiary, buyer, approver, and engineering stakeholder. Then write one target-user statement using Role + Context + Goal.</w:t>
            </w:r>
          </w:p>
        </w:tc>
        <w:tc>
          <w:tcPr>
            <w:tcW w:w="4916" w:type="dxa"/>
            <w:tcBorders>
              <w:top w:val="single" w:color="D7E0EF" w:sz="4" w:space="0"/>
              <w:left w:val="single" w:color="D7E0EF" w:sz="4" w:space="0"/>
              <w:bottom w:val="single" w:color="D7E0EF" w:sz="4" w:space="0"/>
              <w:right w:val="single" w:color="D7E0EF" w:sz="4" w:space="0"/>
            </w:tcBorders>
            <w:shd w:val="clear" w:color="auto" w:fill="FFF6DD"/>
          </w:tcPr>
          <w:p w14:paraId="2325DE00">
            <w:pPr>
              <w:spacing w:after="0"/>
              <w:jc w:val="center"/>
              <w:rPr>
                <w:rFonts w:hint="eastAsia"/>
              </w:rPr>
            </w:pPr>
            <w:r>
              <w:rPr>
                <w:b/>
                <w:color w:val="163B82"/>
                <w:sz w:val="18"/>
              </w:rPr>
              <w:t>4 marks</w:t>
            </w:r>
          </w:p>
        </w:tc>
      </w:tr>
    </w:tbl>
    <w:p w14:paraId="055EDBEA">
      <w:pPr>
        <w:spacing w:before="40" w:after="60"/>
        <w:rPr>
          <w:rFonts w:hint="eastAsia"/>
        </w:rPr>
      </w:pPr>
      <w:r>
        <w:rPr>
          <w:b/>
          <w:color w:val="F5A000"/>
          <w:sz w:val="17"/>
        </w:rPr>
        <w:t>Book reference: §3.4, “Who Actually Experiences the Problem?”, pp. 215–217</w:t>
      </w:r>
    </w:p>
    <w:tbl>
      <w:tblPr>
        <w:tblStyle w:val="12"/>
        <w:tblW w:w="0" w:type="auto"/>
        <w:jc w:val="center"/>
        <w:tblLayout w:type="fixed"/>
        <w:tblCellMar>
          <w:top w:w="0" w:type="dxa"/>
          <w:left w:w="108" w:type="dxa"/>
          <w:bottom w:w="0" w:type="dxa"/>
          <w:right w:w="108" w:type="dxa"/>
        </w:tblCellMar>
      </w:tblPr>
      <w:tblGrid>
        <w:gridCol w:w="9432"/>
      </w:tblGrid>
      <w:tr w14:paraId="3430EAF3">
        <w:tblPrEx>
          <w:tblCellMar>
            <w:top w:w="0" w:type="dxa"/>
            <w:left w:w="108" w:type="dxa"/>
            <w:bottom w:w="0" w:type="dxa"/>
            <w:right w:w="108" w:type="dxa"/>
          </w:tblCellMar>
        </w:tblPrEx>
        <w:trPr>
          <w:cantSplit/>
          <w:jc w:val="center"/>
        </w:trPr>
        <w:tc>
          <w:tcPr>
            <w:tcW w:w="9432" w:type="dxa"/>
            <w:tcBorders>
              <w:top w:val="single" w:color="B7C7E6" w:sz="6" w:space="0"/>
              <w:left w:val="single" w:color="B7C7E6" w:sz="6" w:space="0"/>
              <w:bottom w:val="single" w:color="B7C7E6" w:sz="6" w:space="0"/>
              <w:right w:val="single" w:color="B7C7E6" w:sz="6" w:space="0"/>
            </w:tcBorders>
            <w:shd w:val="clear" w:color="auto" w:fill="F9FBFE"/>
          </w:tcPr>
          <w:p w14:paraId="2327428D">
            <w:pPr>
              <w:spacing w:before="0" w:after="0" w:line="20" w:lineRule="exact"/>
              <w:rPr>
                <w:rFonts w:hint="eastAsia"/>
              </w:rPr>
            </w:pPr>
          </w:p>
          <w:tbl>
            <w:tblPr>
              <w:tblStyle w:val="12"/>
              <w:tblW w:w="9200" w:type="dxa"/>
              <w:tblInd w:w="0" w:type="dxa"/>
              <w:tblLayout w:type="fixed"/>
              <w:tblCellMar>
                <w:top w:w="30" w:type="dxa"/>
                <w:left w:w="70" w:type="dxa"/>
                <w:bottom w:w="30" w:type="dxa"/>
                <w:right w:w="70" w:type="dxa"/>
              </w:tblCellMar>
            </w:tblPr>
            <w:tblGrid>
              <w:gridCol w:w="1700"/>
              <w:gridCol w:w="3400"/>
              <w:gridCol w:w="4100"/>
            </w:tblGrid>
            <w:tr w14:paraId="45995275">
              <w:tblPrEx>
                <w:tblCellMar>
                  <w:top w:w="30" w:type="dxa"/>
                  <w:left w:w="70" w:type="dxa"/>
                  <w:bottom w:w="30" w:type="dxa"/>
                  <w:right w:w="70" w:type="dxa"/>
                </w:tblCellMar>
              </w:tblPrEx>
              <w:trPr>
                <w:cantSplit/>
                <w:tblHeader/>
              </w:trPr>
              <w:tc>
                <w:tcPr>
                  <w:tcW w:w="1700" w:type="dxa"/>
                  <w:tcBorders>
                    <w:top w:val="single" w:color="B7C7E6" w:sz="4" w:space="0"/>
                    <w:left w:val="single" w:color="B7C7E6" w:sz="4" w:space="0"/>
                    <w:bottom w:val="single" w:color="B7C7E6" w:sz="4" w:space="0"/>
                    <w:right w:val="single" w:color="B7C7E6" w:sz="4" w:space="0"/>
                  </w:tcBorders>
                  <w:shd w:val="clear" w:color="auto" w:fill="EAF1FB"/>
                </w:tcPr>
                <w:p w14:paraId="7A483DA5">
                  <w:pPr>
                    <w:spacing w:before="0" w:after="0"/>
                  </w:pPr>
                  <w:r>
                    <w:rPr>
                      <w:b/>
                      <w:color w:val="163B82"/>
                      <w:sz w:val="16"/>
                    </w:rPr>
                    <w:t>Role</w:t>
                  </w:r>
                </w:p>
              </w:tc>
              <w:tc>
                <w:tcPr>
                  <w:tcW w:w="3400" w:type="dxa"/>
                  <w:tcBorders>
                    <w:top w:val="single" w:color="B7C7E6" w:sz="4" w:space="0"/>
                    <w:left w:val="single" w:color="B7C7E6" w:sz="4" w:space="0"/>
                    <w:bottom w:val="single" w:color="B7C7E6" w:sz="4" w:space="0"/>
                    <w:right w:val="single" w:color="B7C7E6" w:sz="4" w:space="0"/>
                  </w:tcBorders>
                  <w:shd w:val="clear" w:color="auto" w:fill="EAF1FB"/>
                </w:tcPr>
                <w:p w14:paraId="2A351C3F">
                  <w:pPr>
                    <w:spacing w:before="0" w:after="0"/>
                  </w:pPr>
                  <w:r>
                    <w:rPr>
                      <w:b/>
                      <w:color w:val="163B82"/>
                      <w:sz w:val="16"/>
                    </w:rPr>
                    <w:t>Who (customer-support assistant)</w:t>
                  </w:r>
                </w:p>
              </w:tc>
              <w:tc>
                <w:tcPr>
                  <w:tcW w:w="4100" w:type="dxa"/>
                  <w:tcBorders>
                    <w:top w:val="single" w:color="B7C7E6" w:sz="4" w:space="0"/>
                    <w:left w:val="single" w:color="B7C7E6" w:sz="4" w:space="0"/>
                    <w:bottom w:val="single" w:color="B7C7E6" w:sz="4" w:space="0"/>
                    <w:right w:val="single" w:color="B7C7E6" w:sz="4" w:space="0"/>
                  </w:tcBorders>
                  <w:shd w:val="clear" w:color="auto" w:fill="EAF1FB"/>
                </w:tcPr>
                <w:p w14:paraId="6560AF12">
                  <w:pPr>
                    <w:spacing w:before="0" w:after="0"/>
                  </w:pPr>
                  <w:r>
                    <w:rPr>
                      <w:b/>
                      <w:color w:val="163B82"/>
                      <w:sz w:val="16"/>
                    </w:rPr>
                    <w:t>Why this role</w:t>
                  </w:r>
                </w:p>
              </w:tc>
            </w:tr>
            <w:tr w14:paraId="096B5D14">
              <w:tblPrEx>
                <w:tblCellMar>
                  <w:top w:w="30" w:type="dxa"/>
                  <w:left w:w="70" w:type="dxa"/>
                  <w:bottom w:w="30" w:type="dxa"/>
                  <w:right w:w="70" w:type="dxa"/>
                </w:tblCellMar>
              </w:tblPrEx>
              <w:trPr>
                <w:cantSplit/>
              </w:trPr>
              <w:tc>
                <w:tcPr>
                  <w:tcW w:w="1700" w:type="dxa"/>
                  <w:tcBorders>
                    <w:top w:val="single" w:color="B7C7E6" w:sz="4" w:space="0"/>
                    <w:left w:val="single" w:color="B7C7E6" w:sz="4" w:space="0"/>
                    <w:bottom w:val="single" w:color="B7C7E6" w:sz="4" w:space="0"/>
                    <w:right w:val="single" w:color="B7C7E6" w:sz="4" w:space="0"/>
                  </w:tcBorders>
                </w:tcPr>
                <w:p w14:paraId="72A35DF3">
                  <w:pPr>
                    <w:spacing w:before="0" w:after="0"/>
                  </w:pPr>
                  <w:r>
                    <w:rPr>
                      <w:b/>
                      <w:color w:val="1F2937"/>
                      <w:sz w:val="16"/>
                    </w:rPr>
                    <w:t>Primary user</w:t>
                  </w:r>
                </w:p>
              </w:tc>
              <w:tc>
                <w:tcPr>
                  <w:tcW w:w="3400" w:type="dxa"/>
                  <w:tcBorders>
                    <w:top w:val="single" w:color="B7C7E6" w:sz="4" w:space="0"/>
                    <w:left w:val="single" w:color="B7C7E6" w:sz="4" w:space="0"/>
                    <w:bottom w:val="single" w:color="B7C7E6" w:sz="4" w:space="0"/>
                    <w:right w:val="single" w:color="B7C7E6" w:sz="4" w:space="0"/>
                  </w:tcBorders>
                </w:tcPr>
                <w:p w14:paraId="4AC6E98F">
                  <w:pPr>
                    <w:spacing w:before="0" w:after="0"/>
                  </w:pPr>
                  <w:r>
                    <w:rPr>
                      <w:b w:val="0"/>
                      <w:color w:val="1F2937"/>
                      <w:sz w:val="16"/>
                    </w:rPr>
                    <w:t>Tier-1 support agent</w:t>
                  </w:r>
                </w:p>
              </w:tc>
              <w:tc>
                <w:tcPr>
                  <w:tcW w:w="4100" w:type="dxa"/>
                  <w:tcBorders>
                    <w:top w:val="single" w:color="B7C7E6" w:sz="4" w:space="0"/>
                    <w:left w:val="single" w:color="B7C7E6" w:sz="4" w:space="0"/>
                    <w:bottom w:val="single" w:color="B7C7E6" w:sz="4" w:space="0"/>
                    <w:right w:val="single" w:color="B7C7E6" w:sz="4" w:space="0"/>
                  </w:tcBorders>
                </w:tcPr>
                <w:p w14:paraId="03DDE8E2">
                  <w:pPr>
                    <w:spacing w:before="0" w:after="0"/>
                  </w:pPr>
                  <w:r>
                    <w:rPr>
                      <w:b w:val="0"/>
                      <w:color w:val="1F2937"/>
                      <w:sz w:val="16"/>
                    </w:rPr>
                    <w:t>Uses the assistant every day inside the ticket workflow; their time and trust decide adoption.</w:t>
                  </w:r>
                </w:p>
              </w:tc>
            </w:tr>
            <w:tr w14:paraId="479AADE1">
              <w:tblPrEx>
                <w:tblCellMar>
                  <w:top w:w="30" w:type="dxa"/>
                  <w:left w:w="70" w:type="dxa"/>
                  <w:bottom w:w="30" w:type="dxa"/>
                  <w:right w:w="70" w:type="dxa"/>
                </w:tblCellMar>
              </w:tblPrEx>
              <w:trPr>
                <w:cantSplit/>
              </w:trPr>
              <w:tc>
                <w:tcPr>
                  <w:tcW w:w="1700" w:type="dxa"/>
                  <w:tcBorders>
                    <w:top w:val="single" w:color="B7C7E6" w:sz="4" w:space="0"/>
                    <w:left w:val="single" w:color="B7C7E6" w:sz="4" w:space="0"/>
                    <w:bottom w:val="single" w:color="B7C7E6" w:sz="4" w:space="0"/>
                    <w:right w:val="single" w:color="B7C7E6" w:sz="4" w:space="0"/>
                  </w:tcBorders>
                </w:tcPr>
                <w:p w14:paraId="74AEA35D">
                  <w:pPr>
                    <w:spacing w:before="0" w:after="0"/>
                  </w:pPr>
                  <w:r>
                    <w:rPr>
                      <w:b/>
                      <w:color w:val="1F2937"/>
                      <w:sz w:val="16"/>
                    </w:rPr>
                    <w:t>Beneficiary</w:t>
                  </w:r>
                </w:p>
              </w:tc>
              <w:tc>
                <w:tcPr>
                  <w:tcW w:w="3400" w:type="dxa"/>
                  <w:tcBorders>
                    <w:top w:val="single" w:color="B7C7E6" w:sz="4" w:space="0"/>
                    <w:left w:val="single" w:color="B7C7E6" w:sz="4" w:space="0"/>
                    <w:bottom w:val="single" w:color="B7C7E6" w:sz="4" w:space="0"/>
                    <w:right w:val="single" w:color="B7C7E6" w:sz="4" w:space="0"/>
                  </w:tcBorders>
                </w:tcPr>
                <w:p w14:paraId="59168D54">
                  <w:pPr>
                    <w:spacing w:before="0" w:after="0"/>
                  </w:pPr>
                  <w:r>
                    <w:rPr>
                      <w:b w:val="0"/>
                      <w:color w:val="1F2937"/>
                      <w:sz w:val="16"/>
                    </w:rPr>
                    <w:t>Customers waiting for answers (and agents, who do less repetitive searching)</w:t>
                  </w:r>
                </w:p>
              </w:tc>
              <w:tc>
                <w:tcPr>
                  <w:tcW w:w="4100" w:type="dxa"/>
                  <w:tcBorders>
                    <w:top w:val="single" w:color="B7C7E6" w:sz="4" w:space="0"/>
                    <w:left w:val="single" w:color="B7C7E6" w:sz="4" w:space="0"/>
                    <w:bottom w:val="single" w:color="B7C7E6" w:sz="4" w:space="0"/>
                    <w:right w:val="single" w:color="B7C7E6" w:sz="4" w:space="0"/>
                  </w:tcBorders>
                </w:tcPr>
                <w:p w14:paraId="05AFF15A">
                  <w:pPr>
                    <w:spacing w:before="0" w:after="0"/>
                  </w:pPr>
                  <w:r>
                    <w:rPr>
                      <w:b w:val="0"/>
                      <w:color w:val="1F2937"/>
                      <w:sz w:val="16"/>
                    </w:rPr>
                    <w:t>Receive faster, more consistent replies; not necessarily the person who uses the tool.</w:t>
                  </w:r>
                </w:p>
              </w:tc>
            </w:tr>
            <w:tr w14:paraId="764E7D72">
              <w:tblPrEx>
                <w:tblCellMar>
                  <w:top w:w="30" w:type="dxa"/>
                  <w:left w:w="70" w:type="dxa"/>
                  <w:bottom w:w="30" w:type="dxa"/>
                  <w:right w:w="70" w:type="dxa"/>
                </w:tblCellMar>
              </w:tblPrEx>
              <w:trPr>
                <w:cantSplit/>
              </w:trPr>
              <w:tc>
                <w:tcPr>
                  <w:tcW w:w="1700" w:type="dxa"/>
                  <w:tcBorders>
                    <w:top w:val="single" w:color="B7C7E6" w:sz="4" w:space="0"/>
                    <w:left w:val="single" w:color="B7C7E6" w:sz="4" w:space="0"/>
                    <w:bottom w:val="single" w:color="B7C7E6" w:sz="4" w:space="0"/>
                    <w:right w:val="single" w:color="B7C7E6" w:sz="4" w:space="0"/>
                  </w:tcBorders>
                </w:tcPr>
                <w:p w14:paraId="6DB0F56D">
                  <w:pPr>
                    <w:spacing w:before="0" w:after="0"/>
                  </w:pPr>
                  <w:r>
                    <w:rPr>
                      <w:b/>
                      <w:color w:val="1F2937"/>
                      <w:sz w:val="16"/>
                    </w:rPr>
                    <w:t>Buyer</w:t>
                  </w:r>
                </w:p>
              </w:tc>
              <w:tc>
                <w:tcPr>
                  <w:tcW w:w="3400" w:type="dxa"/>
                  <w:tcBorders>
                    <w:top w:val="single" w:color="B7C7E6" w:sz="4" w:space="0"/>
                    <w:left w:val="single" w:color="B7C7E6" w:sz="4" w:space="0"/>
                    <w:bottom w:val="single" w:color="B7C7E6" w:sz="4" w:space="0"/>
                    <w:right w:val="single" w:color="B7C7E6" w:sz="4" w:space="0"/>
                  </w:tcBorders>
                </w:tcPr>
                <w:p w14:paraId="0DA2FB4E">
                  <w:pPr>
                    <w:spacing w:before="0" w:after="0"/>
                  </w:pPr>
                  <w:r>
                    <w:rPr>
                      <w:b w:val="0"/>
                      <w:color w:val="1F2937"/>
                      <w:sz w:val="16"/>
                    </w:rPr>
                    <w:t>Head of Customer Support / Operations</w:t>
                  </w:r>
                </w:p>
              </w:tc>
              <w:tc>
                <w:tcPr>
                  <w:tcW w:w="4100" w:type="dxa"/>
                  <w:tcBorders>
                    <w:top w:val="single" w:color="B7C7E6" w:sz="4" w:space="0"/>
                    <w:left w:val="single" w:color="B7C7E6" w:sz="4" w:space="0"/>
                    <w:bottom w:val="single" w:color="B7C7E6" w:sz="4" w:space="0"/>
                    <w:right w:val="single" w:color="B7C7E6" w:sz="4" w:space="0"/>
                  </w:tcBorders>
                </w:tcPr>
                <w:p w14:paraId="2C2BFE68">
                  <w:pPr>
                    <w:spacing w:before="0" w:after="0"/>
                  </w:pPr>
                  <w:r>
                    <w:rPr>
                      <w:b w:val="0"/>
                      <w:color w:val="1F2937"/>
                      <w:sz w:val="16"/>
                    </w:rPr>
                    <w:t>Owns the budget and the KPIs (response time, cost per ticket, CSAT).</w:t>
                  </w:r>
                </w:p>
              </w:tc>
            </w:tr>
            <w:tr w14:paraId="72019744">
              <w:tblPrEx>
                <w:tblCellMar>
                  <w:top w:w="30" w:type="dxa"/>
                  <w:left w:w="70" w:type="dxa"/>
                  <w:bottom w:w="30" w:type="dxa"/>
                  <w:right w:w="70" w:type="dxa"/>
                </w:tblCellMar>
              </w:tblPrEx>
              <w:trPr>
                <w:cantSplit/>
              </w:trPr>
              <w:tc>
                <w:tcPr>
                  <w:tcW w:w="1700" w:type="dxa"/>
                  <w:tcBorders>
                    <w:top w:val="single" w:color="B7C7E6" w:sz="4" w:space="0"/>
                    <w:left w:val="single" w:color="B7C7E6" w:sz="4" w:space="0"/>
                    <w:bottom w:val="single" w:color="B7C7E6" w:sz="4" w:space="0"/>
                    <w:right w:val="single" w:color="B7C7E6" w:sz="4" w:space="0"/>
                  </w:tcBorders>
                </w:tcPr>
                <w:p w14:paraId="2C3B3CFF">
                  <w:pPr>
                    <w:spacing w:before="0" w:after="0"/>
                  </w:pPr>
                  <w:r>
                    <w:rPr>
                      <w:b/>
                      <w:color w:val="1F2937"/>
                      <w:sz w:val="16"/>
                    </w:rPr>
                    <w:t>Approver</w:t>
                  </w:r>
                </w:p>
              </w:tc>
              <w:tc>
                <w:tcPr>
                  <w:tcW w:w="3400" w:type="dxa"/>
                  <w:tcBorders>
                    <w:top w:val="single" w:color="B7C7E6" w:sz="4" w:space="0"/>
                    <w:left w:val="single" w:color="B7C7E6" w:sz="4" w:space="0"/>
                    <w:bottom w:val="single" w:color="B7C7E6" w:sz="4" w:space="0"/>
                    <w:right w:val="single" w:color="B7C7E6" w:sz="4" w:space="0"/>
                  </w:tcBorders>
                </w:tcPr>
                <w:p w14:paraId="427F12B9">
                  <w:pPr>
                    <w:spacing w:before="0" w:after="0"/>
                  </w:pPr>
                  <w:r>
                    <w:rPr>
                      <w:b w:val="0"/>
                      <w:color w:val="1F2937"/>
                      <w:sz w:val="16"/>
                    </w:rPr>
                    <w:t>Support operations manager, with Security / Compliance</w:t>
                  </w:r>
                </w:p>
              </w:tc>
              <w:tc>
                <w:tcPr>
                  <w:tcW w:w="4100" w:type="dxa"/>
                  <w:tcBorders>
                    <w:top w:val="single" w:color="B7C7E6" w:sz="4" w:space="0"/>
                    <w:left w:val="single" w:color="B7C7E6" w:sz="4" w:space="0"/>
                    <w:bottom w:val="single" w:color="B7C7E6" w:sz="4" w:space="0"/>
                    <w:right w:val="single" w:color="B7C7E6" w:sz="4" w:space="0"/>
                  </w:tcBorders>
                </w:tcPr>
                <w:p w14:paraId="1CC57768">
                  <w:pPr>
                    <w:spacing w:before="0" w:after="0"/>
                  </w:pPr>
                  <w:r>
                    <w:rPr>
                      <w:b w:val="0"/>
                      <w:color w:val="1F2937"/>
                      <w:sz w:val="16"/>
                    </w:rPr>
                    <w:t>Signs off the knowledge sources, data-handling rules and rollout to the team.</w:t>
                  </w:r>
                </w:p>
              </w:tc>
            </w:tr>
            <w:tr w14:paraId="0571B7CB">
              <w:tblPrEx>
                <w:tblCellMar>
                  <w:top w:w="30" w:type="dxa"/>
                  <w:left w:w="70" w:type="dxa"/>
                  <w:bottom w:w="30" w:type="dxa"/>
                  <w:right w:w="70" w:type="dxa"/>
                </w:tblCellMar>
              </w:tblPrEx>
              <w:trPr>
                <w:cantSplit/>
              </w:trPr>
              <w:tc>
                <w:tcPr>
                  <w:tcW w:w="1700" w:type="dxa"/>
                  <w:tcBorders>
                    <w:top w:val="single" w:color="B7C7E6" w:sz="4" w:space="0"/>
                    <w:left w:val="single" w:color="B7C7E6" w:sz="4" w:space="0"/>
                    <w:bottom w:val="single" w:color="B7C7E6" w:sz="4" w:space="0"/>
                    <w:right w:val="single" w:color="B7C7E6" w:sz="4" w:space="0"/>
                  </w:tcBorders>
                </w:tcPr>
                <w:p w14:paraId="256781CF">
                  <w:pPr>
                    <w:spacing w:before="0" w:after="0"/>
                  </w:pPr>
                  <w:r>
                    <w:rPr>
                      <w:b/>
                      <w:color w:val="1F2937"/>
                      <w:sz w:val="16"/>
                    </w:rPr>
                    <w:t>Engineering stakeholder</w:t>
                  </w:r>
                </w:p>
              </w:tc>
              <w:tc>
                <w:tcPr>
                  <w:tcW w:w="3400" w:type="dxa"/>
                  <w:tcBorders>
                    <w:top w:val="single" w:color="B7C7E6" w:sz="4" w:space="0"/>
                    <w:left w:val="single" w:color="B7C7E6" w:sz="4" w:space="0"/>
                    <w:bottom w:val="single" w:color="B7C7E6" w:sz="4" w:space="0"/>
                    <w:right w:val="single" w:color="B7C7E6" w:sz="4" w:space="0"/>
                  </w:tcBorders>
                </w:tcPr>
                <w:p w14:paraId="487E6272">
                  <w:pPr>
                    <w:spacing w:before="0" w:after="0"/>
                  </w:pPr>
                  <w:r>
                    <w:rPr>
                      <w:b w:val="0"/>
                      <w:color w:val="1F2937"/>
                      <w:sz w:val="16"/>
                    </w:rPr>
                    <w:t>AI/software engineer and the owner of the helpdesk integration</w:t>
                  </w:r>
                </w:p>
              </w:tc>
              <w:tc>
                <w:tcPr>
                  <w:tcW w:w="4100" w:type="dxa"/>
                  <w:tcBorders>
                    <w:top w:val="single" w:color="B7C7E6" w:sz="4" w:space="0"/>
                    <w:left w:val="single" w:color="B7C7E6" w:sz="4" w:space="0"/>
                    <w:bottom w:val="single" w:color="B7C7E6" w:sz="4" w:space="0"/>
                    <w:right w:val="single" w:color="B7C7E6" w:sz="4" w:space="0"/>
                  </w:tcBorders>
                </w:tcPr>
                <w:p w14:paraId="09C14EA5">
                  <w:pPr>
                    <w:spacing w:before="0" w:after="0"/>
                  </w:pPr>
                  <w:r>
                    <w:rPr>
                      <w:b w:val="0"/>
                      <w:color w:val="1F2937"/>
                      <w:sz w:val="16"/>
                    </w:rPr>
                    <w:t>Builds, tests, deploys and maintains the MVP; owns evaluation and logs.</w:t>
                  </w:r>
                </w:p>
              </w:tc>
            </w:tr>
          </w:tbl>
          <w:p w14:paraId="55C84F38">
            <w:pPr>
              <w:spacing w:before="0" w:after="40" w:line="80" w:lineRule="exact"/>
            </w:pPr>
          </w:p>
          <w:p w14:paraId="59C23AB5">
            <w:pPr>
              <w:spacing w:before="0" w:after="80"/>
            </w:pPr>
            <w:r>
              <w:rPr>
                <w:b/>
                <w:color w:val="1F2937"/>
                <w:sz w:val="18"/>
              </w:rPr>
              <w:t>Target-user statement (Role + Context + Goal):</w:t>
            </w:r>
            <w:r>
              <w:rPr>
                <w:b w:val="0"/>
                <w:color w:val="1F2937"/>
                <w:sz w:val="18"/>
              </w:rPr>
              <w:t xml:space="preserve"> A </w:t>
            </w:r>
            <w:r>
              <w:rPr>
                <w:b/>
                <w:color w:val="1F2937"/>
                <w:sz w:val="18"/>
              </w:rPr>
              <w:t>Tier-1 support agent</w:t>
            </w:r>
            <w:r>
              <w:rPr>
                <w:b w:val="0"/>
                <w:color w:val="1F2937"/>
                <w:sz w:val="18"/>
              </w:rPr>
              <w:t xml:space="preserve"> at a mid-sized online retailer, working in the helpdesk on about 900 repeated-question tickets per month (Assumed), needs to </w:t>
            </w:r>
            <w:r>
              <w:rPr>
                <w:b/>
                <w:color w:val="1F2937"/>
                <w:sz w:val="18"/>
              </w:rPr>
              <w:t>send a verified, policy-correct reply in about 6 minutes or less without searching several documents by hand</w:t>
            </w:r>
            <w:r>
              <w:rPr>
                <w:b w:val="0"/>
                <w:color w:val="1F2937"/>
                <w:sz w:val="18"/>
              </w:rPr>
              <w:t>.</w:t>
            </w:r>
          </w:p>
        </w:tc>
      </w:tr>
    </w:tbl>
    <w:p w14:paraId="53B229F1">
      <w:pPr>
        <w:spacing w:after="40"/>
        <w:rPr>
          <w:rFonts w:hint="eastAsia"/>
        </w:rPr>
      </w:pPr>
    </w:p>
    <w:tbl>
      <w:tblPr>
        <w:tblStyle w:val="12"/>
        <w:tblW w:w="0" w:type="auto"/>
        <w:jc w:val="center"/>
        <w:tblLayout w:type="fixed"/>
        <w:tblCellMar>
          <w:top w:w="0" w:type="dxa"/>
          <w:left w:w="108" w:type="dxa"/>
          <w:bottom w:w="0" w:type="dxa"/>
          <w:right w:w="108" w:type="dxa"/>
        </w:tblCellMar>
      </w:tblPr>
      <w:tblGrid>
        <w:gridCol w:w="4916"/>
        <w:gridCol w:w="4916"/>
      </w:tblGrid>
      <w:tr w14:paraId="1A143E06">
        <w:tblPrEx>
          <w:tblCellMar>
            <w:top w:w="0" w:type="dxa"/>
            <w:left w:w="108" w:type="dxa"/>
            <w:bottom w:w="0" w:type="dxa"/>
            <w:right w:w="108" w:type="dxa"/>
          </w:tblCellMar>
        </w:tblPrEx>
        <w:trPr>
          <w:cantSplit/>
          <w:jc w:val="center"/>
        </w:trPr>
        <w:tc>
          <w:tcPr>
            <w:tcW w:w="4916" w:type="dxa"/>
            <w:tcBorders>
              <w:top w:val="single" w:color="D7E0EF" w:sz="4" w:space="0"/>
              <w:left w:val="single" w:color="D7E0EF" w:sz="4" w:space="0"/>
              <w:bottom w:val="single" w:color="D7E0EF" w:sz="4" w:space="0"/>
              <w:right w:val="single" w:color="D7E0EF" w:sz="4" w:space="0"/>
            </w:tcBorders>
            <w:shd w:val="clear" w:color="auto" w:fill="EAF1FB"/>
          </w:tcPr>
          <w:p w14:paraId="74FFEF32">
            <w:pPr>
              <w:spacing w:after="0"/>
              <w:rPr>
                <w:rFonts w:hint="eastAsia"/>
              </w:rPr>
            </w:pPr>
            <w:r>
              <w:rPr>
                <w:b/>
                <w:color w:val="1F1F1F"/>
                <w:sz w:val="21"/>
              </w:rPr>
              <w:t>Q5. Map a current workflow with at least five observable steps for one task you know. Mark the highest-friction step and explain why you selected it.</w:t>
            </w:r>
          </w:p>
        </w:tc>
        <w:tc>
          <w:tcPr>
            <w:tcW w:w="4916" w:type="dxa"/>
            <w:tcBorders>
              <w:top w:val="single" w:color="D7E0EF" w:sz="4" w:space="0"/>
              <w:left w:val="single" w:color="D7E0EF" w:sz="4" w:space="0"/>
              <w:bottom w:val="single" w:color="D7E0EF" w:sz="4" w:space="0"/>
              <w:right w:val="single" w:color="D7E0EF" w:sz="4" w:space="0"/>
            </w:tcBorders>
            <w:shd w:val="clear" w:color="auto" w:fill="FFF6DD"/>
          </w:tcPr>
          <w:p w14:paraId="1988398B">
            <w:pPr>
              <w:spacing w:after="0"/>
              <w:jc w:val="center"/>
              <w:rPr>
                <w:rFonts w:hint="eastAsia"/>
              </w:rPr>
            </w:pPr>
            <w:r>
              <w:rPr>
                <w:b/>
                <w:color w:val="163B82"/>
                <w:sz w:val="18"/>
              </w:rPr>
              <w:t>3 marks</w:t>
            </w:r>
          </w:p>
        </w:tc>
      </w:tr>
    </w:tbl>
    <w:p w14:paraId="159C2C52">
      <w:pPr>
        <w:spacing w:before="40" w:after="60"/>
        <w:rPr>
          <w:rFonts w:hint="eastAsia"/>
        </w:rPr>
      </w:pPr>
      <w:r>
        <w:rPr>
          <w:b/>
          <w:color w:val="F5A000"/>
          <w:sz w:val="17"/>
        </w:rPr>
        <w:t>Book reference: §3.5, “Map the Current Workflow Before You Improve It,” pp. 217–219</w:t>
      </w:r>
    </w:p>
    <w:tbl>
      <w:tblPr>
        <w:tblStyle w:val="12"/>
        <w:tblW w:w="0" w:type="auto"/>
        <w:jc w:val="center"/>
        <w:tblLayout w:type="fixed"/>
        <w:tblCellMar>
          <w:top w:w="0" w:type="dxa"/>
          <w:left w:w="108" w:type="dxa"/>
          <w:bottom w:w="0" w:type="dxa"/>
          <w:right w:w="108" w:type="dxa"/>
        </w:tblCellMar>
      </w:tblPr>
      <w:tblGrid>
        <w:gridCol w:w="9432"/>
      </w:tblGrid>
      <w:tr w14:paraId="439C574D">
        <w:tblPrEx>
          <w:tblCellMar>
            <w:top w:w="0" w:type="dxa"/>
            <w:left w:w="108" w:type="dxa"/>
            <w:bottom w:w="0" w:type="dxa"/>
            <w:right w:w="108" w:type="dxa"/>
          </w:tblCellMar>
        </w:tblPrEx>
        <w:trPr>
          <w:cantSplit/>
          <w:jc w:val="center"/>
        </w:trPr>
        <w:tc>
          <w:tcPr>
            <w:tcW w:w="9432" w:type="dxa"/>
            <w:tcBorders>
              <w:top w:val="single" w:color="B7C7E6" w:sz="6" w:space="0"/>
              <w:left w:val="single" w:color="B7C7E6" w:sz="6" w:space="0"/>
              <w:bottom w:val="single" w:color="B7C7E6" w:sz="6" w:space="0"/>
              <w:right w:val="single" w:color="B7C7E6" w:sz="6" w:space="0"/>
            </w:tcBorders>
            <w:shd w:val="clear" w:color="auto" w:fill="F9FBFE"/>
          </w:tcPr>
          <w:p w14:paraId="235D0BD9">
            <w:pPr>
              <w:spacing w:before="0" w:after="80"/>
              <w:rPr>
                <w:rFonts w:hint="eastAsia"/>
              </w:rPr>
            </w:pPr>
            <w:r>
              <w:rPr>
                <w:b w:val="0"/>
                <w:color w:val="1F2937"/>
                <w:sz w:val="18"/>
              </w:rPr>
              <w:t>Task: handling one repeated-question customer ticket (Assumed workflow; to be confirmed by shadowing agents).</w:t>
            </w:r>
          </w:p>
          <w:tbl>
            <w:tblPr>
              <w:tblStyle w:val="12"/>
              <w:tblW w:w="9200" w:type="dxa"/>
              <w:tblInd w:w="0" w:type="dxa"/>
              <w:tblLayout w:type="fixed"/>
              <w:tblCellMar>
                <w:top w:w="30" w:type="dxa"/>
                <w:left w:w="70" w:type="dxa"/>
                <w:bottom w:w="30" w:type="dxa"/>
                <w:right w:w="70" w:type="dxa"/>
              </w:tblCellMar>
            </w:tblPr>
            <w:tblGrid>
              <w:gridCol w:w="500"/>
              <w:gridCol w:w="5200"/>
              <w:gridCol w:w="2000"/>
              <w:gridCol w:w="1500"/>
            </w:tblGrid>
            <w:tr w14:paraId="299CAD57">
              <w:tblPrEx>
                <w:tblCellMar>
                  <w:top w:w="30" w:type="dxa"/>
                  <w:left w:w="70" w:type="dxa"/>
                  <w:bottom w:w="30" w:type="dxa"/>
                  <w:right w:w="70" w:type="dxa"/>
                </w:tblCellMar>
              </w:tblPrEx>
              <w:trPr>
                <w:cantSplit/>
                <w:tblHeader/>
              </w:trPr>
              <w:tc>
                <w:tcPr>
                  <w:tcW w:w="500" w:type="dxa"/>
                  <w:tcBorders>
                    <w:top w:val="single" w:color="B7C7E6" w:sz="4" w:space="0"/>
                    <w:left w:val="single" w:color="B7C7E6" w:sz="4" w:space="0"/>
                    <w:bottom w:val="single" w:color="B7C7E6" w:sz="4" w:space="0"/>
                    <w:right w:val="single" w:color="B7C7E6" w:sz="4" w:space="0"/>
                  </w:tcBorders>
                  <w:shd w:val="clear" w:color="auto" w:fill="EAF1FB"/>
                </w:tcPr>
                <w:p w14:paraId="5F742243">
                  <w:pPr>
                    <w:spacing w:before="0" w:after="0"/>
                  </w:pPr>
                  <w:r>
                    <w:rPr>
                      <w:b/>
                      <w:color w:val="163B82"/>
                      <w:sz w:val="16"/>
                    </w:rPr>
                    <w:t>#</w:t>
                  </w:r>
                </w:p>
              </w:tc>
              <w:tc>
                <w:tcPr>
                  <w:tcW w:w="5200" w:type="dxa"/>
                  <w:tcBorders>
                    <w:top w:val="single" w:color="B7C7E6" w:sz="4" w:space="0"/>
                    <w:left w:val="single" w:color="B7C7E6" w:sz="4" w:space="0"/>
                    <w:bottom w:val="single" w:color="B7C7E6" w:sz="4" w:space="0"/>
                    <w:right w:val="single" w:color="B7C7E6" w:sz="4" w:space="0"/>
                  </w:tcBorders>
                  <w:shd w:val="clear" w:color="auto" w:fill="EAF1FB"/>
                </w:tcPr>
                <w:p w14:paraId="10F9D954">
                  <w:pPr>
                    <w:spacing w:before="0" w:after="0"/>
                  </w:pPr>
                  <w:r>
                    <w:rPr>
                      <w:b/>
                      <w:color w:val="163B82"/>
                      <w:sz w:val="16"/>
                    </w:rPr>
                    <w:t>Observable step</w:t>
                  </w:r>
                </w:p>
              </w:tc>
              <w:tc>
                <w:tcPr>
                  <w:tcW w:w="2000" w:type="dxa"/>
                  <w:tcBorders>
                    <w:top w:val="single" w:color="B7C7E6" w:sz="4" w:space="0"/>
                    <w:left w:val="single" w:color="B7C7E6" w:sz="4" w:space="0"/>
                    <w:bottom w:val="single" w:color="B7C7E6" w:sz="4" w:space="0"/>
                    <w:right w:val="single" w:color="B7C7E6" w:sz="4" w:space="0"/>
                  </w:tcBorders>
                  <w:shd w:val="clear" w:color="auto" w:fill="EAF1FB"/>
                </w:tcPr>
                <w:p w14:paraId="7A7F5F87">
                  <w:pPr>
                    <w:spacing w:before="0" w:after="0"/>
                  </w:pPr>
                  <w:r>
                    <w:rPr>
                      <w:b/>
                      <w:color w:val="163B82"/>
                      <w:sz w:val="16"/>
                    </w:rPr>
                    <w:t>Where</w:t>
                  </w:r>
                </w:p>
              </w:tc>
              <w:tc>
                <w:tcPr>
                  <w:tcW w:w="1500" w:type="dxa"/>
                  <w:tcBorders>
                    <w:top w:val="single" w:color="B7C7E6" w:sz="4" w:space="0"/>
                    <w:left w:val="single" w:color="B7C7E6" w:sz="4" w:space="0"/>
                    <w:bottom w:val="single" w:color="B7C7E6" w:sz="4" w:space="0"/>
                    <w:right w:val="single" w:color="B7C7E6" w:sz="4" w:space="0"/>
                  </w:tcBorders>
                  <w:shd w:val="clear" w:color="auto" w:fill="EAF1FB"/>
                </w:tcPr>
                <w:p w14:paraId="20739215">
                  <w:pPr>
                    <w:spacing w:before="0" w:after="0"/>
                  </w:pPr>
                  <w:r>
                    <w:rPr>
                      <w:b/>
                      <w:color w:val="163B82"/>
                      <w:sz w:val="16"/>
                    </w:rPr>
                    <w:t>Friction</w:t>
                  </w:r>
                </w:p>
              </w:tc>
            </w:tr>
            <w:tr w14:paraId="065DE303">
              <w:tblPrEx>
                <w:tblCellMar>
                  <w:top w:w="30" w:type="dxa"/>
                  <w:left w:w="70" w:type="dxa"/>
                  <w:bottom w:w="30" w:type="dxa"/>
                  <w:right w:w="70" w:type="dxa"/>
                </w:tblCellMar>
              </w:tblPrEx>
              <w:trPr>
                <w:cantSplit/>
              </w:trPr>
              <w:tc>
                <w:tcPr>
                  <w:tcW w:w="500" w:type="dxa"/>
                  <w:tcBorders>
                    <w:top w:val="single" w:color="B7C7E6" w:sz="4" w:space="0"/>
                    <w:left w:val="single" w:color="B7C7E6" w:sz="4" w:space="0"/>
                    <w:bottom w:val="single" w:color="B7C7E6" w:sz="4" w:space="0"/>
                    <w:right w:val="single" w:color="B7C7E6" w:sz="4" w:space="0"/>
                  </w:tcBorders>
                </w:tcPr>
                <w:p w14:paraId="4A0D6A11">
                  <w:pPr>
                    <w:spacing w:before="0" w:after="0"/>
                  </w:pPr>
                  <w:r>
                    <w:rPr>
                      <w:b w:val="0"/>
                      <w:color w:val="1F2937"/>
                      <w:sz w:val="16"/>
                    </w:rPr>
                    <w:t>1</w:t>
                  </w:r>
                </w:p>
              </w:tc>
              <w:tc>
                <w:tcPr>
                  <w:tcW w:w="5200" w:type="dxa"/>
                  <w:tcBorders>
                    <w:top w:val="single" w:color="B7C7E6" w:sz="4" w:space="0"/>
                    <w:left w:val="single" w:color="B7C7E6" w:sz="4" w:space="0"/>
                    <w:bottom w:val="single" w:color="B7C7E6" w:sz="4" w:space="0"/>
                    <w:right w:val="single" w:color="B7C7E6" w:sz="4" w:space="0"/>
                  </w:tcBorders>
                </w:tcPr>
                <w:p w14:paraId="0B51457A">
                  <w:pPr>
                    <w:spacing w:before="0" w:after="0"/>
                  </w:pPr>
                  <w:r>
                    <w:rPr>
                      <w:b w:val="0"/>
                      <w:color w:val="1F2937"/>
                      <w:sz w:val="16"/>
                    </w:rPr>
                    <w:t>Customer message arrives and is assigned to an agent.</w:t>
                  </w:r>
                </w:p>
              </w:tc>
              <w:tc>
                <w:tcPr>
                  <w:tcW w:w="2000" w:type="dxa"/>
                  <w:tcBorders>
                    <w:top w:val="single" w:color="B7C7E6" w:sz="4" w:space="0"/>
                    <w:left w:val="single" w:color="B7C7E6" w:sz="4" w:space="0"/>
                    <w:bottom w:val="single" w:color="B7C7E6" w:sz="4" w:space="0"/>
                    <w:right w:val="single" w:color="B7C7E6" w:sz="4" w:space="0"/>
                  </w:tcBorders>
                </w:tcPr>
                <w:p w14:paraId="48790EDD">
                  <w:pPr>
                    <w:spacing w:before="0" w:after="0"/>
                  </w:pPr>
                  <w:r>
                    <w:rPr>
                      <w:b w:val="0"/>
                      <w:color w:val="1F2937"/>
                      <w:sz w:val="16"/>
                    </w:rPr>
                    <w:t>Helpdesk queue</w:t>
                  </w:r>
                </w:p>
              </w:tc>
              <w:tc>
                <w:tcPr>
                  <w:tcW w:w="1500" w:type="dxa"/>
                  <w:tcBorders>
                    <w:top w:val="single" w:color="B7C7E6" w:sz="4" w:space="0"/>
                    <w:left w:val="single" w:color="B7C7E6" w:sz="4" w:space="0"/>
                    <w:bottom w:val="single" w:color="B7C7E6" w:sz="4" w:space="0"/>
                    <w:right w:val="single" w:color="B7C7E6" w:sz="4" w:space="0"/>
                  </w:tcBorders>
                </w:tcPr>
                <w:p w14:paraId="5B71A87A">
                  <w:pPr>
                    <w:spacing w:before="0" w:after="0"/>
                  </w:pPr>
                  <w:r>
                    <w:rPr>
                      <w:b w:val="0"/>
                      <w:color w:val="1F2937"/>
                      <w:sz w:val="16"/>
                    </w:rPr>
                    <w:t>Low</w:t>
                  </w:r>
                </w:p>
              </w:tc>
            </w:tr>
            <w:tr w14:paraId="001E77BA">
              <w:tblPrEx>
                <w:tblCellMar>
                  <w:top w:w="30" w:type="dxa"/>
                  <w:left w:w="70" w:type="dxa"/>
                  <w:bottom w:w="30" w:type="dxa"/>
                  <w:right w:w="70" w:type="dxa"/>
                </w:tblCellMar>
              </w:tblPrEx>
              <w:trPr>
                <w:cantSplit/>
              </w:trPr>
              <w:tc>
                <w:tcPr>
                  <w:tcW w:w="500" w:type="dxa"/>
                  <w:tcBorders>
                    <w:top w:val="single" w:color="B7C7E6" w:sz="4" w:space="0"/>
                    <w:left w:val="single" w:color="B7C7E6" w:sz="4" w:space="0"/>
                    <w:bottom w:val="single" w:color="B7C7E6" w:sz="4" w:space="0"/>
                    <w:right w:val="single" w:color="B7C7E6" w:sz="4" w:space="0"/>
                  </w:tcBorders>
                </w:tcPr>
                <w:p w14:paraId="1A98B3AF">
                  <w:pPr>
                    <w:spacing w:before="0" w:after="0"/>
                  </w:pPr>
                  <w:r>
                    <w:rPr>
                      <w:b w:val="0"/>
                      <w:color w:val="1F2937"/>
                      <w:sz w:val="16"/>
                    </w:rPr>
                    <w:t>2</w:t>
                  </w:r>
                </w:p>
              </w:tc>
              <w:tc>
                <w:tcPr>
                  <w:tcW w:w="5200" w:type="dxa"/>
                  <w:tcBorders>
                    <w:top w:val="single" w:color="B7C7E6" w:sz="4" w:space="0"/>
                    <w:left w:val="single" w:color="B7C7E6" w:sz="4" w:space="0"/>
                    <w:bottom w:val="single" w:color="B7C7E6" w:sz="4" w:space="0"/>
                    <w:right w:val="single" w:color="B7C7E6" w:sz="4" w:space="0"/>
                  </w:tcBorders>
                </w:tcPr>
                <w:p w14:paraId="073F499B">
                  <w:pPr>
                    <w:spacing w:before="0" w:after="0"/>
                  </w:pPr>
                  <w:r>
                    <w:rPr>
                      <w:b w:val="0"/>
                      <w:color w:val="1F2937"/>
                      <w:sz w:val="16"/>
                    </w:rPr>
                    <w:t>Agent reads the message and identifies the intent.</w:t>
                  </w:r>
                </w:p>
              </w:tc>
              <w:tc>
                <w:tcPr>
                  <w:tcW w:w="2000" w:type="dxa"/>
                  <w:tcBorders>
                    <w:top w:val="single" w:color="B7C7E6" w:sz="4" w:space="0"/>
                    <w:left w:val="single" w:color="B7C7E6" w:sz="4" w:space="0"/>
                    <w:bottom w:val="single" w:color="B7C7E6" w:sz="4" w:space="0"/>
                    <w:right w:val="single" w:color="B7C7E6" w:sz="4" w:space="0"/>
                  </w:tcBorders>
                </w:tcPr>
                <w:p w14:paraId="3ADD620E">
                  <w:pPr>
                    <w:spacing w:before="0" w:after="0"/>
                  </w:pPr>
                  <w:r>
                    <w:rPr>
                      <w:b w:val="0"/>
                      <w:color w:val="1F2937"/>
                      <w:sz w:val="16"/>
                    </w:rPr>
                    <w:t>Helpdesk</w:t>
                  </w:r>
                </w:p>
              </w:tc>
              <w:tc>
                <w:tcPr>
                  <w:tcW w:w="1500" w:type="dxa"/>
                  <w:tcBorders>
                    <w:top w:val="single" w:color="B7C7E6" w:sz="4" w:space="0"/>
                    <w:left w:val="single" w:color="B7C7E6" w:sz="4" w:space="0"/>
                    <w:bottom w:val="single" w:color="B7C7E6" w:sz="4" w:space="0"/>
                    <w:right w:val="single" w:color="B7C7E6" w:sz="4" w:space="0"/>
                  </w:tcBorders>
                </w:tcPr>
                <w:p w14:paraId="257FF487">
                  <w:pPr>
                    <w:spacing w:before="0" w:after="0"/>
                  </w:pPr>
                  <w:r>
                    <w:rPr>
                      <w:b w:val="0"/>
                      <w:color w:val="1F2937"/>
                      <w:sz w:val="16"/>
                    </w:rPr>
                    <w:t>Low</w:t>
                  </w:r>
                </w:p>
              </w:tc>
            </w:tr>
            <w:tr w14:paraId="6611E806">
              <w:tblPrEx>
                <w:tblCellMar>
                  <w:top w:w="30" w:type="dxa"/>
                  <w:left w:w="70" w:type="dxa"/>
                  <w:bottom w:w="30" w:type="dxa"/>
                  <w:right w:w="70" w:type="dxa"/>
                </w:tblCellMar>
              </w:tblPrEx>
              <w:trPr>
                <w:cantSplit/>
              </w:trPr>
              <w:tc>
                <w:tcPr>
                  <w:tcW w:w="500" w:type="dxa"/>
                  <w:tcBorders>
                    <w:top w:val="single" w:color="B7C7E6" w:sz="4" w:space="0"/>
                    <w:left w:val="single" w:color="B7C7E6" w:sz="4" w:space="0"/>
                    <w:bottom w:val="single" w:color="B7C7E6" w:sz="4" w:space="0"/>
                    <w:right w:val="single" w:color="B7C7E6" w:sz="4" w:space="0"/>
                  </w:tcBorders>
                </w:tcPr>
                <w:p w14:paraId="30D71A89">
                  <w:pPr>
                    <w:spacing w:before="0" w:after="0"/>
                  </w:pPr>
                  <w:r>
                    <w:rPr>
                      <w:b w:val="0"/>
                      <w:color w:val="1F2937"/>
                      <w:sz w:val="16"/>
                    </w:rPr>
                    <w:t>3</w:t>
                  </w:r>
                </w:p>
              </w:tc>
              <w:tc>
                <w:tcPr>
                  <w:tcW w:w="5200" w:type="dxa"/>
                  <w:tcBorders>
                    <w:top w:val="single" w:color="B7C7E6" w:sz="4" w:space="0"/>
                    <w:left w:val="single" w:color="B7C7E6" w:sz="4" w:space="0"/>
                    <w:bottom w:val="single" w:color="B7C7E6" w:sz="4" w:space="0"/>
                    <w:right w:val="single" w:color="B7C7E6" w:sz="4" w:space="0"/>
                  </w:tcBorders>
                </w:tcPr>
                <w:p w14:paraId="15AC9FB8">
                  <w:pPr>
                    <w:spacing w:before="0" w:after="0"/>
                  </w:pPr>
                  <w:r>
                    <w:rPr>
                      <w:b w:val="0"/>
                      <w:color w:val="1F2937"/>
                      <w:sz w:val="16"/>
                    </w:rPr>
                    <w:t>Agent searches help center, wiki and previous tickets for the answer.</w:t>
                  </w:r>
                </w:p>
              </w:tc>
              <w:tc>
                <w:tcPr>
                  <w:tcW w:w="2000" w:type="dxa"/>
                  <w:tcBorders>
                    <w:top w:val="single" w:color="B7C7E6" w:sz="4" w:space="0"/>
                    <w:left w:val="single" w:color="B7C7E6" w:sz="4" w:space="0"/>
                    <w:bottom w:val="single" w:color="B7C7E6" w:sz="4" w:space="0"/>
                    <w:right w:val="single" w:color="B7C7E6" w:sz="4" w:space="0"/>
                  </w:tcBorders>
                </w:tcPr>
                <w:p w14:paraId="52E0516C">
                  <w:pPr>
                    <w:spacing w:before="0" w:after="0"/>
                  </w:pPr>
                  <w:r>
                    <w:rPr>
                      <w:b w:val="0"/>
                      <w:color w:val="1F2937"/>
                      <w:sz w:val="16"/>
                    </w:rPr>
                    <w:t>3+ separate sources</w:t>
                  </w:r>
                </w:p>
              </w:tc>
              <w:tc>
                <w:tcPr>
                  <w:tcW w:w="1500" w:type="dxa"/>
                  <w:tcBorders>
                    <w:top w:val="single" w:color="B7C7E6" w:sz="4" w:space="0"/>
                    <w:left w:val="single" w:color="B7C7E6" w:sz="4" w:space="0"/>
                    <w:bottom w:val="single" w:color="B7C7E6" w:sz="4" w:space="0"/>
                    <w:right w:val="single" w:color="B7C7E6" w:sz="4" w:space="0"/>
                  </w:tcBorders>
                </w:tcPr>
                <w:p w14:paraId="2280DC25">
                  <w:pPr>
                    <w:spacing w:before="0" w:after="0"/>
                  </w:pPr>
                  <w:r>
                    <w:rPr>
                      <w:b/>
                      <w:color w:val="1F2937"/>
                      <w:sz w:val="16"/>
                    </w:rPr>
                    <w:t>HIGHEST</w:t>
                  </w:r>
                </w:p>
              </w:tc>
            </w:tr>
            <w:tr w14:paraId="315547A5">
              <w:tblPrEx>
                <w:tblCellMar>
                  <w:top w:w="30" w:type="dxa"/>
                  <w:left w:w="70" w:type="dxa"/>
                  <w:bottom w:w="30" w:type="dxa"/>
                  <w:right w:w="70" w:type="dxa"/>
                </w:tblCellMar>
              </w:tblPrEx>
              <w:trPr>
                <w:cantSplit/>
              </w:trPr>
              <w:tc>
                <w:tcPr>
                  <w:tcW w:w="500" w:type="dxa"/>
                  <w:tcBorders>
                    <w:top w:val="single" w:color="B7C7E6" w:sz="4" w:space="0"/>
                    <w:left w:val="single" w:color="B7C7E6" w:sz="4" w:space="0"/>
                    <w:bottom w:val="single" w:color="B7C7E6" w:sz="4" w:space="0"/>
                    <w:right w:val="single" w:color="B7C7E6" w:sz="4" w:space="0"/>
                  </w:tcBorders>
                </w:tcPr>
                <w:p w14:paraId="7D196060">
                  <w:pPr>
                    <w:spacing w:before="0" w:after="0"/>
                  </w:pPr>
                  <w:r>
                    <w:rPr>
                      <w:b w:val="0"/>
                      <w:color w:val="1F2937"/>
                      <w:sz w:val="16"/>
                    </w:rPr>
                    <w:t>4</w:t>
                  </w:r>
                </w:p>
              </w:tc>
              <w:tc>
                <w:tcPr>
                  <w:tcW w:w="5200" w:type="dxa"/>
                  <w:tcBorders>
                    <w:top w:val="single" w:color="B7C7E6" w:sz="4" w:space="0"/>
                    <w:left w:val="single" w:color="B7C7E6" w:sz="4" w:space="0"/>
                    <w:bottom w:val="single" w:color="B7C7E6" w:sz="4" w:space="0"/>
                    <w:right w:val="single" w:color="B7C7E6" w:sz="4" w:space="0"/>
                  </w:tcBorders>
                </w:tcPr>
                <w:p w14:paraId="02B7667D">
                  <w:pPr>
                    <w:spacing w:before="0" w:after="0"/>
                  </w:pPr>
                  <w:r>
                    <w:rPr>
                      <w:b w:val="0"/>
                      <w:color w:val="1F2937"/>
                      <w:sz w:val="16"/>
                    </w:rPr>
                    <w:t>Agent checks the answer against the current policy or asks a senior colleague.</w:t>
                  </w:r>
                </w:p>
              </w:tc>
              <w:tc>
                <w:tcPr>
                  <w:tcW w:w="2000" w:type="dxa"/>
                  <w:tcBorders>
                    <w:top w:val="single" w:color="B7C7E6" w:sz="4" w:space="0"/>
                    <w:left w:val="single" w:color="B7C7E6" w:sz="4" w:space="0"/>
                    <w:bottom w:val="single" w:color="B7C7E6" w:sz="4" w:space="0"/>
                    <w:right w:val="single" w:color="B7C7E6" w:sz="4" w:space="0"/>
                  </w:tcBorders>
                </w:tcPr>
                <w:p w14:paraId="15A7A78E">
                  <w:pPr>
                    <w:spacing w:before="0" w:after="0"/>
                  </w:pPr>
                  <w:r>
                    <w:rPr>
                      <w:b w:val="0"/>
                      <w:color w:val="1F2937"/>
                      <w:sz w:val="16"/>
                    </w:rPr>
                    <w:t>Policy docs / chat</w:t>
                  </w:r>
                </w:p>
              </w:tc>
              <w:tc>
                <w:tcPr>
                  <w:tcW w:w="1500" w:type="dxa"/>
                  <w:tcBorders>
                    <w:top w:val="single" w:color="B7C7E6" w:sz="4" w:space="0"/>
                    <w:left w:val="single" w:color="B7C7E6" w:sz="4" w:space="0"/>
                    <w:bottom w:val="single" w:color="B7C7E6" w:sz="4" w:space="0"/>
                    <w:right w:val="single" w:color="B7C7E6" w:sz="4" w:space="0"/>
                  </w:tcBorders>
                </w:tcPr>
                <w:p w14:paraId="423C56CF">
                  <w:pPr>
                    <w:spacing w:before="0" w:after="0"/>
                  </w:pPr>
                  <w:r>
                    <w:rPr>
                      <w:b/>
                      <w:color w:val="1F2937"/>
                      <w:sz w:val="16"/>
                    </w:rPr>
                    <w:t>HIGH</w:t>
                  </w:r>
                </w:p>
              </w:tc>
            </w:tr>
            <w:tr w14:paraId="50FF3F70">
              <w:tblPrEx>
                <w:tblCellMar>
                  <w:top w:w="30" w:type="dxa"/>
                  <w:left w:w="70" w:type="dxa"/>
                  <w:bottom w:w="30" w:type="dxa"/>
                  <w:right w:w="70" w:type="dxa"/>
                </w:tblCellMar>
              </w:tblPrEx>
              <w:trPr>
                <w:cantSplit/>
              </w:trPr>
              <w:tc>
                <w:tcPr>
                  <w:tcW w:w="500" w:type="dxa"/>
                  <w:tcBorders>
                    <w:top w:val="single" w:color="B7C7E6" w:sz="4" w:space="0"/>
                    <w:left w:val="single" w:color="B7C7E6" w:sz="4" w:space="0"/>
                    <w:bottom w:val="single" w:color="B7C7E6" w:sz="4" w:space="0"/>
                    <w:right w:val="single" w:color="B7C7E6" w:sz="4" w:space="0"/>
                  </w:tcBorders>
                </w:tcPr>
                <w:p w14:paraId="6023E6C1">
                  <w:pPr>
                    <w:spacing w:before="0" w:after="0"/>
                  </w:pPr>
                  <w:r>
                    <w:rPr>
                      <w:b w:val="0"/>
                      <w:color w:val="1F2937"/>
                      <w:sz w:val="16"/>
                    </w:rPr>
                    <w:t>5</w:t>
                  </w:r>
                </w:p>
              </w:tc>
              <w:tc>
                <w:tcPr>
                  <w:tcW w:w="5200" w:type="dxa"/>
                  <w:tcBorders>
                    <w:top w:val="single" w:color="B7C7E6" w:sz="4" w:space="0"/>
                    <w:left w:val="single" w:color="B7C7E6" w:sz="4" w:space="0"/>
                    <w:bottom w:val="single" w:color="B7C7E6" w:sz="4" w:space="0"/>
                    <w:right w:val="single" w:color="B7C7E6" w:sz="4" w:space="0"/>
                  </w:tcBorders>
                </w:tcPr>
                <w:p w14:paraId="1F7A2283">
                  <w:pPr>
                    <w:spacing w:before="0" w:after="0"/>
                  </w:pPr>
                  <w:r>
                    <w:rPr>
                      <w:b w:val="0"/>
                      <w:color w:val="1F2937"/>
                      <w:sz w:val="16"/>
                    </w:rPr>
                    <w:t>Agent writes or edits the reply and personalises it.</w:t>
                  </w:r>
                </w:p>
              </w:tc>
              <w:tc>
                <w:tcPr>
                  <w:tcW w:w="2000" w:type="dxa"/>
                  <w:tcBorders>
                    <w:top w:val="single" w:color="B7C7E6" w:sz="4" w:space="0"/>
                    <w:left w:val="single" w:color="B7C7E6" w:sz="4" w:space="0"/>
                    <w:bottom w:val="single" w:color="B7C7E6" w:sz="4" w:space="0"/>
                    <w:right w:val="single" w:color="B7C7E6" w:sz="4" w:space="0"/>
                  </w:tcBorders>
                </w:tcPr>
                <w:p w14:paraId="5647B570">
                  <w:pPr>
                    <w:spacing w:before="0" w:after="0"/>
                  </w:pPr>
                  <w:r>
                    <w:rPr>
                      <w:b w:val="0"/>
                      <w:color w:val="1F2937"/>
                      <w:sz w:val="16"/>
                    </w:rPr>
                    <w:t>Helpdesk editor</w:t>
                  </w:r>
                </w:p>
              </w:tc>
              <w:tc>
                <w:tcPr>
                  <w:tcW w:w="1500" w:type="dxa"/>
                  <w:tcBorders>
                    <w:top w:val="single" w:color="B7C7E6" w:sz="4" w:space="0"/>
                    <w:left w:val="single" w:color="B7C7E6" w:sz="4" w:space="0"/>
                    <w:bottom w:val="single" w:color="B7C7E6" w:sz="4" w:space="0"/>
                    <w:right w:val="single" w:color="B7C7E6" w:sz="4" w:space="0"/>
                  </w:tcBorders>
                </w:tcPr>
                <w:p w14:paraId="33498565">
                  <w:pPr>
                    <w:spacing w:before="0" w:after="0"/>
                  </w:pPr>
                  <w:r>
                    <w:rPr>
                      <w:b w:val="0"/>
                      <w:color w:val="1F2937"/>
                      <w:sz w:val="16"/>
                    </w:rPr>
                    <w:t>Medium</w:t>
                  </w:r>
                </w:p>
              </w:tc>
            </w:tr>
            <w:tr w14:paraId="5CEC94E9">
              <w:tblPrEx>
                <w:tblCellMar>
                  <w:top w:w="30" w:type="dxa"/>
                  <w:left w:w="70" w:type="dxa"/>
                  <w:bottom w:w="30" w:type="dxa"/>
                  <w:right w:w="70" w:type="dxa"/>
                </w:tblCellMar>
              </w:tblPrEx>
              <w:trPr>
                <w:cantSplit/>
              </w:trPr>
              <w:tc>
                <w:tcPr>
                  <w:tcW w:w="500" w:type="dxa"/>
                  <w:tcBorders>
                    <w:top w:val="single" w:color="B7C7E6" w:sz="4" w:space="0"/>
                    <w:left w:val="single" w:color="B7C7E6" w:sz="4" w:space="0"/>
                    <w:bottom w:val="single" w:color="B7C7E6" w:sz="4" w:space="0"/>
                    <w:right w:val="single" w:color="B7C7E6" w:sz="4" w:space="0"/>
                  </w:tcBorders>
                </w:tcPr>
                <w:p w14:paraId="58BCCCCA">
                  <w:pPr>
                    <w:spacing w:before="0" w:after="0"/>
                  </w:pPr>
                  <w:r>
                    <w:rPr>
                      <w:b w:val="0"/>
                      <w:color w:val="1F2937"/>
                      <w:sz w:val="16"/>
                    </w:rPr>
                    <w:t>6</w:t>
                  </w:r>
                </w:p>
              </w:tc>
              <w:tc>
                <w:tcPr>
                  <w:tcW w:w="5200" w:type="dxa"/>
                  <w:tcBorders>
                    <w:top w:val="single" w:color="B7C7E6" w:sz="4" w:space="0"/>
                    <w:left w:val="single" w:color="B7C7E6" w:sz="4" w:space="0"/>
                    <w:bottom w:val="single" w:color="B7C7E6" w:sz="4" w:space="0"/>
                    <w:right w:val="single" w:color="B7C7E6" w:sz="4" w:space="0"/>
                  </w:tcBorders>
                </w:tcPr>
                <w:p w14:paraId="0ADE5FE6">
                  <w:pPr>
                    <w:spacing w:before="0" w:after="0"/>
                  </w:pPr>
                  <w:r>
                    <w:rPr>
                      <w:b w:val="0"/>
                      <w:color w:val="1F2937"/>
                      <w:sz w:val="16"/>
                    </w:rPr>
                    <w:t>Agent sends the reply, sets the tag and status.</w:t>
                  </w:r>
                </w:p>
              </w:tc>
              <w:tc>
                <w:tcPr>
                  <w:tcW w:w="2000" w:type="dxa"/>
                  <w:tcBorders>
                    <w:top w:val="single" w:color="B7C7E6" w:sz="4" w:space="0"/>
                    <w:left w:val="single" w:color="B7C7E6" w:sz="4" w:space="0"/>
                    <w:bottom w:val="single" w:color="B7C7E6" w:sz="4" w:space="0"/>
                    <w:right w:val="single" w:color="B7C7E6" w:sz="4" w:space="0"/>
                  </w:tcBorders>
                </w:tcPr>
                <w:p w14:paraId="75458B09">
                  <w:pPr>
                    <w:spacing w:before="0" w:after="0"/>
                  </w:pPr>
                  <w:r>
                    <w:rPr>
                      <w:b w:val="0"/>
                      <w:color w:val="1F2937"/>
                      <w:sz w:val="16"/>
                    </w:rPr>
                    <w:t>Helpdesk</w:t>
                  </w:r>
                </w:p>
              </w:tc>
              <w:tc>
                <w:tcPr>
                  <w:tcW w:w="1500" w:type="dxa"/>
                  <w:tcBorders>
                    <w:top w:val="single" w:color="B7C7E6" w:sz="4" w:space="0"/>
                    <w:left w:val="single" w:color="B7C7E6" w:sz="4" w:space="0"/>
                    <w:bottom w:val="single" w:color="B7C7E6" w:sz="4" w:space="0"/>
                    <w:right w:val="single" w:color="B7C7E6" w:sz="4" w:space="0"/>
                  </w:tcBorders>
                </w:tcPr>
                <w:p w14:paraId="12306257">
                  <w:pPr>
                    <w:spacing w:before="0" w:after="0"/>
                  </w:pPr>
                  <w:r>
                    <w:rPr>
                      <w:b w:val="0"/>
                      <w:color w:val="1F2937"/>
                      <w:sz w:val="16"/>
                    </w:rPr>
                    <w:t>Low</w:t>
                  </w:r>
                </w:p>
              </w:tc>
            </w:tr>
            <w:tr w14:paraId="6D4BF4BF">
              <w:tblPrEx>
                <w:tblCellMar>
                  <w:top w:w="30" w:type="dxa"/>
                  <w:left w:w="70" w:type="dxa"/>
                  <w:bottom w:w="30" w:type="dxa"/>
                  <w:right w:w="70" w:type="dxa"/>
                </w:tblCellMar>
              </w:tblPrEx>
              <w:trPr>
                <w:cantSplit/>
              </w:trPr>
              <w:tc>
                <w:tcPr>
                  <w:tcW w:w="500" w:type="dxa"/>
                  <w:tcBorders>
                    <w:top w:val="single" w:color="B7C7E6" w:sz="4" w:space="0"/>
                    <w:left w:val="single" w:color="B7C7E6" w:sz="4" w:space="0"/>
                    <w:bottom w:val="single" w:color="B7C7E6" w:sz="4" w:space="0"/>
                    <w:right w:val="single" w:color="B7C7E6" w:sz="4" w:space="0"/>
                  </w:tcBorders>
                </w:tcPr>
                <w:p w14:paraId="56B64AED">
                  <w:pPr>
                    <w:spacing w:before="0" w:after="0"/>
                  </w:pPr>
                  <w:r>
                    <w:rPr>
                      <w:b w:val="0"/>
                      <w:color w:val="1F2937"/>
                      <w:sz w:val="16"/>
                    </w:rPr>
                    <w:t>7</w:t>
                  </w:r>
                </w:p>
              </w:tc>
              <w:tc>
                <w:tcPr>
                  <w:tcW w:w="5200" w:type="dxa"/>
                  <w:tcBorders>
                    <w:top w:val="single" w:color="B7C7E6" w:sz="4" w:space="0"/>
                    <w:left w:val="single" w:color="B7C7E6" w:sz="4" w:space="0"/>
                    <w:bottom w:val="single" w:color="B7C7E6" w:sz="4" w:space="0"/>
                    <w:right w:val="single" w:color="B7C7E6" w:sz="4" w:space="0"/>
                  </w:tcBorders>
                </w:tcPr>
                <w:p w14:paraId="1E45E272">
                  <w:pPr>
                    <w:spacing w:before="0" w:after="0"/>
                  </w:pPr>
                  <w:r>
                    <w:rPr>
                      <w:b w:val="0"/>
                      <w:color w:val="1F2937"/>
                      <w:sz w:val="16"/>
                    </w:rPr>
                    <w:t>Customer replies again if the answer was wrong or incomplete (reopen).</w:t>
                  </w:r>
                </w:p>
              </w:tc>
              <w:tc>
                <w:tcPr>
                  <w:tcW w:w="2000" w:type="dxa"/>
                  <w:tcBorders>
                    <w:top w:val="single" w:color="B7C7E6" w:sz="4" w:space="0"/>
                    <w:left w:val="single" w:color="B7C7E6" w:sz="4" w:space="0"/>
                    <w:bottom w:val="single" w:color="B7C7E6" w:sz="4" w:space="0"/>
                    <w:right w:val="single" w:color="B7C7E6" w:sz="4" w:space="0"/>
                  </w:tcBorders>
                </w:tcPr>
                <w:p w14:paraId="6A8A2FE2">
                  <w:pPr>
                    <w:spacing w:before="0" w:after="0"/>
                  </w:pPr>
                  <w:r>
                    <w:rPr>
                      <w:b w:val="0"/>
                      <w:color w:val="1F2937"/>
                      <w:sz w:val="16"/>
                    </w:rPr>
                    <w:t>Helpdesk</w:t>
                  </w:r>
                </w:p>
              </w:tc>
              <w:tc>
                <w:tcPr>
                  <w:tcW w:w="1500" w:type="dxa"/>
                  <w:tcBorders>
                    <w:top w:val="single" w:color="B7C7E6" w:sz="4" w:space="0"/>
                    <w:left w:val="single" w:color="B7C7E6" w:sz="4" w:space="0"/>
                    <w:bottom w:val="single" w:color="B7C7E6" w:sz="4" w:space="0"/>
                    <w:right w:val="single" w:color="B7C7E6" w:sz="4" w:space="0"/>
                  </w:tcBorders>
                </w:tcPr>
                <w:p w14:paraId="3ABB794C">
                  <w:pPr>
                    <w:spacing w:before="0" w:after="0"/>
                  </w:pPr>
                  <w:r>
                    <w:rPr>
                      <w:b w:val="0"/>
                      <w:color w:val="1F2937"/>
                      <w:sz w:val="16"/>
                    </w:rPr>
                    <w:t>Medium</w:t>
                  </w:r>
                </w:p>
              </w:tc>
            </w:tr>
          </w:tbl>
          <w:p w14:paraId="1D67D60A">
            <w:pPr>
              <w:spacing w:before="0" w:after="40" w:line="80" w:lineRule="exact"/>
            </w:pPr>
          </w:p>
          <w:p w14:paraId="13C442B3">
            <w:pPr>
              <w:spacing w:before="0" w:after="80"/>
            </w:pPr>
            <w:r>
              <w:rPr>
                <w:b/>
                <w:color w:val="1F2937"/>
                <w:sz w:val="18"/>
              </w:rPr>
              <w:t>Highest-friction step: Step 3 (with Step 4 as its verification tail), “find and verify the answer”.</w:t>
            </w:r>
            <w:r>
              <w:rPr>
                <w:b w:val="0"/>
                <w:color w:val="1F2937"/>
                <w:sz w:val="18"/>
              </w:rPr>
              <w:t xml:space="preserve"> Reason: the answer must be collected from several unconnected sources, its wording differs from the customer’s wording, and the agent cannot easily tell whether a page is current. This is where the most minutes go and where wrong answers originate. Planning split of the 14-minute baseline, Assumed and not measured: about 6 min search/verify, 4 min writing, 4 min other.</w:t>
            </w:r>
          </w:p>
        </w:tc>
      </w:tr>
    </w:tbl>
    <w:p w14:paraId="5FCE0C26">
      <w:pPr>
        <w:spacing w:after="40"/>
        <w:rPr>
          <w:rFonts w:hint="eastAsia"/>
        </w:rPr>
      </w:pPr>
    </w:p>
    <w:tbl>
      <w:tblPr>
        <w:tblStyle w:val="12"/>
        <w:tblW w:w="0" w:type="auto"/>
        <w:jc w:val="center"/>
        <w:tblLayout w:type="fixed"/>
        <w:tblCellMar>
          <w:top w:w="0" w:type="dxa"/>
          <w:left w:w="108" w:type="dxa"/>
          <w:bottom w:w="0" w:type="dxa"/>
          <w:right w:w="108" w:type="dxa"/>
        </w:tblCellMar>
      </w:tblPr>
      <w:tblGrid>
        <w:gridCol w:w="4916"/>
        <w:gridCol w:w="4916"/>
      </w:tblGrid>
      <w:tr w14:paraId="34C579D5">
        <w:tblPrEx>
          <w:tblCellMar>
            <w:top w:w="0" w:type="dxa"/>
            <w:left w:w="108" w:type="dxa"/>
            <w:bottom w:w="0" w:type="dxa"/>
            <w:right w:w="108" w:type="dxa"/>
          </w:tblCellMar>
        </w:tblPrEx>
        <w:trPr>
          <w:cantSplit/>
          <w:jc w:val="center"/>
        </w:trPr>
        <w:tc>
          <w:tcPr>
            <w:tcW w:w="4916" w:type="dxa"/>
            <w:tcBorders>
              <w:top w:val="single" w:color="D7E0EF" w:sz="4" w:space="0"/>
              <w:left w:val="single" w:color="D7E0EF" w:sz="4" w:space="0"/>
              <w:bottom w:val="single" w:color="D7E0EF" w:sz="4" w:space="0"/>
              <w:right w:val="single" w:color="D7E0EF" w:sz="4" w:space="0"/>
            </w:tcBorders>
            <w:shd w:val="clear" w:color="auto" w:fill="EAF1FB"/>
          </w:tcPr>
          <w:p w14:paraId="7EB4EC36">
            <w:pPr>
              <w:spacing w:after="0"/>
              <w:rPr>
                <w:rFonts w:hint="eastAsia"/>
              </w:rPr>
            </w:pPr>
            <w:r>
              <w:rPr>
                <w:b/>
                <w:color w:val="1F1F1F"/>
                <w:sz w:val="21"/>
              </w:rPr>
              <w:t>Q6. Explain the difference between a business-process baseline and a machine-learning model baseline. Define one baseline metric B₀ for your selected project track and state how you would measure it.</w:t>
            </w:r>
          </w:p>
        </w:tc>
        <w:tc>
          <w:tcPr>
            <w:tcW w:w="4916" w:type="dxa"/>
            <w:tcBorders>
              <w:top w:val="single" w:color="D7E0EF" w:sz="4" w:space="0"/>
              <w:left w:val="single" w:color="D7E0EF" w:sz="4" w:space="0"/>
              <w:bottom w:val="single" w:color="D7E0EF" w:sz="4" w:space="0"/>
              <w:right w:val="single" w:color="D7E0EF" w:sz="4" w:space="0"/>
            </w:tcBorders>
            <w:shd w:val="clear" w:color="auto" w:fill="FFF6DD"/>
          </w:tcPr>
          <w:p w14:paraId="7DD6CEB9">
            <w:pPr>
              <w:spacing w:after="0"/>
              <w:jc w:val="center"/>
              <w:rPr>
                <w:rFonts w:hint="eastAsia"/>
              </w:rPr>
            </w:pPr>
            <w:r>
              <w:rPr>
                <w:b/>
                <w:color w:val="163B82"/>
                <w:sz w:val="18"/>
              </w:rPr>
              <w:t>4 marks</w:t>
            </w:r>
          </w:p>
        </w:tc>
      </w:tr>
    </w:tbl>
    <w:p w14:paraId="16DFA624">
      <w:pPr>
        <w:spacing w:before="40" w:after="60"/>
        <w:rPr>
          <w:rFonts w:hint="eastAsia"/>
        </w:rPr>
      </w:pPr>
      <w:r>
        <w:rPr>
          <w:b/>
          <w:color w:val="F5A000"/>
          <w:sz w:val="17"/>
        </w:rPr>
        <w:t>Book reference: §3.6, “Create a Baseline for the Pain,” pp. 219–221</w:t>
      </w:r>
    </w:p>
    <w:tbl>
      <w:tblPr>
        <w:tblStyle w:val="12"/>
        <w:tblW w:w="0" w:type="auto"/>
        <w:jc w:val="center"/>
        <w:tblLayout w:type="fixed"/>
        <w:tblCellMar>
          <w:top w:w="0" w:type="dxa"/>
          <w:left w:w="108" w:type="dxa"/>
          <w:bottom w:w="0" w:type="dxa"/>
          <w:right w:w="108" w:type="dxa"/>
        </w:tblCellMar>
      </w:tblPr>
      <w:tblGrid>
        <w:gridCol w:w="9432"/>
      </w:tblGrid>
      <w:tr w14:paraId="0E0A4026">
        <w:tblPrEx>
          <w:tblCellMar>
            <w:top w:w="0" w:type="dxa"/>
            <w:left w:w="108" w:type="dxa"/>
            <w:bottom w:w="0" w:type="dxa"/>
            <w:right w:w="108" w:type="dxa"/>
          </w:tblCellMar>
        </w:tblPrEx>
        <w:trPr>
          <w:cantSplit/>
          <w:jc w:val="center"/>
        </w:trPr>
        <w:tc>
          <w:tcPr>
            <w:tcW w:w="9432" w:type="dxa"/>
            <w:tcBorders>
              <w:top w:val="single" w:color="B7C7E6" w:sz="6" w:space="0"/>
              <w:left w:val="single" w:color="B7C7E6" w:sz="6" w:space="0"/>
              <w:bottom w:val="single" w:color="B7C7E6" w:sz="6" w:space="0"/>
              <w:right w:val="single" w:color="B7C7E6" w:sz="6" w:space="0"/>
            </w:tcBorders>
            <w:shd w:val="clear" w:color="auto" w:fill="F9FBFE"/>
          </w:tcPr>
          <w:p w14:paraId="1CF56AAD">
            <w:pPr>
              <w:spacing w:before="0" w:after="80"/>
              <w:rPr>
                <w:rFonts w:hint="eastAsia"/>
              </w:rPr>
            </w:pPr>
            <w:r>
              <w:rPr>
                <w:b/>
                <w:color w:val="1F2937"/>
                <w:sz w:val="18"/>
              </w:rPr>
              <w:t>Business-process baseline:</w:t>
            </w:r>
            <w:r>
              <w:rPr>
                <w:b w:val="0"/>
                <w:color w:val="1F2937"/>
                <w:sz w:val="18"/>
              </w:rPr>
              <w:t xml:space="preserve"> how the current human/business workflow performs today, before any AI (e.g., minutes per ticket, error rate, cost per ticket). It answers “how big is the pain and what is an improvement worth?” and is measured on real work.</w:t>
            </w:r>
          </w:p>
          <w:p w14:paraId="0DA6ED43">
            <w:pPr>
              <w:spacing w:before="0" w:after="80"/>
            </w:pPr>
            <w:r>
              <w:rPr>
                <w:b/>
                <w:color w:val="1F2937"/>
                <w:sz w:val="18"/>
              </w:rPr>
              <w:t>Machine-learning model baseline:</w:t>
            </w:r>
            <w:r>
              <w:rPr>
                <w:b w:val="0"/>
                <w:color w:val="1F2937"/>
                <w:sz w:val="18"/>
              </w:rPr>
              <w:t xml:space="preserve"> the simplest technical reference a new model or method must beat (e.g., keyword search over the help center, a rule-based classifier, the previous model version). It answers “does this model add anything beyond a simple technical alternative?” and is measured on a test set.</w:t>
            </w:r>
          </w:p>
          <w:p w14:paraId="0B243344">
            <w:pPr>
              <w:spacing w:before="0" w:after="80"/>
            </w:pPr>
            <w:r>
              <w:rPr>
                <w:b w:val="0"/>
                <w:color w:val="1F2937"/>
                <w:sz w:val="18"/>
              </w:rPr>
              <w:t>The two are not interchangeable: beating a keyword-search baseline does not prove the business pain is reduced, and a large business improvement does not prove the model is the reason.</w:t>
            </w:r>
          </w:p>
          <w:p w14:paraId="2574F7C5">
            <w:pPr>
              <w:spacing w:before="0" w:after="80"/>
            </w:pPr>
            <w:r>
              <w:rPr>
                <w:b/>
                <w:color w:val="1F2937"/>
                <w:sz w:val="18"/>
              </w:rPr>
              <w:t>B₀ for my track (Customer Support Assistant):</w:t>
            </w:r>
            <w:r>
              <w:rPr>
                <w:b w:val="0"/>
                <w:color w:val="1F2937"/>
                <w:sz w:val="18"/>
              </w:rPr>
              <w:t xml:space="preserve"> average handle time on repeated-intent tickets,</w:t>
            </w:r>
          </w:p>
          <w:p w14:paraId="05B8D1B7">
            <w:pPr>
              <w:spacing w:before="0" w:after="80"/>
            </w:pPr>
            <w:r>
              <w:rPr>
                <w:b w:val="0"/>
                <w:color w:val="1F2937"/>
                <w:sz w:val="18"/>
              </w:rPr>
              <w:t>B₀ = (Σ tᵢ) ÷ n, where tᵢ = minutes of agent working time on ticket i (first open → reply sent) and n = number of sampled tickets.</w:t>
            </w:r>
          </w:p>
          <w:p w14:paraId="4F33C974">
            <w:pPr>
              <w:numPr>
                <w:ilvl w:val="0"/>
                <w:numId w:val="1"/>
              </w:numPr>
              <w:spacing w:before="0" w:after="80"/>
            </w:pPr>
            <w:r>
              <w:rPr>
                <w:b/>
                <w:color w:val="1F2937"/>
                <w:sz w:val="18"/>
              </w:rPr>
              <w:t>How to measure:</w:t>
            </w:r>
            <w:r>
              <w:rPr>
                <w:b w:val="0"/>
                <w:color w:val="1F2937"/>
                <w:sz w:val="18"/>
              </w:rPr>
              <w:t xml:space="preserve"> sample n = 50 recently closed tickets from the top intents; take timestamps from the helpdesk; validate active time by shadowing 5 agents for one shift; report mean, median and 90th percentile.</w:t>
            </w:r>
          </w:p>
          <w:p w14:paraId="6FDCA4EC">
            <w:pPr>
              <w:numPr>
                <w:ilvl w:val="0"/>
                <w:numId w:val="1"/>
              </w:numPr>
              <w:spacing w:before="0" w:after="80"/>
            </w:pPr>
            <w:r>
              <w:rPr>
                <w:b/>
                <w:color w:val="1F2937"/>
                <w:sz w:val="18"/>
              </w:rPr>
              <w:t>Status:</w:t>
            </w:r>
            <w:r>
              <w:rPr>
                <w:b w:val="0"/>
                <w:color w:val="1F2937"/>
                <w:sz w:val="18"/>
              </w:rPr>
              <w:t xml:space="preserve"> not yet measured (Unknown). Planning value B₀ = 14 min/ticket is Assumed and will be replaced by the Observed value.</w:t>
            </w:r>
          </w:p>
          <w:p w14:paraId="71C0EAA8">
            <w:pPr>
              <w:numPr>
                <w:ilvl w:val="0"/>
                <w:numId w:val="1"/>
              </w:numPr>
              <w:spacing w:before="0" w:after="80"/>
            </w:pPr>
            <w:r>
              <w:rPr>
                <w:b/>
                <w:color w:val="1F2937"/>
                <w:sz w:val="18"/>
              </w:rPr>
              <w:t>Technical baseline to add later:</w:t>
            </w:r>
            <w:r>
              <w:rPr>
                <w:b w:val="0"/>
                <w:color w:val="1F2937"/>
                <w:sz w:val="18"/>
              </w:rPr>
              <w:t xml:space="preserve"> keyword search over the same documents, scored on the same test questions.</w:t>
            </w:r>
          </w:p>
        </w:tc>
      </w:tr>
    </w:tbl>
    <w:p w14:paraId="3A4BA85A">
      <w:pPr>
        <w:spacing w:after="40"/>
        <w:rPr>
          <w:rFonts w:hint="eastAsia"/>
        </w:rPr>
      </w:pPr>
    </w:p>
    <w:p w14:paraId="59076EA0">
      <w:pPr>
        <w:spacing w:before="160" w:after="100"/>
        <w:rPr>
          <w:b/>
          <w:color w:val="163B82"/>
          <w:sz w:val="30"/>
        </w:rPr>
      </w:pPr>
    </w:p>
    <w:p w14:paraId="62F005E9">
      <w:pPr>
        <w:spacing w:before="160" w:after="100"/>
        <w:rPr>
          <w:b/>
          <w:color w:val="163B82"/>
          <w:sz w:val="30"/>
        </w:rPr>
      </w:pPr>
    </w:p>
    <w:p w14:paraId="32DE4361">
      <w:pPr>
        <w:spacing w:before="160" w:after="100"/>
        <w:rPr>
          <w:b/>
          <w:color w:val="163B82"/>
          <w:sz w:val="30"/>
        </w:rPr>
      </w:pPr>
    </w:p>
    <w:p w14:paraId="03866788">
      <w:pPr>
        <w:spacing w:before="160" w:after="100"/>
        <w:rPr>
          <w:rFonts w:hint="eastAsia"/>
        </w:rPr>
      </w:pPr>
      <w:r>
        <w:rPr>
          <w:b/>
          <w:color w:val="163B82"/>
          <w:sz w:val="30"/>
        </w:rPr>
        <w:t>Section B: AI Opportunity, Suitability and Capability (20 marks)</w:t>
      </w:r>
    </w:p>
    <w:p w14:paraId="563E6FEC">
      <w:pPr>
        <w:spacing w:after="120"/>
        <w:rPr>
          <w:rFonts w:hint="eastAsia"/>
        </w:rPr>
      </w:pPr>
      <w:r>
        <w:rPr>
          <w:i/>
          <w:color w:val="6B7280"/>
          <w:sz w:val="19"/>
        </w:rPr>
        <w:t>Focus: whether AI is justified and what kind of capability is actually needed.</w:t>
      </w:r>
    </w:p>
    <w:tbl>
      <w:tblPr>
        <w:tblStyle w:val="12"/>
        <w:tblW w:w="0" w:type="auto"/>
        <w:jc w:val="center"/>
        <w:tblLayout w:type="fixed"/>
        <w:tblCellMar>
          <w:top w:w="0" w:type="dxa"/>
          <w:left w:w="108" w:type="dxa"/>
          <w:bottom w:w="0" w:type="dxa"/>
          <w:right w:w="108" w:type="dxa"/>
        </w:tblCellMar>
      </w:tblPr>
      <w:tblGrid>
        <w:gridCol w:w="4916"/>
        <w:gridCol w:w="4916"/>
      </w:tblGrid>
      <w:tr w14:paraId="1A158FD4">
        <w:tblPrEx>
          <w:tblCellMar>
            <w:top w:w="0" w:type="dxa"/>
            <w:left w:w="108" w:type="dxa"/>
            <w:bottom w:w="0" w:type="dxa"/>
            <w:right w:w="108" w:type="dxa"/>
          </w:tblCellMar>
        </w:tblPrEx>
        <w:trPr>
          <w:cantSplit/>
          <w:jc w:val="center"/>
        </w:trPr>
        <w:tc>
          <w:tcPr>
            <w:tcW w:w="4916" w:type="dxa"/>
            <w:tcBorders>
              <w:top w:val="single" w:color="D7E0EF" w:sz="4" w:space="0"/>
              <w:left w:val="single" w:color="D7E0EF" w:sz="4" w:space="0"/>
              <w:bottom w:val="single" w:color="D7E0EF" w:sz="4" w:space="0"/>
              <w:right w:val="single" w:color="D7E0EF" w:sz="4" w:space="0"/>
            </w:tcBorders>
            <w:shd w:val="clear" w:color="auto" w:fill="EAF1FB"/>
          </w:tcPr>
          <w:p w14:paraId="34588E52">
            <w:pPr>
              <w:spacing w:after="0"/>
              <w:rPr>
                <w:rFonts w:hint="eastAsia"/>
              </w:rPr>
            </w:pPr>
            <w:r>
              <w:rPr>
                <w:b/>
                <w:color w:val="1F1F1F"/>
                <w:sz w:val="21"/>
              </w:rPr>
              <w:t>Q7. Two candidate opportunities have scores V×F: Opportunity A has V=0.85, F=0.80; Opportunity B has V=1.00, F=0.35. Calculate both scores, prioritize one, and explain why the score is only a decision aid rather than proof.</w:t>
            </w:r>
          </w:p>
        </w:tc>
        <w:tc>
          <w:tcPr>
            <w:tcW w:w="4916" w:type="dxa"/>
            <w:tcBorders>
              <w:top w:val="single" w:color="D7E0EF" w:sz="4" w:space="0"/>
              <w:left w:val="single" w:color="D7E0EF" w:sz="4" w:space="0"/>
              <w:bottom w:val="single" w:color="D7E0EF" w:sz="4" w:space="0"/>
              <w:right w:val="single" w:color="D7E0EF" w:sz="4" w:space="0"/>
            </w:tcBorders>
            <w:shd w:val="clear" w:color="auto" w:fill="FFF6DD"/>
          </w:tcPr>
          <w:p w14:paraId="4458B49C">
            <w:pPr>
              <w:spacing w:after="0"/>
              <w:jc w:val="center"/>
              <w:rPr>
                <w:rFonts w:hint="eastAsia"/>
              </w:rPr>
            </w:pPr>
            <w:r>
              <w:rPr>
                <w:b/>
                <w:color w:val="163B82"/>
                <w:sz w:val="18"/>
              </w:rPr>
              <w:t>4 marks</w:t>
            </w:r>
          </w:p>
        </w:tc>
      </w:tr>
    </w:tbl>
    <w:p w14:paraId="483B729C">
      <w:pPr>
        <w:spacing w:before="40" w:after="60"/>
        <w:rPr>
          <w:rFonts w:hint="eastAsia"/>
        </w:rPr>
      </w:pPr>
      <w:r>
        <w:rPr>
          <w:b/>
          <w:color w:val="F5A000"/>
          <w:sz w:val="17"/>
        </w:rPr>
        <w:t>Book reference: §3.7, “From Business Pain to AI Opportunity,” pp. 222–225</w:t>
      </w:r>
    </w:p>
    <w:tbl>
      <w:tblPr>
        <w:tblStyle w:val="12"/>
        <w:tblW w:w="0" w:type="auto"/>
        <w:jc w:val="center"/>
        <w:tblLayout w:type="fixed"/>
        <w:tblCellMar>
          <w:top w:w="0" w:type="dxa"/>
          <w:left w:w="108" w:type="dxa"/>
          <w:bottom w:w="0" w:type="dxa"/>
          <w:right w:w="108" w:type="dxa"/>
        </w:tblCellMar>
      </w:tblPr>
      <w:tblGrid>
        <w:gridCol w:w="9432"/>
      </w:tblGrid>
      <w:tr w14:paraId="7FFB446A">
        <w:tblPrEx>
          <w:tblCellMar>
            <w:top w:w="0" w:type="dxa"/>
            <w:left w:w="108" w:type="dxa"/>
            <w:bottom w:w="0" w:type="dxa"/>
            <w:right w:w="108" w:type="dxa"/>
          </w:tblCellMar>
        </w:tblPrEx>
        <w:trPr>
          <w:cantSplit/>
          <w:jc w:val="center"/>
        </w:trPr>
        <w:tc>
          <w:tcPr>
            <w:tcW w:w="9432" w:type="dxa"/>
            <w:tcBorders>
              <w:top w:val="single" w:color="B7C7E6" w:sz="6" w:space="0"/>
              <w:left w:val="single" w:color="B7C7E6" w:sz="6" w:space="0"/>
              <w:bottom w:val="single" w:color="B7C7E6" w:sz="6" w:space="0"/>
              <w:right w:val="single" w:color="B7C7E6" w:sz="6" w:space="0"/>
            </w:tcBorders>
            <w:shd w:val="clear" w:color="auto" w:fill="F9FBFE"/>
          </w:tcPr>
          <w:p w14:paraId="2BA8A629">
            <w:pPr>
              <w:spacing w:before="0" w:after="80"/>
              <w:rPr>
                <w:rFonts w:hint="eastAsia"/>
              </w:rPr>
            </w:pPr>
            <w:r>
              <w:rPr>
                <w:b/>
                <w:color w:val="1F2937"/>
                <w:sz w:val="18"/>
              </w:rPr>
              <w:t>Calculation (score = V × F):</w:t>
            </w:r>
          </w:p>
          <w:p w14:paraId="406A4FC5">
            <w:pPr>
              <w:numPr>
                <w:ilvl w:val="0"/>
                <w:numId w:val="1"/>
              </w:numPr>
              <w:spacing w:before="0" w:after="80"/>
            </w:pPr>
            <w:r>
              <w:rPr>
                <w:b w:val="0"/>
                <w:color w:val="1F2937"/>
                <w:sz w:val="18"/>
              </w:rPr>
              <w:t xml:space="preserve">Opportunity A: 0.85 × 0.80 = </w:t>
            </w:r>
            <w:r>
              <w:rPr>
                <w:b/>
                <w:color w:val="1F2937"/>
                <w:sz w:val="18"/>
              </w:rPr>
              <w:t>0.68</w:t>
            </w:r>
          </w:p>
          <w:p w14:paraId="7B2B2FFF">
            <w:pPr>
              <w:numPr>
                <w:ilvl w:val="0"/>
                <w:numId w:val="1"/>
              </w:numPr>
              <w:spacing w:before="0" w:after="80"/>
            </w:pPr>
            <w:r>
              <w:rPr>
                <w:b w:val="0"/>
                <w:color w:val="1F2937"/>
                <w:sz w:val="18"/>
              </w:rPr>
              <w:t xml:space="preserve">Opportunity B: 1.00 × 0.35 = </w:t>
            </w:r>
            <w:r>
              <w:rPr>
                <w:b/>
                <w:color w:val="1F2937"/>
                <w:sz w:val="18"/>
              </w:rPr>
              <w:t>0.35</w:t>
            </w:r>
          </w:p>
          <w:p w14:paraId="142D2AD2">
            <w:pPr>
              <w:spacing w:before="0" w:after="80"/>
            </w:pPr>
            <w:r>
              <w:rPr>
                <w:b/>
                <w:color w:val="1F2937"/>
                <w:sz w:val="18"/>
              </w:rPr>
              <w:t>Decision:</w:t>
            </w:r>
            <w:r>
              <w:rPr>
                <w:b w:val="0"/>
                <w:color w:val="1F2937"/>
                <w:sz w:val="18"/>
              </w:rPr>
              <w:t xml:space="preserve"> prioritise </w:t>
            </w:r>
            <w:r>
              <w:rPr>
                <w:b/>
                <w:color w:val="1F2937"/>
                <w:sz w:val="18"/>
              </w:rPr>
              <w:t>Opportunity A</w:t>
            </w:r>
            <w:r>
              <w:rPr>
                <w:b w:val="0"/>
                <w:color w:val="1F2937"/>
                <w:sz w:val="18"/>
              </w:rPr>
              <w:t xml:space="preserve"> for the first MVP. B has the higher value but is much less feasible, so it is more likely to stall; A gives a usable result sooner and builds data, evaluation habits and trust for later work. B can be de-risked with a small feasibility test.</w:t>
            </w:r>
          </w:p>
          <w:p w14:paraId="4B7C6DF2">
            <w:pPr>
              <w:spacing w:before="0" w:after="80"/>
            </w:pPr>
            <w:r>
              <w:rPr>
                <w:b/>
                <w:color w:val="1F2937"/>
                <w:sz w:val="18"/>
              </w:rPr>
              <w:t>Why the score is only a decision aid, not proof:</w:t>
            </w:r>
            <w:r>
              <w:rPr>
                <w:b w:val="0"/>
                <w:color w:val="1F2937"/>
                <w:sz w:val="18"/>
              </w:rPr>
              <w:t xml:space="preserve"> V and F are judgments made with limited evidence, so the second decimal is false precision. The product hides which factor is weak, ignores effort, cost, risk, dependencies and timing, and a different but reasonable set of inputs could reorder the results. The score organises the discussion; only experiments and measured baselines can prove value or feasibility.</w:t>
            </w:r>
          </w:p>
        </w:tc>
      </w:tr>
    </w:tbl>
    <w:p w14:paraId="657C8852">
      <w:pPr>
        <w:spacing w:after="40"/>
        <w:rPr>
          <w:rFonts w:hint="eastAsia"/>
        </w:rPr>
      </w:pPr>
    </w:p>
    <w:tbl>
      <w:tblPr>
        <w:tblStyle w:val="12"/>
        <w:tblW w:w="0" w:type="auto"/>
        <w:jc w:val="center"/>
        <w:tblLayout w:type="fixed"/>
        <w:tblCellMar>
          <w:top w:w="0" w:type="dxa"/>
          <w:left w:w="108" w:type="dxa"/>
          <w:bottom w:w="0" w:type="dxa"/>
          <w:right w:w="108" w:type="dxa"/>
        </w:tblCellMar>
      </w:tblPr>
      <w:tblGrid>
        <w:gridCol w:w="4916"/>
        <w:gridCol w:w="4916"/>
      </w:tblGrid>
      <w:tr w14:paraId="5C66A043">
        <w:tblPrEx>
          <w:tblCellMar>
            <w:top w:w="0" w:type="dxa"/>
            <w:left w:w="108" w:type="dxa"/>
            <w:bottom w:w="0" w:type="dxa"/>
            <w:right w:w="108" w:type="dxa"/>
          </w:tblCellMar>
        </w:tblPrEx>
        <w:trPr>
          <w:cantSplit/>
          <w:jc w:val="center"/>
        </w:trPr>
        <w:tc>
          <w:tcPr>
            <w:tcW w:w="4916" w:type="dxa"/>
            <w:tcBorders>
              <w:top w:val="single" w:color="D7E0EF" w:sz="4" w:space="0"/>
              <w:left w:val="single" w:color="D7E0EF" w:sz="4" w:space="0"/>
              <w:bottom w:val="single" w:color="D7E0EF" w:sz="4" w:space="0"/>
              <w:right w:val="single" w:color="D7E0EF" w:sz="4" w:space="0"/>
            </w:tcBorders>
            <w:shd w:val="clear" w:color="auto" w:fill="EAF1FB"/>
          </w:tcPr>
          <w:p w14:paraId="7586AEB1">
            <w:pPr>
              <w:spacing w:after="0"/>
              <w:rPr>
                <w:rFonts w:hint="eastAsia"/>
              </w:rPr>
            </w:pPr>
            <w:r>
              <w:rPr>
                <w:b/>
                <w:color w:val="1F1F1F"/>
                <w:sz w:val="21"/>
              </w:rPr>
              <w:t>Q8. A company routes every invoice above $20,000 to a manager. Would you use an LLM for this rule? Justify your answer using cost, latency, determinism, evaluation complexity, and operational risk.</w:t>
            </w:r>
          </w:p>
        </w:tc>
        <w:tc>
          <w:tcPr>
            <w:tcW w:w="4916" w:type="dxa"/>
            <w:tcBorders>
              <w:top w:val="single" w:color="D7E0EF" w:sz="4" w:space="0"/>
              <w:left w:val="single" w:color="D7E0EF" w:sz="4" w:space="0"/>
              <w:bottom w:val="single" w:color="D7E0EF" w:sz="4" w:space="0"/>
              <w:right w:val="single" w:color="D7E0EF" w:sz="4" w:space="0"/>
            </w:tcBorders>
            <w:shd w:val="clear" w:color="auto" w:fill="FFF6DD"/>
          </w:tcPr>
          <w:p w14:paraId="4AE8B4A3">
            <w:pPr>
              <w:spacing w:after="0"/>
              <w:jc w:val="center"/>
              <w:rPr>
                <w:rFonts w:hint="eastAsia"/>
              </w:rPr>
            </w:pPr>
            <w:r>
              <w:rPr>
                <w:b/>
                <w:color w:val="163B82"/>
                <w:sz w:val="18"/>
              </w:rPr>
              <w:t>4 marks</w:t>
            </w:r>
          </w:p>
        </w:tc>
      </w:tr>
    </w:tbl>
    <w:p w14:paraId="681F1C61">
      <w:pPr>
        <w:spacing w:before="40" w:after="60"/>
        <w:rPr>
          <w:rFonts w:hint="eastAsia"/>
        </w:rPr>
      </w:pPr>
      <w:r>
        <w:rPr>
          <w:b/>
          <w:color w:val="F5A000"/>
          <w:sz w:val="17"/>
        </w:rPr>
        <w:t>Book reference: §3.8, “Is This Actually an AI Problem?”, pp. 225–227</w:t>
      </w:r>
    </w:p>
    <w:tbl>
      <w:tblPr>
        <w:tblStyle w:val="12"/>
        <w:tblW w:w="0" w:type="auto"/>
        <w:jc w:val="center"/>
        <w:tblLayout w:type="fixed"/>
        <w:tblCellMar>
          <w:top w:w="0" w:type="dxa"/>
          <w:left w:w="108" w:type="dxa"/>
          <w:bottom w:w="0" w:type="dxa"/>
          <w:right w:w="108" w:type="dxa"/>
        </w:tblCellMar>
      </w:tblPr>
      <w:tblGrid>
        <w:gridCol w:w="9432"/>
      </w:tblGrid>
      <w:tr w14:paraId="236E65AD">
        <w:tblPrEx>
          <w:tblCellMar>
            <w:top w:w="0" w:type="dxa"/>
            <w:left w:w="108" w:type="dxa"/>
            <w:bottom w:w="0" w:type="dxa"/>
            <w:right w:w="108" w:type="dxa"/>
          </w:tblCellMar>
        </w:tblPrEx>
        <w:trPr>
          <w:cantSplit/>
          <w:jc w:val="center"/>
        </w:trPr>
        <w:tc>
          <w:tcPr>
            <w:tcW w:w="9432" w:type="dxa"/>
            <w:tcBorders>
              <w:top w:val="single" w:color="B7C7E6" w:sz="6" w:space="0"/>
              <w:left w:val="single" w:color="B7C7E6" w:sz="6" w:space="0"/>
              <w:bottom w:val="single" w:color="B7C7E6" w:sz="6" w:space="0"/>
              <w:right w:val="single" w:color="B7C7E6" w:sz="6" w:space="0"/>
            </w:tcBorders>
            <w:shd w:val="clear" w:color="auto" w:fill="F9FBFE"/>
          </w:tcPr>
          <w:p w14:paraId="0C90A09D">
            <w:pPr>
              <w:spacing w:before="0" w:after="80"/>
              <w:rPr>
                <w:rFonts w:hint="eastAsia"/>
              </w:rPr>
            </w:pPr>
            <w:r>
              <w:rPr>
                <w:b/>
                <w:color w:val="1F2937"/>
                <w:sz w:val="18"/>
              </w:rPr>
              <w:t>No, do not use an LLM for this rule.</w:t>
            </w:r>
            <w:r>
              <w:rPr>
                <w:b w:val="0"/>
                <w:color w:val="1F2937"/>
                <w:sz w:val="18"/>
              </w:rPr>
              <w:t xml:space="preserve"> “If invoice amount &gt; $20,000 then route to a manager” is exact, stable and fully specified, so a deterministic rule is the right tool.</w:t>
            </w:r>
          </w:p>
          <w:tbl>
            <w:tblPr>
              <w:tblStyle w:val="12"/>
              <w:tblW w:w="9200" w:type="dxa"/>
              <w:tblInd w:w="0" w:type="dxa"/>
              <w:tblLayout w:type="fixed"/>
              <w:tblCellMar>
                <w:top w:w="30" w:type="dxa"/>
                <w:left w:w="70" w:type="dxa"/>
                <w:bottom w:w="30" w:type="dxa"/>
                <w:right w:w="70" w:type="dxa"/>
              </w:tblCellMar>
            </w:tblPr>
            <w:tblGrid>
              <w:gridCol w:w="1800"/>
              <w:gridCol w:w="3300"/>
              <w:gridCol w:w="4100"/>
            </w:tblGrid>
            <w:tr w14:paraId="275E5C4D">
              <w:tblPrEx>
                <w:tblCellMar>
                  <w:top w:w="30" w:type="dxa"/>
                  <w:left w:w="70" w:type="dxa"/>
                  <w:bottom w:w="30" w:type="dxa"/>
                  <w:right w:w="70" w:type="dxa"/>
                </w:tblCellMar>
              </w:tblPrEx>
              <w:trPr>
                <w:cantSplit/>
                <w:tblHeader/>
              </w:trPr>
              <w:tc>
                <w:tcPr>
                  <w:tcW w:w="1800" w:type="dxa"/>
                  <w:tcBorders>
                    <w:top w:val="single" w:color="B7C7E6" w:sz="4" w:space="0"/>
                    <w:left w:val="single" w:color="B7C7E6" w:sz="4" w:space="0"/>
                    <w:bottom w:val="single" w:color="B7C7E6" w:sz="4" w:space="0"/>
                    <w:right w:val="single" w:color="B7C7E6" w:sz="4" w:space="0"/>
                  </w:tcBorders>
                  <w:shd w:val="clear" w:color="auto" w:fill="EAF1FB"/>
                </w:tcPr>
                <w:p w14:paraId="4A7F4C18">
                  <w:pPr>
                    <w:spacing w:before="0" w:after="0"/>
                  </w:pPr>
                  <w:r>
                    <w:rPr>
                      <w:b/>
                      <w:color w:val="163B82"/>
                      <w:sz w:val="16"/>
                    </w:rPr>
                    <w:t>Criterion</w:t>
                  </w:r>
                </w:p>
              </w:tc>
              <w:tc>
                <w:tcPr>
                  <w:tcW w:w="3300" w:type="dxa"/>
                  <w:tcBorders>
                    <w:top w:val="single" w:color="B7C7E6" w:sz="4" w:space="0"/>
                    <w:left w:val="single" w:color="B7C7E6" w:sz="4" w:space="0"/>
                    <w:bottom w:val="single" w:color="B7C7E6" w:sz="4" w:space="0"/>
                    <w:right w:val="single" w:color="B7C7E6" w:sz="4" w:space="0"/>
                  </w:tcBorders>
                  <w:shd w:val="clear" w:color="auto" w:fill="EAF1FB"/>
                </w:tcPr>
                <w:p w14:paraId="2C237EDC">
                  <w:pPr>
                    <w:spacing w:before="0" w:after="0"/>
                  </w:pPr>
                  <w:r>
                    <w:rPr>
                      <w:b/>
                      <w:color w:val="163B82"/>
                      <w:sz w:val="16"/>
                    </w:rPr>
                    <w:t>Deterministic rule</w:t>
                  </w:r>
                </w:p>
              </w:tc>
              <w:tc>
                <w:tcPr>
                  <w:tcW w:w="4100" w:type="dxa"/>
                  <w:tcBorders>
                    <w:top w:val="single" w:color="B7C7E6" w:sz="4" w:space="0"/>
                    <w:left w:val="single" w:color="B7C7E6" w:sz="4" w:space="0"/>
                    <w:bottom w:val="single" w:color="B7C7E6" w:sz="4" w:space="0"/>
                    <w:right w:val="single" w:color="B7C7E6" w:sz="4" w:space="0"/>
                  </w:tcBorders>
                  <w:shd w:val="clear" w:color="auto" w:fill="EAF1FB"/>
                </w:tcPr>
                <w:p w14:paraId="62E19A28">
                  <w:pPr>
                    <w:spacing w:before="0" w:after="0"/>
                  </w:pPr>
                  <w:r>
                    <w:rPr>
                      <w:b/>
                      <w:color w:val="163B82"/>
                      <w:sz w:val="16"/>
                    </w:rPr>
                    <w:t>LLM</w:t>
                  </w:r>
                </w:p>
              </w:tc>
            </w:tr>
            <w:tr w14:paraId="3B5F88F7">
              <w:tblPrEx>
                <w:tblCellMar>
                  <w:top w:w="30" w:type="dxa"/>
                  <w:left w:w="70" w:type="dxa"/>
                  <w:bottom w:w="30" w:type="dxa"/>
                  <w:right w:w="70" w:type="dxa"/>
                </w:tblCellMar>
              </w:tblPrEx>
              <w:trPr>
                <w:cantSplit/>
              </w:trPr>
              <w:tc>
                <w:tcPr>
                  <w:tcW w:w="1800" w:type="dxa"/>
                  <w:tcBorders>
                    <w:top w:val="single" w:color="B7C7E6" w:sz="4" w:space="0"/>
                    <w:left w:val="single" w:color="B7C7E6" w:sz="4" w:space="0"/>
                    <w:bottom w:val="single" w:color="B7C7E6" w:sz="4" w:space="0"/>
                    <w:right w:val="single" w:color="B7C7E6" w:sz="4" w:space="0"/>
                  </w:tcBorders>
                </w:tcPr>
                <w:p w14:paraId="247E8C6A">
                  <w:pPr>
                    <w:spacing w:before="0" w:after="0"/>
                  </w:pPr>
                  <w:r>
                    <w:rPr>
                      <w:b/>
                      <w:color w:val="1F2937"/>
                      <w:sz w:val="16"/>
                    </w:rPr>
                    <w:t>Cost</w:t>
                  </w:r>
                </w:p>
              </w:tc>
              <w:tc>
                <w:tcPr>
                  <w:tcW w:w="3300" w:type="dxa"/>
                  <w:tcBorders>
                    <w:top w:val="single" w:color="B7C7E6" w:sz="4" w:space="0"/>
                    <w:left w:val="single" w:color="B7C7E6" w:sz="4" w:space="0"/>
                    <w:bottom w:val="single" w:color="B7C7E6" w:sz="4" w:space="0"/>
                    <w:right w:val="single" w:color="B7C7E6" w:sz="4" w:space="0"/>
                  </w:tcBorders>
                </w:tcPr>
                <w:p w14:paraId="11D3E6FE">
                  <w:pPr>
                    <w:spacing w:before="0" w:after="0"/>
                  </w:pPr>
                  <w:r>
                    <w:rPr>
                      <w:b w:val="0"/>
                      <w:color w:val="1F2937"/>
                      <w:sz w:val="16"/>
                    </w:rPr>
                    <w:t>Practically zero per invoice.</w:t>
                  </w:r>
                </w:p>
              </w:tc>
              <w:tc>
                <w:tcPr>
                  <w:tcW w:w="4100" w:type="dxa"/>
                  <w:tcBorders>
                    <w:top w:val="single" w:color="B7C7E6" w:sz="4" w:space="0"/>
                    <w:left w:val="single" w:color="B7C7E6" w:sz="4" w:space="0"/>
                    <w:bottom w:val="single" w:color="B7C7E6" w:sz="4" w:space="0"/>
                    <w:right w:val="single" w:color="B7C7E6" w:sz="4" w:space="0"/>
                  </w:tcBorders>
                </w:tcPr>
                <w:p w14:paraId="14F1CC7A">
                  <w:pPr>
                    <w:spacing w:before="0" w:after="0"/>
                  </w:pPr>
                  <w:r>
                    <w:rPr>
                      <w:b w:val="0"/>
                      <w:color w:val="1F2937"/>
                      <w:sz w:val="16"/>
                    </w:rPr>
                    <w:t>Token and infrastructure cost on every invoice, for no gain.</w:t>
                  </w:r>
                </w:p>
              </w:tc>
            </w:tr>
            <w:tr w14:paraId="1A1BD229">
              <w:tblPrEx>
                <w:tblCellMar>
                  <w:top w:w="30" w:type="dxa"/>
                  <w:left w:w="70" w:type="dxa"/>
                  <w:bottom w:w="30" w:type="dxa"/>
                  <w:right w:w="70" w:type="dxa"/>
                </w:tblCellMar>
              </w:tblPrEx>
              <w:trPr>
                <w:cantSplit/>
              </w:trPr>
              <w:tc>
                <w:tcPr>
                  <w:tcW w:w="1800" w:type="dxa"/>
                  <w:tcBorders>
                    <w:top w:val="single" w:color="B7C7E6" w:sz="4" w:space="0"/>
                    <w:left w:val="single" w:color="B7C7E6" w:sz="4" w:space="0"/>
                    <w:bottom w:val="single" w:color="B7C7E6" w:sz="4" w:space="0"/>
                    <w:right w:val="single" w:color="B7C7E6" w:sz="4" w:space="0"/>
                  </w:tcBorders>
                </w:tcPr>
                <w:p w14:paraId="52F6CD42">
                  <w:pPr>
                    <w:spacing w:before="0" w:after="0"/>
                  </w:pPr>
                  <w:r>
                    <w:rPr>
                      <w:b/>
                      <w:color w:val="1F2937"/>
                      <w:sz w:val="16"/>
                    </w:rPr>
                    <w:t>Latency</w:t>
                  </w:r>
                </w:p>
              </w:tc>
              <w:tc>
                <w:tcPr>
                  <w:tcW w:w="3300" w:type="dxa"/>
                  <w:tcBorders>
                    <w:top w:val="single" w:color="B7C7E6" w:sz="4" w:space="0"/>
                    <w:left w:val="single" w:color="B7C7E6" w:sz="4" w:space="0"/>
                    <w:bottom w:val="single" w:color="B7C7E6" w:sz="4" w:space="0"/>
                    <w:right w:val="single" w:color="B7C7E6" w:sz="4" w:space="0"/>
                  </w:tcBorders>
                </w:tcPr>
                <w:p w14:paraId="5A239BFC">
                  <w:pPr>
                    <w:spacing w:before="0" w:after="0"/>
                  </w:pPr>
                  <w:r>
                    <w:rPr>
                      <w:b w:val="0"/>
                      <w:color w:val="1F2937"/>
                      <w:sz w:val="16"/>
                    </w:rPr>
                    <w:t>Milliseconds.</w:t>
                  </w:r>
                </w:p>
              </w:tc>
              <w:tc>
                <w:tcPr>
                  <w:tcW w:w="4100" w:type="dxa"/>
                  <w:tcBorders>
                    <w:top w:val="single" w:color="B7C7E6" w:sz="4" w:space="0"/>
                    <w:left w:val="single" w:color="B7C7E6" w:sz="4" w:space="0"/>
                    <w:bottom w:val="single" w:color="B7C7E6" w:sz="4" w:space="0"/>
                    <w:right w:val="single" w:color="B7C7E6" w:sz="4" w:space="0"/>
                  </w:tcBorders>
                </w:tcPr>
                <w:p w14:paraId="01040580">
                  <w:pPr>
                    <w:spacing w:before="0" w:after="0"/>
                  </w:pPr>
                  <w:r>
                    <w:rPr>
                      <w:b w:val="0"/>
                      <w:color w:val="1F2937"/>
                      <w:sz w:val="16"/>
                    </w:rPr>
                    <w:t>Hundreds of milliseconds to seconds, plus possible retries.</w:t>
                  </w:r>
                </w:p>
              </w:tc>
            </w:tr>
            <w:tr w14:paraId="5832520F">
              <w:tblPrEx>
                <w:tblCellMar>
                  <w:top w:w="30" w:type="dxa"/>
                  <w:left w:w="70" w:type="dxa"/>
                  <w:bottom w:w="30" w:type="dxa"/>
                  <w:right w:w="70" w:type="dxa"/>
                </w:tblCellMar>
              </w:tblPrEx>
              <w:trPr>
                <w:cantSplit/>
              </w:trPr>
              <w:tc>
                <w:tcPr>
                  <w:tcW w:w="1800" w:type="dxa"/>
                  <w:tcBorders>
                    <w:top w:val="single" w:color="B7C7E6" w:sz="4" w:space="0"/>
                    <w:left w:val="single" w:color="B7C7E6" w:sz="4" w:space="0"/>
                    <w:bottom w:val="single" w:color="B7C7E6" w:sz="4" w:space="0"/>
                    <w:right w:val="single" w:color="B7C7E6" w:sz="4" w:space="0"/>
                  </w:tcBorders>
                </w:tcPr>
                <w:p w14:paraId="1949BDB4">
                  <w:pPr>
                    <w:spacing w:before="0" w:after="0"/>
                  </w:pPr>
                  <w:r>
                    <w:rPr>
                      <w:b/>
                      <w:color w:val="1F2937"/>
                      <w:sz w:val="16"/>
                    </w:rPr>
                    <w:t>Determinism</w:t>
                  </w:r>
                </w:p>
              </w:tc>
              <w:tc>
                <w:tcPr>
                  <w:tcW w:w="3300" w:type="dxa"/>
                  <w:tcBorders>
                    <w:top w:val="single" w:color="B7C7E6" w:sz="4" w:space="0"/>
                    <w:left w:val="single" w:color="B7C7E6" w:sz="4" w:space="0"/>
                    <w:bottom w:val="single" w:color="B7C7E6" w:sz="4" w:space="0"/>
                    <w:right w:val="single" w:color="B7C7E6" w:sz="4" w:space="0"/>
                  </w:tcBorders>
                </w:tcPr>
                <w:p w14:paraId="020E5DA8">
                  <w:pPr>
                    <w:spacing w:before="0" w:after="0"/>
                  </w:pPr>
                  <w:r>
                    <w:rPr>
                      <w:b w:val="0"/>
                      <w:color w:val="1F2937"/>
                      <w:sz w:val="16"/>
                    </w:rPr>
                    <w:t>Same input, same output, every time.</w:t>
                  </w:r>
                </w:p>
              </w:tc>
              <w:tc>
                <w:tcPr>
                  <w:tcW w:w="4100" w:type="dxa"/>
                  <w:tcBorders>
                    <w:top w:val="single" w:color="B7C7E6" w:sz="4" w:space="0"/>
                    <w:left w:val="single" w:color="B7C7E6" w:sz="4" w:space="0"/>
                    <w:bottom w:val="single" w:color="B7C7E6" w:sz="4" w:space="0"/>
                    <w:right w:val="single" w:color="B7C7E6" w:sz="4" w:space="0"/>
                  </w:tcBorders>
                </w:tcPr>
                <w:p w14:paraId="4CA76264">
                  <w:pPr>
                    <w:spacing w:before="0" w:after="0"/>
                  </w:pPr>
                  <w:r>
                    <w:rPr>
                      <w:b w:val="0"/>
                      <w:color w:val="1F2937"/>
                      <w:sz w:val="16"/>
                    </w:rPr>
                    <w:t>Probabilistic; may misroute an amount near the threshold or misread a currency.</w:t>
                  </w:r>
                </w:p>
              </w:tc>
            </w:tr>
            <w:tr w14:paraId="58EAC817">
              <w:tblPrEx>
                <w:tblCellMar>
                  <w:top w:w="30" w:type="dxa"/>
                  <w:left w:w="70" w:type="dxa"/>
                  <w:bottom w:w="30" w:type="dxa"/>
                  <w:right w:w="70" w:type="dxa"/>
                </w:tblCellMar>
              </w:tblPrEx>
              <w:trPr>
                <w:cantSplit/>
              </w:trPr>
              <w:tc>
                <w:tcPr>
                  <w:tcW w:w="1800" w:type="dxa"/>
                  <w:tcBorders>
                    <w:top w:val="single" w:color="B7C7E6" w:sz="4" w:space="0"/>
                    <w:left w:val="single" w:color="B7C7E6" w:sz="4" w:space="0"/>
                    <w:bottom w:val="single" w:color="B7C7E6" w:sz="4" w:space="0"/>
                    <w:right w:val="single" w:color="B7C7E6" w:sz="4" w:space="0"/>
                  </w:tcBorders>
                </w:tcPr>
                <w:p w14:paraId="33C89FD7">
                  <w:pPr>
                    <w:spacing w:before="0" w:after="0"/>
                  </w:pPr>
                  <w:r>
                    <w:rPr>
                      <w:b/>
                      <w:color w:val="1F2937"/>
                      <w:sz w:val="16"/>
                    </w:rPr>
                    <w:t>Evaluation complexity</w:t>
                  </w:r>
                </w:p>
              </w:tc>
              <w:tc>
                <w:tcPr>
                  <w:tcW w:w="3300" w:type="dxa"/>
                  <w:tcBorders>
                    <w:top w:val="single" w:color="B7C7E6" w:sz="4" w:space="0"/>
                    <w:left w:val="single" w:color="B7C7E6" w:sz="4" w:space="0"/>
                    <w:bottom w:val="single" w:color="B7C7E6" w:sz="4" w:space="0"/>
                    <w:right w:val="single" w:color="B7C7E6" w:sz="4" w:space="0"/>
                  </w:tcBorders>
                </w:tcPr>
                <w:p w14:paraId="6CB3D855">
                  <w:pPr>
                    <w:spacing w:before="0" w:after="0"/>
                  </w:pPr>
                  <w:r>
                    <w:rPr>
                      <w:b w:val="0"/>
                      <w:color w:val="1F2937"/>
                      <w:sz w:val="16"/>
                    </w:rPr>
                    <w:t>A few unit tests, including the boundary (20,000 and 20,000.01).</w:t>
                  </w:r>
                </w:p>
              </w:tc>
              <w:tc>
                <w:tcPr>
                  <w:tcW w:w="4100" w:type="dxa"/>
                  <w:tcBorders>
                    <w:top w:val="single" w:color="B7C7E6" w:sz="4" w:space="0"/>
                    <w:left w:val="single" w:color="B7C7E6" w:sz="4" w:space="0"/>
                    <w:bottom w:val="single" w:color="B7C7E6" w:sz="4" w:space="0"/>
                    <w:right w:val="single" w:color="B7C7E6" w:sz="4" w:space="0"/>
                  </w:tcBorders>
                </w:tcPr>
                <w:p w14:paraId="4B609CD0">
                  <w:pPr>
                    <w:spacing w:before="0" w:after="0"/>
                  </w:pPr>
                  <w:r>
                    <w:rPr>
                      <w:b w:val="0"/>
                      <w:color w:val="1F2937"/>
                      <w:sz w:val="16"/>
                    </w:rPr>
                    <w:t>Needs a labelled evaluation set, statistical thresholds and re-testing after every model change.</w:t>
                  </w:r>
                </w:p>
              </w:tc>
            </w:tr>
            <w:tr w14:paraId="2105D6FC">
              <w:tblPrEx>
                <w:tblCellMar>
                  <w:top w:w="30" w:type="dxa"/>
                  <w:left w:w="70" w:type="dxa"/>
                  <w:bottom w:w="30" w:type="dxa"/>
                  <w:right w:w="70" w:type="dxa"/>
                </w:tblCellMar>
              </w:tblPrEx>
              <w:trPr>
                <w:cantSplit/>
              </w:trPr>
              <w:tc>
                <w:tcPr>
                  <w:tcW w:w="1800" w:type="dxa"/>
                  <w:tcBorders>
                    <w:top w:val="single" w:color="B7C7E6" w:sz="4" w:space="0"/>
                    <w:left w:val="single" w:color="B7C7E6" w:sz="4" w:space="0"/>
                    <w:bottom w:val="single" w:color="B7C7E6" w:sz="4" w:space="0"/>
                    <w:right w:val="single" w:color="B7C7E6" w:sz="4" w:space="0"/>
                  </w:tcBorders>
                </w:tcPr>
                <w:p w14:paraId="6EE49135">
                  <w:pPr>
                    <w:spacing w:before="0" w:after="0"/>
                  </w:pPr>
                  <w:r>
                    <w:rPr>
                      <w:b/>
                      <w:color w:val="1F2937"/>
                      <w:sz w:val="16"/>
                    </w:rPr>
                    <w:t>Operational risk</w:t>
                  </w:r>
                </w:p>
              </w:tc>
              <w:tc>
                <w:tcPr>
                  <w:tcW w:w="3300" w:type="dxa"/>
                  <w:tcBorders>
                    <w:top w:val="single" w:color="B7C7E6" w:sz="4" w:space="0"/>
                    <w:left w:val="single" w:color="B7C7E6" w:sz="4" w:space="0"/>
                    <w:bottom w:val="single" w:color="B7C7E6" w:sz="4" w:space="0"/>
                    <w:right w:val="single" w:color="B7C7E6" w:sz="4" w:space="0"/>
                  </w:tcBorders>
                </w:tcPr>
                <w:p w14:paraId="02352634">
                  <w:pPr>
                    <w:spacing w:before="0" w:after="0"/>
                  </w:pPr>
                  <w:r>
                    <w:rPr>
                      <w:b w:val="0"/>
                      <w:color w:val="1F2937"/>
                      <w:sz w:val="16"/>
                    </w:rPr>
                    <w:t>Auditable and explainable; a single point of logic.</w:t>
                  </w:r>
                </w:p>
              </w:tc>
              <w:tc>
                <w:tcPr>
                  <w:tcW w:w="4100" w:type="dxa"/>
                  <w:tcBorders>
                    <w:top w:val="single" w:color="B7C7E6" w:sz="4" w:space="0"/>
                    <w:left w:val="single" w:color="B7C7E6" w:sz="4" w:space="0"/>
                    <w:bottom w:val="single" w:color="B7C7E6" w:sz="4" w:space="0"/>
                    <w:right w:val="single" w:color="B7C7E6" w:sz="4" w:space="0"/>
                  </w:tcBorders>
                </w:tcPr>
                <w:p w14:paraId="6F532DE9">
                  <w:pPr>
                    <w:spacing w:before="0" w:after="0"/>
                  </w:pPr>
                  <w:r>
                    <w:rPr>
                      <w:b w:val="0"/>
                      <w:color w:val="1F2937"/>
                      <w:sz w:val="16"/>
                    </w:rPr>
                    <w:t>Model drift, provider outage, prompt injection through invoice text, and a weaker audit trail for a financial control.</w:t>
                  </w:r>
                </w:p>
              </w:tc>
            </w:tr>
          </w:tbl>
          <w:p w14:paraId="7107FBD5">
            <w:pPr>
              <w:spacing w:before="0" w:after="40" w:line="80" w:lineRule="exact"/>
            </w:pPr>
          </w:p>
          <w:p w14:paraId="55F5182C">
            <w:pPr>
              <w:spacing w:before="0" w:after="80"/>
            </w:pPr>
            <w:r>
              <w:rPr>
                <w:b/>
                <w:color w:val="1F2937"/>
                <w:sz w:val="18"/>
              </w:rPr>
              <w:t>Where a model could still help:</w:t>
            </w:r>
            <w:r>
              <w:rPr>
                <w:b w:val="0"/>
                <w:color w:val="1F2937"/>
                <w:sz w:val="18"/>
              </w:rPr>
              <w:t xml:space="preserve"> reading the amount from unstructured invoice files (extraction). Even then the extracted number should be validated, and the routing itself stays a plain rule.</w:t>
            </w:r>
          </w:p>
        </w:tc>
      </w:tr>
    </w:tbl>
    <w:p w14:paraId="5D3F71FE">
      <w:pPr>
        <w:spacing w:after="40"/>
        <w:rPr>
          <w:rFonts w:hint="eastAsia"/>
        </w:rPr>
      </w:pPr>
    </w:p>
    <w:tbl>
      <w:tblPr>
        <w:tblStyle w:val="12"/>
        <w:tblW w:w="0" w:type="auto"/>
        <w:jc w:val="center"/>
        <w:tblLayout w:type="fixed"/>
        <w:tblCellMar>
          <w:top w:w="0" w:type="dxa"/>
          <w:left w:w="108" w:type="dxa"/>
          <w:bottom w:w="0" w:type="dxa"/>
          <w:right w:w="108" w:type="dxa"/>
        </w:tblCellMar>
      </w:tblPr>
      <w:tblGrid>
        <w:gridCol w:w="4916"/>
        <w:gridCol w:w="4916"/>
      </w:tblGrid>
      <w:tr w14:paraId="295442A1">
        <w:tblPrEx>
          <w:tblCellMar>
            <w:top w:w="0" w:type="dxa"/>
            <w:left w:w="108" w:type="dxa"/>
            <w:bottom w:w="0" w:type="dxa"/>
            <w:right w:w="108" w:type="dxa"/>
          </w:tblCellMar>
        </w:tblPrEx>
        <w:trPr>
          <w:cantSplit/>
          <w:jc w:val="center"/>
        </w:trPr>
        <w:tc>
          <w:tcPr>
            <w:tcW w:w="4916" w:type="dxa"/>
            <w:tcBorders>
              <w:top w:val="single" w:color="D7E0EF" w:sz="4" w:space="0"/>
              <w:left w:val="single" w:color="D7E0EF" w:sz="4" w:space="0"/>
              <w:bottom w:val="single" w:color="D7E0EF" w:sz="4" w:space="0"/>
              <w:right w:val="single" w:color="D7E0EF" w:sz="4" w:space="0"/>
            </w:tcBorders>
            <w:shd w:val="clear" w:color="auto" w:fill="EAF1FB"/>
          </w:tcPr>
          <w:p w14:paraId="6604F670">
            <w:pPr>
              <w:spacing w:after="0"/>
              <w:rPr>
                <w:rFonts w:hint="eastAsia"/>
              </w:rPr>
            </w:pPr>
            <w:r>
              <w:rPr>
                <w:b/>
                <w:color w:val="1F1F1F"/>
                <w:sz w:val="21"/>
              </w:rPr>
              <w:t>Q9. Apply the chapter’s AI Suitability Test to this case: “Engineers need help finding unusual patterns in large volumes of production logs.” Answer all six suitability questions briefly.</w:t>
            </w:r>
          </w:p>
        </w:tc>
        <w:tc>
          <w:tcPr>
            <w:tcW w:w="4916" w:type="dxa"/>
            <w:tcBorders>
              <w:top w:val="single" w:color="D7E0EF" w:sz="4" w:space="0"/>
              <w:left w:val="single" w:color="D7E0EF" w:sz="4" w:space="0"/>
              <w:bottom w:val="single" w:color="D7E0EF" w:sz="4" w:space="0"/>
              <w:right w:val="single" w:color="D7E0EF" w:sz="4" w:space="0"/>
            </w:tcBorders>
            <w:shd w:val="clear" w:color="auto" w:fill="FFF6DD"/>
          </w:tcPr>
          <w:p w14:paraId="676F065E">
            <w:pPr>
              <w:spacing w:after="0"/>
              <w:jc w:val="center"/>
              <w:rPr>
                <w:rFonts w:hint="eastAsia"/>
              </w:rPr>
            </w:pPr>
            <w:r>
              <w:rPr>
                <w:b/>
                <w:color w:val="163B82"/>
                <w:sz w:val="18"/>
              </w:rPr>
              <w:t>4 marks</w:t>
            </w:r>
          </w:p>
        </w:tc>
      </w:tr>
    </w:tbl>
    <w:p w14:paraId="208CE558">
      <w:pPr>
        <w:spacing w:before="40" w:after="60"/>
        <w:rPr>
          <w:rFonts w:hint="eastAsia"/>
        </w:rPr>
      </w:pPr>
      <w:r>
        <w:rPr>
          <w:b/>
          <w:color w:val="F5A000"/>
          <w:sz w:val="17"/>
        </w:rPr>
        <w:t>Book reference: §3.8, pp. 226–227</w:t>
      </w:r>
    </w:p>
    <w:tbl>
      <w:tblPr>
        <w:tblStyle w:val="12"/>
        <w:tblW w:w="0" w:type="auto"/>
        <w:jc w:val="center"/>
        <w:tblLayout w:type="fixed"/>
        <w:tblCellMar>
          <w:top w:w="0" w:type="dxa"/>
          <w:left w:w="108" w:type="dxa"/>
          <w:bottom w:w="0" w:type="dxa"/>
          <w:right w:w="108" w:type="dxa"/>
        </w:tblCellMar>
      </w:tblPr>
      <w:tblGrid>
        <w:gridCol w:w="9432"/>
      </w:tblGrid>
      <w:tr w14:paraId="3C8BACB2">
        <w:tblPrEx>
          <w:tblCellMar>
            <w:top w:w="0" w:type="dxa"/>
            <w:left w:w="108" w:type="dxa"/>
            <w:bottom w:w="0" w:type="dxa"/>
            <w:right w:w="108" w:type="dxa"/>
          </w:tblCellMar>
        </w:tblPrEx>
        <w:trPr>
          <w:cantSplit/>
          <w:jc w:val="center"/>
        </w:trPr>
        <w:tc>
          <w:tcPr>
            <w:tcW w:w="9432" w:type="dxa"/>
            <w:tcBorders>
              <w:top w:val="single" w:color="B7C7E6" w:sz="6" w:space="0"/>
              <w:left w:val="single" w:color="B7C7E6" w:sz="6" w:space="0"/>
              <w:bottom w:val="single" w:color="B7C7E6" w:sz="6" w:space="0"/>
              <w:right w:val="single" w:color="B7C7E6" w:sz="6" w:space="0"/>
            </w:tcBorders>
            <w:shd w:val="clear" w:color="auto" w:fill="F9FBFE"/>
          </w:tcPr>
          <w:p w14:paraId="5847260D">
            <w:pPr>
              <w:spacing w:before="0" w:after="80"/>
              <w:rPr>
                <w:rFonts w:hint="eastAsia"/>
              </w:rPr>
            </w:pPr>
            <w:r>
              <w:rPr>
                <w:b w:val="0"/>
                <w:color w:val="1F2937"/>
                <w:sz w:val="18"/>
              </w:rPr>
              <w:t>Case: “Engineers need help finding unusual patterns in large volumes of production logs.”</w:t>
            </w:r>
          </w:p>
          <w:tbl>
            <w:tblPr>
              <w:tblStyle w:val="12"/>
              <w:tblW w:w="9200" w:type="dxa"/>
              <w:tblInd w:w="0" w:type="dxa"/>
              <w:tblLayout w:type="fixed"/>
              <w:tblCellMar>
                <w:top w:w="30" w:type="dxa"/>
                <w:left w:w="70" w:type="dxa"/>
                <w:bottom w:w="30" w:type="dxa"/>
                <w:right w:w="70" w:type="dxa"/>
              </w:tblCellMar>
            </w:tblPr>
            <w:tblGrid>
              <w:gridCol w:w="400"/>
              <w:gridCol w:w="2600"/>
              <w:gridCol w:w="4400"/>
              <w:gridCol w:w="1800"/>
            </w:tblGrid>
            <w:tr w14:paraId="7F68EF91">
              <w:tblPrEx>
                <w:tblCellMar>
                  <w:top w:w="30" w:type="dxa"/>
                  <w:left w:w="70" w:type="dxa"/>
                  <w:bottom w:w="30" w:type="dxa"/>
                  <w:right w:w="70" w:type="dxa"/>
                </w:tblCellMar>
              </w:tblPrEx>
              <w:trPr>
                <w:cantSplit/>
                <w:tblHeader/>
              </w:trPr>
              <w:tc>
                <w:tcPr>
                  <w:tcW w:w="400" w:type="dxa"/>
                  <w:tcBorders>
                    <w:top w:val="single" w:color="B7C7E6" w:sz="4" w:space="0"/>
                    <w:left w:val="single" w:color="B7C7E6" w:sz="4" w:space="0"/>
                    <w:bottom w:val="single" w:color="B7C7E6" w:sz="4" w:space="0"/>
                    <w:right w:val="single" w:color="B7C7E6" w:sz="4" w:space="0"/>
                  </w:tcBorders>
                  <w:shd w:val="clear" w:color="auto" w:fill="EAF1FB"/>
                </w:tcPr>
                <w:p w14:paraId="75EF1EAE">
                  <w:pPr>
                    <w:spacing w:before="0" w:after="0"/>
                  </w:pPr>
                  <w:r>
                    <w:rPr>
                      <w:b/>
                      <w:color w:val="163B82"/>
                      <w:sz w:val="16"/>
                    </w:rPr>
                    <w:t>#</w:t>
                  </w:r>
                </w:p>
              </w:tc>
              <w:tc>
                <w:tcPr>
                  <w:tcW w:w="2600" w:type="dxa"/>
                  <w:tcBorders>
                    <w:top w:val="single" w:color="B7C7E6" w:sz="4" w:space="0"/>
                    <w:left w:val="single" w:color="B7C7E6" w:sz="4" w:space="0"/>
                    <w:bottom w:val="single" w:color="B7C7E6" w:sz="4" w:space="0"/>
                    <w:right w:val="single" w:color="B7C7E6" w:sz="4" w:space="0"/>
                  </w:tcBorders>
                  <w:shd w:val="clear" w:color="auto" w:fill="EAF1FB"/>
                </w:tcPr>
                <w:p w14:paraId="024F7190">
                  <w:pPr>
                    <w:spacing w:before="0" w:after="0"/>
                  </w:pPr>
                  <w:r>
                    <w:rPr>
                      <w:b/>
                      <w:color w:val="163B82"/>
                      <w:sz w:val="16"/>
                    </w:rPr>
                    <w:t>Suitability question</w:t>
                  </w:r>
                </w:p>
              </w:tc>
              <w:tc>
                <w:tcPr>
                  <w:tcW w:w="4400" w:type="dxa"/>
                  <w:tcBorders>
                    <w:top w:val="single" w:color="B7C7E6" w:sz="4" w:space="0"/>
                    <w:left w:val="single" w:color="B7C7E6" w:sz="4" w:space="0"/>
                    <w:bottom w:val="single" w:color="B7C7E6" w:sz="4" w:space="0"/>
                    <w:right w:val="single" w:color="B7C7E6" w:sz="4" w:space="0"/>
                  </w:tcBorders>
                  <w:shd w:val="clear" w:color="auto" w:fill="EAF1FB"/>
                </w:tcPr>
                <w:p w14:paraId="1C928666">
                  <w:pPr>
                    <w:spacing w:before="0" w:after="0"/>
                  </w:pPr>
                  <w:r>
                    <w:rPr>
                      <w:b/>
                      <w:color w:val="163B82"/>
                      <w:sz w:val="16"/>
                    </w:rPr>
                    <w:t>Answer for this case</w:t>
                  </w:r>
                </w:p>
              </w:tc>
              <w:tc>
                <w:tcPr>
                  <w:tcW w:w="1800" w:type="dxa"/>
                  <w:tcBorders>
                    <w:top w:val="single" w:color="B7C7E6" w:sz="4" w:space="0"/>
                    <w:left w:val="single" w:color="B7C7E6" w:sz="4" w:space="0"/>
                    <w:bottom w:val="single" w:color="B7C7E6" w:sz="4" w:space="0"/>
                    <w:right w:val="single" w:color="B7C7E6" w:sz="4" w:space="0"/>
                  </w:tcBorders>
                  <w:shd w:val="clear" w:color="auto" w:fill="EAF1FB"/>
                </w:tcPr>
                <w:p w14:paraId="33237FF0">
                  <w:pPr>
                    <w:spacing w:before="0" w:after="0"/>
                  </w:pPr>
                  <w:r>
                    <w:rPr>
                      <w:b/>
                      <w:color w:val="163B82"/>
                      <w:sz w:val="16"/>
                    </w:rPr>
                    <w:t>Verdict</w:t>
                  </w:r>
                </w:p>
              </w:tc>
            </w:tr>
            <w:tr w14:paraId="05BEFD3D">
              <w:tblPrEx>
                <w:tblCellMar>
                  <w:top w:w="30" w:type="dxa"/>
                  <w:left w:w="70" w:type="dxa"/>
                  <w:bottom w:w="30" w:type="dxa"/>
                  <w:right w:w="70" w:type="dxa"/>
                </w:tblCellMar>
              </w:tblPrEx>
              <w:trPr>
                <w:cantSplit/>
              </w:trPr>
              <w:tc>
                <w:tcPr>
                  <w:tcW w:w="400" w:type="dxa"/>
                  <w:tcBorders>
                    <w:top w:val="single" w:color="B7C7E6" w:sz="4" w:space="0"/>
                    <w:left w:val="single" w:color="B7C7E6" w:sz="4" w:space="0"/>
                    <w:bottom w:val="single" w:color="B7C7E6" w:sz="4" w:space="0"/>
                    <w:right w:val="single" w:color="B7C7E6" w:sz="4" w:space="0"/>
                  </w:tcBorders>
                </w:tcPr>
                <w:p w14:paraId="49585594">
                  <w:pPr>
                    <w:spacing w:before="0" w:after="0"/>
                  </w:pPr>
                  <w:r>
                    <w:rPr>
                      <w:b w:val="0"/>
                      <w:color w:val="1F2937"/>
                      <w:sz w:val="16"/>
                    </w:rPr>
                    <w:t>1</w:t>
                  </w:r>
                </w:p>
              </w:tc>
              <w:tc>
                <w:tcPr>
                  <w:tcW w:w="2600" w:type="dxa"/>
                  <w:tcBorders>
                    <w:top w:val="single" w:color="B7C7E6" w:sz="4" w:space="0"/>
                    <w:left w:val="single" w:color="B7C7E6" w:sz="4" w:space="0"/>
                    <w:bottom w:val="single" w:color="B7C7E6" w:sz="4" w:space="0"/>
                    <w:right w:val="single" w:color="B7C7E6" w:sz="4" w:space="0"/>
                  </w:tcBorders>
                </w:tcPr>
                <w:p w14:paraId="73EA5407">
                  <w:pPr>
                    <w:spacing w:before="0" w:after="0"/>
                  </w:pPr>
                  <w:r>
                    <w:rPr>
                      <w:b w:val="0"/>
                      <w:color w:val="1F2937"/>
                      <w:sz w:val="16"/>
                    </w:rPr>
                    <w:t>Can simple rules or conventional software solve it?</w:t>
                  </w:r>
                </w:p>
              </w:tc>
              <w:tc>
                <w:tcPr>
                  <w:tcW w:w="4400" w:type="dxa"/>
                  <w:tcBorders>
                    <w:top w:val="single" w:color="B7C7E6" w:sz="4" w:space="0"/>
                    <w:left w:val="single" w:color="B7C7E6" w:sz="4" w:space="0"/>
                    <w:bottom w:val="single" w:color="B7C7E6" w:sz="4" w:space="0"/>
                    <w:right w:val="single" w:color="B7C7E6" w:sz="4" w:space="0"/>
                  </w:tcBorders>
                </w:tcPr>
                <w:p w14:paraId="69E50CE3">
                  <w:pPr>
                    <w:spacing w:before="0" w:after="0"/>
                  </w:pPr>
                  <w:r>
                    <w:rPr>
                      <w:b w:val="0"/>
                      <w:color w:val="1F2937"/>
                      <w:sz w:val="16"/>
                    </w:rPr>
                    <w:t>Known errors can use rules and alerts, but “unusual” patterns cannot be listed in advance, and log formats keep changing.</w:t>
                  </w:r>
                </w:p>
              </w:tc>
              <w:tc>
                <w:tcPr>
                  <w:tcW w:w="1800" w:type="dxa"/>
                  <w:tcBorders>
                    <w:top w:val="single" w:color="B7C7E6" w:sz="4" w:space="0"/>
                    <w:left w:val="single" w:color="B7C7E6" w:sz="4" w:space="0"/>
                    <w:bottom w:val="single" w:color="B7C7E6" w:sz="4" w:space="0"/>
                    <w:right w:val="single" w:color="B7C7E6" w:sz="4" w:space="0"/>
                  </w:tcBorders>
                </w:tcPr>
                <w:p w14:paraId="55B9695A">
                  <w:pPr>
                    <w:spacing w:before="0" w:after="0"/>
                  </w:pPr>
                  <w:r>
                    <w:rPr>
                      <w:b w:val="0"/>
                      <w:color w:val="1F2937"/>
                      <w:sz w:val="16"/>
                    </w:rPr>
                    <w:t>Rules alone are not enough</w:t>
                  </w:r>
                </w:p>
              </w:tc>
            </w:tr>
            <w:tr w14:paraId="1D31C925">
              <w:tblPrEx>
                <w:tblCellMar>
                  <w:top w:w="30" w:type="dxa"/>
                  <w:left w:w="70" w:type="dxa"/>
                  <w:bottom w:w="30" w:type="dxa"/>
                  <w:right w:w="70" w:type="dxa"/>
                </w:tblCellMar>
              </w:tblPrEx>
              <w:trPr>
                <w:cantSplit/>
              </w:trPr>
              <w:tc>
                <w:tcPr>
                  <w:tcW w:w="400" w:type="dxa"/>
                  <w:tcBorders>
                    <w:top w:val="single" w:color="B7C7E6" w:sz="4" w:space="0"/>
                    <w:left w:val="single" w:color="B7C7E6" w:sz="4" w:space="0"/>
                    <w:bottom w:val="single" w:color="B7C7E6" w:sz="4" w:space="0"/>
                    <w:right w:val="single" w:color="B7C7E6" w:sz="4" w:space="0"/>
                  </w:tcBorders>
                </w:tcPr>
                <w:p w14:paraId="7FF42BA7">
                  <w:pPr>
                    <w:spacing w:before="0" w:after="0"/>
                  </w:pPr>
                  <w:r>
                    <w:rPr>
                      <w:b w:val="0"/>
                      <w:color w:val="1F2937"/>
                      <w:sz w:val="16"/>
                    </w:rPr>
                    <w:t>2</w:t>
                  </w:r>
                </w:p>
              </w:tc>
              <w:tc>
                <w:tcPr>
                  <w:tcW w:w="2600" w:type="dxa"/>
                  <w:tcBorders>
                    <w:top w:val="single" w:color="B7C7E6" w:sz="4" w:space="0"/>
                    <w:left w:val="single" w:color="B7C7E6" w:sz="4" w:space="0"/>
                    <w:bottom w:val="single" w:color="B7C7E6" w:sz="4" w:space="0"/>
                    <w:right w:val="single" w:color="B7C7E6" w:sz="4" w:space="0"/>
                  </w:tcBorders>
                </w:tcPr>
                <w:p w14:paraId="47EEC42E">
                  <w:pPr>
                    <w:spacing w:before="0" w:after="0"/>
                  </w:pPr>
                  <w:r>
                    <w:rPr>
                      <w:b w:val="0"/>
                      <w:color w:val="1F2937"/>
                      <w:sz w:val="16"/>
                    </w:rPr>
                    <w:t>Is the input variable, unstructured, or too large for manual work?</w:t>
                  </w:r>
                </w:p>
              </w:tc>
              <w:tc>
                <w:tcPr>
                  <w:tcW w:w="4400" w:type="dxa"/>
                  <w:tcBorders>
                    <w:top w:val="single" w:color="B7C7E6" w:sz="4" w:space="0"/>
                    <w:left w:val="single" w:color="B7C7E6" w:sz="4" w:space="0"/>
                    <w:bottom w:val="single" w:color="B7C7E6" w:sz="4" w:space="0"/>
                    <w:right w:val="single" w:color="B7C7E6" w:sz="4" w:space="0"/>
                  </w:tcBorders>
                </w:tcPr>
                <w:p w14:paraId="529305B2">
                  <w:pPr>
                    <w:spacing w:before="0" w:after="0"/>
                  </w:pPr>
                  <w:r>
                    <w:rPr>
                      <w:b w:val="0"/>
                      <w:color w:val="1F2937"/>
                      <w:sz w:val="16"/>
                    </w:rPr>
                    <w:t>Yes: millions of semi-structured lines per day, changing formats and messages.</w:t>
                  </w:r>
                </w:p>
              </w:tc>
              <w:tc>
                <w:tcPr>
                  <w:tcW w:w="1800" w:type="dxa"/>
                  <w:tcBorders>
                    <w:top w:val="single" w:color="B7C7E6" w:sz="4" w:space="0"/>
                    <w:left w:val="single" w:color="B7C7E6" w:sz="4" w:space="0"/>
                    <w:bottom w:val="single" w:color="B7C7E6" w:sz="4" w:space="0"/>
                    <w:right w:val="single" w:color="B7C7E6" w:sz="4" w:space="0"/>
                  </w:tcBorders>
                </w:tcPr>
                <w:p w14:paraId="110132D8">
                  <w:pPr>
                    <w:spacing w:before="0" w:after="0"/>
                  </w:pPr>
                  <w:r>
                    <w:rPr>
                      <w:b w:val="0"/>
                      <w:color w:val="1F2937"/>
                      <w:sz w:val="16"/>
                    </w:rPr>
                    <w:t>Yes</w:t>
                  </w:r>
                </w:p>
              </w:tc>
            </w:tr>
            <w:tr w14:paraId="070D84BD">
              <w:tblPrEx>
                <w:tblCellMar>
                  <w:top w:w="30" w:type="dxa"/>
                  <w:left w:w="70" w:type="dxa"/>
                  <w:bottom w:w="30" w:type="dxa"/>
                  <w:right w:w="70" w:type="dxa"/>
                </w:tblCellMar>
              </w:tblPrEx>
              <w:trPr>
                <w:cantSplit/>
              </w:trPr>
              <w:tc>
                <w:tcPr>
                  <w:tcW w:w="400" w:type="dxa"/>
                  <w:tcBorders>
                    <w:top w:val="single" w:color="B7C7E6" w:sz="4" w:space="0"/>
                    <w:left w:val="single" w:color="B7C7E6" w:sz="4" w:space="0"/>
                    <w:bottom w:val="single" w:color="B7C7E6" w:sz="4" w:space="0"/>
                    <w:right w:val="single" w:color="B7C7E6" w:sz="4" w:space="0"/>
                  </w:tcBorders>
                </w:tcPr>
                <w:p w14:paraId="3C8396B2">
                  <w:pPr>
                    <w:spacing w:before="0" w:after="0"/>
                  </w:pPr>
                  <w:r>
                    <w:rPr>
                      <w:b w:val="0"/>
                      <w:color w:val="1F2937"/>
                      <w:sz w:val="16"/>
                    </w:rPr>
                    <w:t>3</w:t>
                  </w:r>
                </w:p>
              </w:tc>
              <w:tc>
                <w:tcPr>
                  <w:tcW w:w="2600" w:type="dxa"/>
                  <w:tcBorders>
                    <w:top w:val="single" w:color="B7C7E6" w:sz="4" w:space="0"/>
                    <w:left w:val="single" w:color="B7C7E6" w:sz="4" w:space="0"/>
                    <w:bottom w:val="single" w:color="B7C7E6" w:sz="4" w:space="0"/>
                    <w:right w:val="single" w:color="B7C7E6" w:sz="4" w:space="0"/>
                  </w:tcBorders>
                </w:tcPr>
                <w:p w14:paraId="60AE0C23">
                  <w:pPr>
                    <w:spacing w:before="0" w:after="0"/>
                  </w:pPr>
                  <w:r>
                    <w:rPr>
                      <w:b w:val="0"/>
                      <w:color w:val="1F2937"/>
                      <w:sz w:val="16"/>
                    </w:rPr>
                    <w:t>Is suitable data or knowledge available and accessible?</w:t>
                  </w:r>
                </w:p>
              </w:tc>
              <w:tc>
                <w:tcPr>
                  <w:tcW w:w="4400" w:type="dxa"/>
                  <w:tcBorders>
                    <w:top w:val="single" w:color="B7C7E6" w:sz="4" w:space="0"/>
                    <w:left w:val="single" w:color="B7C7E6" w:sz="4" w:space="0"/>
                    <w:bottom w:val="single" w:color="B7C7E6" w:sz="4" w:space="0"/>
                    <w:right w:val="single" w:color="B7C7E6" w:sz="4" w:space="0"/>
                  </w:tcBorders>
                </w:tcPr>
                <w:p w14:paraId="15CADAAC">
                  <w:pPr>
                    <w:spacing w:before="0" w:after="0"/>
                  </w:pPr>
                  <w:r>
                    <w:rPr>
                      <w:b w:val="0"/>
                      <w:color w:val="1F2937"/>
                      <w:sz w:val="16"/>
                    </w:rPr>
                    <w:t>Logs exist (Assumed). Labelled past incidents are Unknown. Logs may contain personal data or secrets.</w:t>
                  </w:r>
                </w:p>
              </w:tc>
              <w:tc>
                <w:tcPr>
                  <w:tcW w:w="1800" w:type="dxa"/>
                  <w:tcBorders>
                    <w:top w:val="single" w:color="B7C7E6" w:sz="4" w:space="0"/>
                    <w:left w:val="single" w:color="B7C7E6" w:sz="4" w:space="0"/>
                    <w:bottom w:val="single" w:color="B7C7E6" w:sz="4" w:space="0"/>
                    <w:right w:val="single" w:color="B7C7E6" w:sz="4" w:space="0"/>
                  </w:tcBorders>
                </w:tcPr>
                <w:p w14:paraId="5E9667B7">
                  <w:pPr>
                    <w:spacing w:before="0" w:after="0"/>
                  </w:pPr>
                  <w:r>
                    <w:rPr>
                      <w:b w:val="0"/>
                      <w:color w:val="1F2937"/>
                      <w:sz w:val="16"/>
                    </w:rPr>
                    <w:t>Partly; needs checking</w:t>
                  </w:r>
                </w:p>
              </w:tc>
            </w:tr>
            <w:tr w14:paraId="5A20FC9E">
              <w:tblPrEx>
                <w:tblCellMar>
                  <w:top w:w="30" w:type="dxa"/>
                  <w:left w:w="70" w:type="dxa"/>
                  <w:bottom w:w="30" w:type="dxa"/>
                  <w:right w:w="70" w:type="dxa"/>
                </w:tblCellMar>
              </w:tblPrEx>
              <w:trPr>
                <w:cantSplit/>
              </w:trPr>
              <w:tc>
                <w:tcPr>
                  <w:tcW w:w="400" w:type="dxa"/>
                  <w:tcBorders>
                    <w:top w:val="single" w:color="B7C7E6" w:sz="4" w:space="0"/>
                    <w:left w:val="single" w:color="B7C7E6" w:sz="4" w:space="0"/>
                    <w:bottom w:val="single" w:color="B7C7E6" w:sz="4" w:space="0"/>
                    <w:right w:val="single" w:color="B7C7E6" w:sz="4" w:space="0"/>
                  </w:tcBorders>
                </w:tcPr>
                <w:p w14:paraId="6D7D1E30">
                  <w:pPr>
                    <w:spacing w:before="0" w:after="0"/>
                  </w:pPr>
                  <w:r>
                    <w:rPr>
                      <w:b w:val="0"/>
                      <w:color w:val="1F2937"/>
                      <w:sz w:val="16"/>
                    </w:rPr>
                    <w:t>4</w:t>
                  </w:r>
                </w:p>
              </w:tc>
              <w:tc>
                <w:tcPr>
                  <w:tcW w:w="2600" w:type="dxa"/>
                  <w:tcBorders>
                    <w:top w:val="single" w:color="B7C7E6" w:sz="4" w:space="0"/>
                    <w:left w:val="single" w:color="B7C7E6" w:sz="4" w:space="0"/>
                    <w:bottom w:val="single" w:color="B7C7E6" w:sz="4" w:space="0"/>
                    <w:right w:val="single" w:color="B7C7E6" w:sz="4" w:space="0"/>
                  </w:tcBorders>
                </w:tcPr>
                <w:p w14:paraId="5A70F55A">
                  <w:pPr>
                    <w:spacing w:before="0" w:after="0"/>
                  </w:pPr>
                  <w:r>
                    <w:rPr>
                      <w:b w:val="0"/>
                      <w:color w:val="1F2937"/>
                      <w:sz w:val="16"/>
                    </w:rPr>
                    <w:t>Can success be defined and measured?</w:t>
                  </w:r>
                </w:p>
              </w:tc>
              <w:tc>
                <w:tcPr>
                  <w:tcW w:w="4400" w:type="dxa"/>
                  <w:tcBorders>
                    <w:top w:val="single" w:color="B7C7E6" w:sz="4" w:space="0"/>
                    <w:left w:val="single" w:color="B7C7E6" w:sz="4" w:space="0"/>
                    <w:bottom w:val="single" w:color="B7C7E6" w:sz="4" w:space="0"/>
                    <w:right w:val="single" w:color="B7C7E6" w:sz="4" w:space="0"/>
                  </w:tcBorders>
                </w:tcPr>
                <w:p w14:paraId="2F89C676">
                  <w:pPr>
                    <w:spacing w:before="0" w:after="0"/>
                  </w:pPr>
                  <w:r>
                    <w:rPr>
                      <w:b w:val="0"/>
                      <w:color w:val="1F2937"/>
                      <w:sz w:val="16"/>
                    </w:rPr>
                    <w:t>Yes: precision/recall on labelled incident windows, alert reduction, time to detect. Needs a labelled history first.</w:t>
                  </w:r>
                </w:p>
              </w:tc>
              <w:tc>
                <w:tcPr>
                  <w:tcW w:w="1800" w:type="dxa"/>
                  <w:tcBorders>
                    <w:top w:val="single" w:color="B7C7E6" w:sz="4" w:space="0"/>
                    <w:left w:val="single" w:color="B7C7E6" w:sz="4" w:space="0"/>
                    <w:bottom w:val="single" w:color="B7C7E6" w:sz="4" w:space="0"/>
                    <w:right w:val="single" w:color="B7C7E6" w:sz="4" w:space="0"/>
                  </w:tcBorders>
                </w:tcPr>
                <w:p w14:paraId="24A1F9CB">
                  <w:pPr>
                    <w:spacing w:before="0" w:after="0"/>
                  </w:pPr>
                  <w:r>
                    <w:rPr>
                      <w:b w:val="0"/>
                      <w:color w:val="1F2937"/>
                      <w:sz w:val="16"/>
                    </w:rPr>
                    <w:t>Yes, once labelled</w:t>
                  </w:r>
                </w:p>
              </w:tc>
            </w:tr>
            <w:tr w14:paraId="7A3212E4">
              <w:tblPrEx>
                <w:tblCellMar>
                  <w:top w:w="30" w:type="dxa"/>
                  <w:left w:w="70" w:type="dxa"/>
                  <w:bottom w:w="30" w:type="dxa"/>
                  <w:right w:w="70" w:type="dxa"/>
                </w:tblCellMar>
              </w:tblPrEx>
              <w:trPr>
                <w:cantSplit/>
              </w:trPr>
              <w:tc>
                <w:tcPr>
                  <w:tcW w:w="400" w:type="dxa"/>
                  <w:tcBorders>
                    <w:top w:val="single" w:color="B7C7E6" w:sz="4" w:space="0"/>
                    <w:left w:val="single" w:color="B7C7E6" w:sz="4" w:space="0"/>
                    <w:bottom w:val="single" w:color="B7C7E6" w:sz="4" w:space="0"/>
                    <w:right w:val="single" w:color="B7C7E6" w:sz="4" w:space="0"/>
                  </w:tcBorders>
                </w:tcPr>
                <w:p w14:paraId="3BA90B78">
                  <w:pPr>
                    <w:spacing w:before="0" w:after="0"/>
                  </w:pPr>
                  <w:r>
                    <w:rPr>
                      <w:b w:val="0"/>
                      <w:color w:val="1F2937"/>
                      <w:sz w:val="16"/>
                    </w:rPr>
                    <w:t>5</w:t>
                  </w:r>
                </w:p>
              </w:tc>
              <w:tc>
                <w:tcPr>
                  <w:tcW w:w="2600" w:type="dxa"/>
                  <w:tcBorders>
                    <w:top w:val="single" w:color="B7C7E6" w:sz="4" w:space="0"/>
                    <w:left w:val="single" w:color="B7C7E6" w:sz="4" w:space="0"/>
                    <w:bottom w:val="single" w:color="B7C7E6" w:sz="4" w:space="0"/>
                    <w:right w:val="single" w:color="B7C7E6" w:sz="4" w:space="0"/>
                  </w:tcBorders>
                </w:tcPr>
                <w:p w14:paraId="5AE09B7A">
                  <w:pPr>
                    <w:spacing w:before="0" w:after="0"/>
                  </w:pPr>
                  <w:r>
                    <w:rPr>
                      <w:b w:val="0"/>
                      <w:color w:val="1F2937"/>
                      <w:sz w:val="16"/>
                    </w:rPr>
                    <w:t>What does an error cost, and can it be tolerated or reviewed?</w:t>
                  </w:r>
                </w:p>
              </w:tc>
              <w:tc>
                <w:tcPr>
                  <w:tcW w:w="4400" w:type="dxa"/>
                  <w:tcBorders>
                    <w:top w:val="single" w:color="B7C7E6" w:sz="4" w:space="0"/>
                    <w:left w:val="single" w:color="B7C7E6" w:sz="4" w:space="0"/>
                    <w:bottom w:val="single" w:color="B7C7E6" w:sz="4" w:space="0"/>
                    <w:right w:val="single" w:color="B7C7E6" w:sz="4" w:space="0"/>
                  </w:tcBorders>
                </w:tcPr>
                <w:p w14:paraId="157873F9">
                  <w:pPr>
                    <w:spacing w:before="0" w:after="0"/>
                  </w:pPr>
                  <w:r>
                    <w:rPr>
                      <w:b w:val="0"/>
                      <w:color w:val="1F2937"/>
                      <w:sz w:val="16"/>
                    </w:rPr>
                    <w:t>A missed incident is costly; false alarms cause alert fatigue. Output is advice for an engineer, not an automatic fix.</w:t>
                  </w:r>
                </w:p>
              </w:tc>
              <w:tc>
                <w:tcPr>
                  <w:tcW w:w="1800" w:type="dxa"/>
                  <w:tcBorders>
                    <w:top w:val="single" w:color="B7C7E6" w:sz="4" w:space="0"/>
                    <w:left w:val="single" w:color="B7C7E6" w:sz="4" w:space="0"/>
                    <w:bottom w:val="single" w:color="B7C7E6" w:sz="4" w:space="0"/>
                    <w:right w:val="single" w:color="B7C7E6" w:sz="4" w:space="0"/>
                  </w:tcBorders>
                </w:tcPr>
                <w:p w14:paraId="744E2310">
                  <w:pPr>
                    <w:spacing w:before="0" w:after="0"/>
                  </w:pPr>
                  <w:r>
                    <w:rPr>
                      <w:b w:val="0"/>
                      <w:color w:val="1F2937"/>
                      <w:sz w:val="16"/>
                    </w:rPr>
                    <w:t>Acceptable with human review</w:t>
                  </w:r>
                </w:p>
              </w:tc>
            </w:tr>
            <w:tr w14:paraId="4E206B60">
              <w:tblPrEx>
                <w:tblCellMar>
                  <w:top w:w="30" w:type="dxa"/>
                  <w:left w:w="70" w:type="dxa"/>
                  <w:bottom w:w="30" w:type="dxa"/>
                  <w:right w:w="70" w:type="dxa"/>
                </w:tblCellMar>
              </w:tblPrEx>
              <w:trPr>
                <w:cantSplit/>
              </w:trPr>
              <w:tc>
                <w:tcPr>
                  <w:tcW w:w="400" w:type="dxa"/>
                  <w:tcBorders>
                    <w:top w:val="single" w:color="B7C7E6" w:sz="4" w:space="0"/>
                    <w:left w:val="single" w:color="B7C7E6" w:sz="4" w:space="0"/>
                    <w:bottom w:val="single" w:color="B7C7E6" w:sz="4" w:space="0"/>
                    <w:right w:val="single" w:color="B7C7E6" w:sz="4" w:space="0"/>
                  </w:tcBorders>
                </w:tcPr>
                <w:p w14:paraId="3507A4B0">
                  <w:pPr>
                    <w:spacing w:before="0" w:after="0"/>
                  </w:pPr>
                  <w:r>
                    <w:rPr>
                      <w:b w:val="0"/>
                      <w:color w:val="1F2937"/>
                      <w:sz w:val="16"/>
                    </w:rPr>
                    <w:t>6</w:t>
                  </w:r>
                </w:p>
              </w:tc>
              <w:tc>
                <w:tcPr>
                  <w:tcW w:w="2600" w:type="dxa"/>
                  <w:tcBorders>
                    <w:top w:val="single" w:color="B7C7E6" w:sz="4" w:space="0"/>
                    <w:left w:val="single" w:color="B7C7E6" w:sz="4" w:space="0"/>
                    <w:bottom w:val="single" w:color="B7C7E6" w:sz="4" w:space="0"/>
                    <w:right w:val="single" w:color="B7C7E6" w:sz="4" w:space="0"/>
                  </w:tcBorders>
                </w:tcPr>
                <w:p w14:paraId="69421C7B">
                  <w:pPr>
                    <w:spacing w:before="0" w:after="0"/>
                  </w:pPr>
                  <w:r>
                    <w:rPr>
                      <w:b w:val="0"/>
                      <w:color w:val="1F2937"/>
                      <w:sz w:val="16"/>
                    </w:rPr>
                    <w:t>Does the value justify the cost and complexity versus the baseline?</w:t>
                  </w:r>
                </w:p>
              </w:tc>
              <w:tc>
                <w:tcPr>
                  <w:tcW w:w="4400" w:type="dxa"/>
                  <w:tcBorders>
                    <w:top w:val="single" w:color="B7C7E6" w:sz="4" w:space="0"/>
                    <w:left w:val="single" w:color="B7C7E6" w:sz="4" w:space="0"/>
                    <w:bottom w:val="single" w:color="B7C7E6" w:sz="4" w:space="0"/>
                    <w:right w:val="single" w:color="B7C7E6" w:sz="4" w:space="0"/>
                  </w:tcBorders>
                </w:tcPr>
                <w:p w14:paraId="5DCA9FAF">
                  <w:pPr>
                    <w:spacing w:before="0" w:after="0"/>
                  </w:pPr>
                  <w:r>
                    <w:rPr>
                      <w:b w:val="0"/>
                      <w:color w:val="1F2937"/>
                      <w:sz w:val="16"/>
                    </w:rPr>
                    <w:t>Baseline is grep plus threshold alerts. Value is in engineer triage hours and detection time (Unknown until measured).</w:t>
                  </w:r>
                </w:p>
              </w:tc>
              <w:tc>
                <w:tcPr>
                  <w:tcW w:w="1800" w:type="dxa"/>
                  <w:tcBorders>
                    <w:top w:val="single" w:color="B7C7E6" w:sz="4" w:space="0"/>
                    <w:left w:val="single" w:color="B7C7E6" w:sz="4" w:space="0"/>
                    <w:bottom w:val="single" w:color="B7C7E6" w:sz="4" w:space="0"/>
                    <w:right w:val="single" w:color="B7C7E6" w:sz="4" w:space="0"/>
                  </w:tcBorders>
                </w:tcPr>
                <w:p w14:paraId="2803C0B1">
                  <w:pPr>
                    <w:spacing w:before="0" w:after="0"/>
                  </w:pPr>
                  <w:r>
                    <w:rPr>
                      <w:b w:val="0"/>
                      <w:color w:val="1F2937"/>
                      <w:sz w:val="16"/>
                    </w:rPr>
                    <w:t>Likely, to be verified</w:t>
                  </w:r>
                </w:p>
              </w:tc>
            </w:tr>
          </w:tbl>
          <w:p w14:paraId="3FD96E14">
            <w:pPr>
              <w:spacing w:before="0" w:after="40" w:line="80" w:lineRule="exact"/>
            </w:pPr>
          </w:p>
          <w:p w14:paraId="4217EF2F">
            <w:pPr>
              <w:spacing w:before="0" w:after="80"/>
            </w:pPr>
            <w:r>
              <w:rPr>
                <w:b/>
                <w:color w:val="1F2937"/>
                <w:sz w:val="18"/>
              </w:rPr>
              <w:t>Conclusion:</w:t>
            </w:r>
            <w:r>
              <w:rPr>
                <w:b w:val="0"/>
                <w:color w:val="1F2937"/>
                <w:sz w:val="18"/>
              </w:rPr>
              <w:t xml:space="preserve"> suitable for AI-assisted work as a hybrid (rules for known patterns, anomaly detection for unknown ones, retrieval of similar past incidents), with a human engineer in the loop and no autonomous remediation in the MVP.</w:t>
            </w:r>
          </w:p>
        </w:tc>
      </w:tr>
    </w:tbl>
    <w:p w14:paraId="556CF8B0">
      <w:pPr>
        <w:spacing w:after="40"/>
        <w:rPr>
          <w:rFonts w:hint="eastAsia"/>
        </w:rPr>
      </w:pPr>
    </w:p>
    <w:tbl>
      <w:tblPr>
        <w:tblStyle w:val="12"/>
        <w:tblW w:w="0" w:type="auto"/>
        <w:jc w:val="center"/>
        <w:tblLayout w:type="fixed"/>
        <w:tblCellMar>
          <w:top w:w="0" w:type="dxa"/>
          <w:left w:w="108" w:type="dxa"/>
          <w:bottom w:w="0" w:type="dxa"/>
          <w:right w:w="108" w:type="dxa"/>
        </w:tblCellMar>
      </w:tblPr>
      <w:tblGrid>
        <w:gridCol w:w="4916"/>
        <w:gridCol w:w="4916"/>
      </w:tblGrid>
      <w:tr w14:paraId="1789058F">
        <w:tblPrEx>
          <w:tblCellMar>
            <w:top w:w="0" w:type="dxa"/>
            <w:left w:w="108" w:type="dxa"/>
            <w:bottom w:w="0" w:type="dxa"/>
            <w:right w:w="108" w:type="dxa"/>
          </w:tblCellMar>
        </w:tblPrEx>
        <w:trPr>
          <w:cantSplit/>
          <w:jc w:val="center"/>
        </w:trPr>
        <w:tc>
          <w:tcPr>
            <w:tcW w:w="4916" w:type="dxa"/>
            <w:tcBorders>
              <w:top w:val="single" w:color="D7E0EF" w:sz="4" w:space="0"/>
              <w:left w:val="single" w:color="D7E0EF" w:sz="4" w:space="0"/>
              <w:bottom w:val="single" w:color="D7E0EF" w:sz="4" w:space="0"/>
              <w:right w:val="single" w:color="D7E0EF" w:sz="4" w:space="0"/>
            </w:tcBorders>
            <w:shd w:val="clear" w:color="auto" w:fill="EAF1FB"/>
          </w:tcPr>
          <w:p w14:paraId="508D517A">
            <w:pPr>
              <w:spacing w:after="0"/>
              <w:rPr>
                <w:rFonts w:hint="eastAsia"/>
              </w:rPr>
            </w:pPr>
            <w:r>
              <w:rPr>
                <w:b/>
                <w:color w:val="1F1F1F"/>
                <w:sz w:val="21"/>
              </w:rPr>
              <w:t>Q10. Classify each task as Prediction, Retrieval, Generation, Action/Automation, or a combination: (a) forecast churn probability, (b) find policy passages relevant to a question, (c) write a source-grounded summary, (d) create a ticket through an API, (e) detect an abnormal log event and then retrieve similar incidents.</w:t>
            </w:r>
          </w:p>
        </w:tc>
        <w:tc>
          <w:tcPr>
            <w:tcW w:w="4916" w:type="dxa"/>
            <w:tcBorders>
              <w:top w:val="single" w:color="D7E0EF" w:sz="4" w:space="0"/>
              <w:left w:val="single" w:color="D7E0EF" w:sz="4" w:space="0"/>
              <w:bottom w:val="single" w:color="D7E0EF" w:sz="4" w:space="0"/>
              <w:right w:val="single" w:color="D7E0EF" w:sz="4" w:space="0"/>
            </w:tcBorders>
            <w:shd w:val="clear" w:color="auto" w:fill="FFF6DD"/>
          </w:tcPr>
          <w:p w14:paraId="587B917B">
            <w:pPr>
              <w:spacing w:after="0"/>
              <w:jc w:val="center"/>
              <w:rPr>
                <w:rFonts w:hint="eastAsia"/>
              </w:rPr>
            </w:pPr>
            <w:r>
              <w:rPr>
                <w:b/>
                <w:color w:val="163B82"/>
                <w:sz w:val="18"/>
              </w:rPr>
              <w:t>5 marks</w:t>
            </w:r>
          </w:p>
        </w:tc>
      </w:tr>
    </w:tbl>
    <w:p w14:paraId="7EA70BAC">
      <w:pPr>
        <w:spacing w:before="40" w:after="60"/>
        <w:rPr>
          <w:rFonts w:hint="eastAsia"/>
        </w:rPr>
      </w:pPr>
      <w:r>
        <w:rPr>
          <w:b/>
          <w:color w:val="F5A000"/>
          <w:sz w:val="17"/>
        </w:rPr>
        <w:t>Book reference: §3.9, “Prediction, Retrieval, Generation, or Automation?”, pp. 228–230</w:t>
      </w:r>
    </w:p>
    <w:tbl>
      <w:tblPr>
        <w:tblStyle w:val="12"/>
        <w:tblW w:w="0" w:type="auto"/>
        <w:jc w:val="center"/>
        <w:tblLayout w:type="fixed"/>
        <w:tblCellMar>
          <w:top w:w="0" w:type="dxa"/>
          <w:left w:w="108" w:type="dxa"/>
          <w:bottom w:w="0" w:type="dxa"/>
          <w:right w:w="108" w:type="dxa"/>
        </w:tblCellMar>
      </w:tblPr>
      <w:tblGrid>
        <w:gridCol w:w="9432"/>
      </w:tblGrid>
      <w:tr w14:paraId="32E7C2AF">
        <w:tblPrEx>
          <w:tblCellMar>
            <w:top w:w="0" w:type="dxa"/>
            <w:left w:w="108" w:type="dxa"/>
            <w:bottom w:w="0" w:type="dxa"/>
            <w:right w:w="108" w:type="dxa"/>
          </w:tblCellMar>
        </w:tblPrEx>
        <w:trPr>
          <w:cantSplit/>
          <w:jc w:val="center"/>
        </w:trPr>
        <w:tc>
          <w:tcPr>
            <w:tcW w:w="9432" w:type="dxa"/>
            <w:tcBorders>
              <w:top w:val="single" w:color="B7C7E6" w:sz="6" w:space="0"/>
              <w:left w:val="single" w:color="B7C7E6" w:sz="6" w:space="0"/>
              <w:bottom w:val="single" w:color="B7C7E6" w:sz="6" w:space="0"/>
              <w:right w:val="single" w:color="B7C7E6" w:sz="6" w:space="0"/>
            </w:tcBorders>
            <w:shd w:val="clear" w:color="auto" w:fill="F9FBFE"/>
          </w:tcPr>
          <w:p w14:paraId="6977C5AF">
            <w:pPr>
              <w:spacing w:before="0" w:after="0" w:line="20" w:lineRule="exact"/>
              <w:rPr>
                <w:rFonts w:hint="eastAsia"/>
              </w:rPr>
            </w:pPr>
          </w:p>
          <w:tbl>
            <w:tblPr>
              <w:tblStyle w:val="12"/>
              <w:tblW w:w="9200" w:type="dxa"/>
              <w:tblInd w:w="0" w:type="dxa"/>
              <w:tblLayout w:type="fixed"/>
              <w:tblCellMar>
                <w:top w:w="30" w:type="dxa"/>
                <w:left w:w="70" w:type="dxa"/>
                <w:bottom w:w="30" w:type="dxa"/>
                <w:right w:w="70" w:type="dxa"/>
              </w:tblCellMar>
            </w:tblPr>
            <w:tblGrid>
              <w:gridCol w:w="3400"/>
              <w:gridCol w:w="2000"/>
              <w:gridCol w:w="3800"/>
            </w:tblGrid>
            <w:tr w14:paraId="1E223764">
              <w:tblPrEx>
                <w:tblCellMar>
                  <w:top w:w="30" w:type="dxa"/>
                  <w:left w:w="70" w:type="dxa"/>
                  <w:bottom w:w="30" w:type="dxa"/>
                  <w:right w:w="70" w:type="dxa"/>
                </w:tblCellMar>
              </w:tblPrEx>
              <w:trPr>
                <w:cantSplit/>
                <w:tblHeader/>
              </w:trPr>
              <w:tc>
                <w:tcPr>
                  <w:tcW w:w="3400" w:type="dxa"/>
                  <w:tcBorders>
                    <w:top w:val="single" w:color="B7C7E6" w:sz="4" w:space="0"/>
                    <w:left w:val="single" w:color="B7C7E6" w:sz="4" w:space="0"/>
                    <w:bottom w:val="single" w:color="B7C7E6" w:sz="4" w:space="0"/>
                    <w:right w:val="single" w:color="B7C7E6" w:sz="4" w:space="0"/>
                  </w:tcBorders>
                  <w:shd w:val="clear" w:color="auto" w:fill="EAF1FB"/>
                </w:tcPr>
                <w:p w14:paraId="331AE9DD">
                  <w:pPr>
                    <w:spacing w:before="0" w:after="0"/>
                  </w:pPr>
                  <w:r>
                    <w:rPr>
                      <w:b/>
                      <w:color w:val="163B82"/>
                      <w:sz w:val="16"/>
                    </w:rPr>
                    <w:t>Task</w:t>
                  </w:r>
                </w:p>
              </w:tc>
              <w:tc>
                <w:tcPr>
                  <w:tcW w:w="2000" w:type="dxa"/>
                  <w:tcBorders>
                    <w:top w:val="single" w:color="B7C7E6" w:sz="4" w:space="0"/>
                    <w:left w:val="single" w:color="B7C7E6" w:sz="4" w:space="0"/>
                    <w:bottom w:val="single" w:color="B7C7E6" w:sz="4" w:space="0"/>
                    <w:right w:val="single" w:color="B7C7E6" w:sz="4" w:space="0"/>
                  </w:tcBorders>
                  <w:shd w:val="clear" w:color="auto" w:fill="EAF1FB"/>
                </w:tcPr>
                <w:p w14:paraId="4157F960">
                  <w:pPr>
                    <w:spacing w:before="0" w:after="0"/>
                  </w:pPr>
                  <w:r>
                    <w:rPr>
                      <w:b/>
                      <w:color w:val="163B82"/>
                      <w:sz w:val="16"/>
                    </w:rPr>
                    <w:t>Class</w:t>
                  </w:r>
                </w:p>
              </w:tc>
              <w:tc>
                <w:tcPr>
                  <w:tcW w:w="3800" w:type="dxa"/>
                  <w:tcBorders>
                    <w:top w:val="single" w:color="B7C7E6" w:sz="4" w:space="0"/>
                    <w:left w:val="single" w:color="B7C7E6" w:sz="4" w:space="0"/>
                    <w:bottom w:val="single" w:color="B7C7E6" w:sz="4" w:space="0"/>
                    <w:right w:val="single" w:color="B7C7E6" w:sz="4" w:space="0"/>
                  </w:tcBorders>
                  <w:shd w:val="clear" w:color="auto" w:fill="EAF1FB"/>
                </w:tcPr>
                <w:p w14:paraId="7CDACBE2">
                  <w:pPr>
                    <w:spacing w:before="0" w:after="0"/>
                  </w:pPr>
                  <w:r>
                    <w:rPr>
                      <w:b/>
                      <w:color w:val="163B82"/>
                      <w:sz w:val="16"/>
                    </w:rPr>
                    <w:t>Reason</w:t>
                  </w:r>
                </w:p>
              </w:tc>
            </w:tr>
            <w:tr w14:paraId="474222D6">
              <w:tblPrEx>
                <w:tblCellMar>
                  <w:top w:w="30" w:type="dxa"/>
                  <w:left w:w="70" w:type="dxa"/>
                  <w:bottom w:w="30" w:type="dxa"/>
                  <w:right w:w="70" w:type="dxa"/>
                </w:tblCellMar>
              </w:tblPrEx>
              <w:trPr>
                <w:cantSplit/>
              </w:trPr>
              <w:tc>
                <w:tcPr>
                  <w:tcW w:w="3400" w:type="dxa"/>
                  <w:tcBorders>
                    <w:top w:val="single" w:color="B7C7E6" w:sz="4" w:space="0"/>
                    <w:left w:val="single" w:color="B7C7E6" w:sz="4" w:space="0"/>
                    <w:bottom w:val="single" w:color="B7C7E6" w:sz="4" w:space="0"/>
                    <w:right w:val="single" w:color="B7C7E6" w:sz="4" w:space="0"/>
                  </w:tcBorders>
                </w:tcPr>
                <w:p w14:paraId="797E0A30">
                  <w:pPr>
                    <w:spacing w:before="0" w:after="0"/>
                  </w:pPr>
                  <w:r>
                    <w:rPr>
                      <w:b w:val="0"/>
                      <w:color w:val="1F2937"/>
                      <w:sz w:val="16"/>
                    </w:rPr>
                    <w:t>(a) Forecast churn probability</w:t>
                  </w:r>
                </w:p>
              </w:tc>
              <w:tc>
                <w:tcPr>
                  <w:tcW w:w="2000" w:type="dxa"/>
                  <w:tcBorders>
                    <w:top w:val="single" w:color="B7C7E6" w:sz="4" w:space="0"/>
                    <w:left w:val="single" w:color="B7C7E6" w:sz="4" w:space="0"/>
                    <w:bottom w:val="single" w:color="B7C7E6" w:sz="4" w:space="0"/>
                    <w:right w:val="single" w:color="B7C7E6" w:sz="4" w:space="0"/>
                  </w:tcBorders>
                </w:tcPr>
                <w:p w14:paraId="4C91CC47">
                  <w:pPr>
                    <w:spacing w:before="0" w:after="0"/>
                  </w:pPr>
                  <w:r>
                    <w:rPr>
                      <w:b/>
                      <w:color w:val="1F2937"/>
                      <w:sz w:val="16"/>
                    </w:rPr>
                    <w:t>Prediction</w:t>
                  </w:r>
                </w:p>
              </w:tc>
              <w:tc>
                <w:tcPr>
                  <w:tcW w:w="3800" w:type="dxa"/>
                  <w:tcBorders>
                    <w:top w:val="single" w:color="B7C7E6" w:sz="4" w:space="0"/>
                    <w:left w:val="single" w:color="B7C7E6" w:sz="4" w:space="0"/>
                    <w:bottom w:val="single" w:color="B7C7E6" w:sz="4" w:space="0"/>
                    <w:right w:val="single" w:color="B7C7E6" w:sz="4" w:space="0"/>
                  </w:tcBorders>
                </w:tcPr>
                <w:p w14:paraId="412FD20D">
                  <w:pPr>
                    <w:spacing w:before="0" w:after="0"/>
                  </w:pPr>
                  <w:r>
                    <w:rPr>
                      <w:b w:val="0"/>
                      <w:color w:val="1F2937"/>
                      <w:sz w:val="16"/>
                    </w:rPr>
                    <w:t>Estimates an unknown outcome or value from historical patterns.</w:t>
                  </w:r>
                </w:p>
              </w:tc>
            </w:tr>
            <w:tr w14:paraId="3A9ED39A">
              <w:tblPrEx>
                <w:tblCellMar>
                  <w:top w:w="30" w:type="dxa"/>
                  <w:left w:w="70" w:type="dxa"/>
                  <w:bottom w:w="30" w:type="dxa"/>
                  <w:right w:w="70" w:type="dxa"/>
                </w:tblCellMar>
              </w:tblPrEx>
              <w:trPr>
                <w:cantSplit/>
              </w:trPr>
              <w:tc>
                <w:tcPr>
                  <w:tcW w:w="3400" w:type="dxa"/>
                  <w:tcBorders>
                    <w:top w:val="single" w:color="B7C7E6" w:sz="4" w:space="0"/>
                    <w:left w:val="single" w:color="B7C7E6" w:sz="4" w:space="0"/>
                    <w:bottom w:val="single" w:color="B7C7E6" w:sz="4" w:space="0"/>
                    <w:right w:val="single" w:color="B7C7E6" w:sz="4" w:space="0"/>
                  </w:tcBorders>
                </w:tcPr>
                <w:p w14:paraId="0A9566DF">
                  <w:pPr>
                    <w:spacing w:before="0" w:after="0"/>
                  </w:pPr>
                  <w:r>
                    <w:rPr>
                      <w:b w:val="0"/>
                      <w:color w:val="1F2937"/>
                      <w:sz w:val="16"/>
                    </w:rPr>
                    <w:t>(b) Find policy passages relevant to a question</w:t>
                  </w:r>
                </w:p>
              </w:tc>
              <w:tc>
                <w:tcPr>
                  <w:tcW w:w="2000" w:type="dxa"/>
                  <w:tcBorders>
                    <w:top w:val="single" w:color="B7C7E6" w:sz="4" w:space="0"/>
                    <w:left w:val="single" w:color="B7C7E6" w:sz="4" w:space="0"/>
                    <w:bottom w:val="single" w:color="B7C7E6" w:sz="4" w:space="0"/>
                    <w:right w:val="single" w:color="B7C7E6" w:sz="4" w:space="0"/>
                  </w:tcBorders>
                </w:tcPr>
                <w:p w14:paraId="46D6219F">
                  <w:pPr>
                    <w:spacing w:before="0" w:after="0"/>
                  </w:pPr>
                  <w:r>
                    <w:rPr>
                      <w:b/>
                      <w:color w:val="1F2937"/>
                      <w:sz w:val="16"/>
                    </w:rPr>
                    <w:t>Retrieval</w:t>
                  </w:r>
                </w:p>
              </w:tc>
              <w:tc>
                <w:tcPr>
                  <w:tcW w:w="3800" w:type="dxa"/>
                  <w:tcBorders>
                    <w:top w:val="single" w:color="B7C7E6" w:sz="4" w:space="0"/>
                    <w:left w:val="single" w:color="B7C7E6" w:sz="4" w:space="0"/>
                    <w:bottom w:val="single" w:color="B7C7E6" w:sz="4" w:space="0"/>
                    <w:right w:val="single" w:color="B7C7E6" w:sz="4" w:space="0"/>
                  </w:tcBorders>
                </w:tcPr>
                <w:p w14:paraId="02BCB1FF">
                  <w:pPr>
                    <w:spacing w:before="0" w:after="0"/>
                  </w:pPr>
                  <w:r>
                    <w:rPr>
                      <w:b w:val="0"/>
                      <w:color w:val="1F2937"/>
                      <w:sz w:val="16"/>
                    </w:rPr>
                    <w:t>Locates existing information; nothing new is written.</w:t>
                  </w:r>
                </w:p>
              </w:tc>
            </w:tr>
            <w:tr w14:paraId="7661DFCA">
              <w:tblPrEx>
                <w:tblCellMar>
                  <w:top w:w="30" w:type="dxa"/>
                  <w:left w:w="70" w:type="dxa"/>
                  <w:bottom w:w="30" w:type="dxa"/>
                  <w:right w:w="70" w:type="dxa"/>
                </w:tblCellMar>
              </w:tblPrEx>
              <w:trPr>
                <w:cantSplit/>
              </w:trPr>
              <w:tc>
                <w:tcPr>
                  <w:tcW w:w="3400" w:type="dxa"/>
                  <w:tcBorders>
                    <w:top w:val="single" w:color="B7C7E6" w:sz="4" w:space="0"/>
                    <w:left w:val="single" w:color="B7C7E6" w:sz="4" w:space="0"/>
                    <w:bottom w:val="single" w:color="B7C7E6" w:sz="4" w:space="0"/>
                    <w:right w:val="single" w:color="B7C7E6" w:sz="4" w:space="0"/>
                  </w:tcBorders>
                </w:tcPr>
                <w:p w14:paraId="501C5C88">
                  <w:pPr>
                    <w:spacing w:before="0" w:after="0"/>
                  </w:pPr>
                  <w:r>
                    <w:rPr>
                      <w:b w:val="0"/>
                      <w:color w:val="1F2937"/>
                      <w:sz w:val="16"/>
                    </w:rPr>
                    <w:t>(c) Write a source-grounded summary</w:t>
                  </w:r>
                </w:p>
              </w:tc>
              <w:tc>
                <w:tcPr>
                  <w:tcW w:w="2000" w:type="dxa"/>
                  <w:tcBorders>
                    <w:top w:val="single" w:color="B7C7E6" w:sz="4" w:space="0"/>
                    <w:left w:val="single" w:color="B7C7E6" w:sz="4" w:space="0"/>
                    <w:bottom w:val="single" w:color="B7C7E6" w:sz="4" w:space="0"/>
                    <w:right w:val="single" w:color="B7C7E6" w:sz="4" w:space="0"/>
                  </w:tcBorders>
                </w:tcPr>
                <w:p w14:paraId="70609543">
                  <w:pPr>
                    <w:spacing w:before="0" w:after="0"/>
                  </w:pPr>
                  <w:r>
                    <w:rPr>
                      <w:b/>
                      <w:color w:val="1F2937"/>
                      <w:sz w:val="16"/>
                    </w:rPr>
                    <w:t>Retrieval + Generation</w:t>
                  </w:r>
                </w:p>
              </w:tc>
              <w:tc>
                <w:tcPr>
                  <w:tcW w:w="3800" w:type="dxa"/>
                  <w:tcBorders>
                    <w:top w:val="single" w:color="B7C7E6" w:sz="4" w:space="0"/>
                    <w:left w:val="single" w:color="B7C7E6" w:sz="4" w:space="0"/>
                    <w:bottom w:val="single" w:color="B7C7E6" w:sz="4" w:space="0"/>
                    <w:right w:val="single" w:color="B7C7E6" w:sz="4" w:space="0"/>
                  </w:tcBorders>
                </w:tcPr>
                <w:p w14:paraId="0629AAFC">
                  <w:pPr>
                    <w:spacing w:before="0" w:after="0"/>
                  </w:pPr>
                  <w:r>
                    <w:rPr>
                      <w:b w:val="0"/>
                      <w:color w:val="1F2937"/>
                      <w:sz w:val="16"/>
                    </w:rPr>
                    <w:t>Sources are found or supplied (retrieval), then new text is composed from them (generation).</w:t>
                  </w:r>
                </w:p>
              </w:tc>
            </w:tr>
            <w:tr w14:paraId="21F50D41">
              <w:tblPrEx>
                <w:tblCellMar>
                  <w:top w:w="30" w:type="dxa"/>
                  <w:left w:w="70" w:type="dxa"/>
                  <w:bottom w:w="30" w:type="dxa"/>
                  <w:right w:w="70" w:type="dxa"/>
                </w:tblCellMar>
              </w:tblPrEx>
              <w:trPr>
                <w:cantSplit/>
              </w:trPr>
              <w:tc>
                <w:tcPr>
                  <w:tcW w:w="3400" w:type="dxa"/>
                  <w:tcBorders>
                    <w:top w:val="single" w:color="B7C7E6" w:sz="4" w:space="0"/>
                    <w:left w:val="single" w:color="B7C7E6" w:sz="4" w:space="0"/>
                    <w:bottom w:val="single" w:color="B7C7E6" w:sz="4" w:space="0"/>
                    <w:right w:val="single" w:color="B7C7E6" w:sz="4" w:space="0"/>
                  </w:tcBorders>
                </w:tcPr>
                <w:p w14:paraId="2C27F7CA">
                  <w:pPr>
                    <w:spacing w:before="0" w:after="0"/>
                  </w:pPr>
                  <w:r>
                    <w:rPr>
                      <w:b w:val="0"/>
                      <w:color w:val="1F2937"/>
                      <w:sz w:val="16"/>
                    </w:rPr>
                    <w:t>(d) Create a ticket through an API</w:t>
                  </w:r>
                </w:p>
              </w:tc>
              <w:tc>
                <w:tcPr>
                  <w:tcW w:w="2000" w:type="dxa"/>
                  <w:tcBorders>
                    <w:top w:val="single" w:color="B7C7E6" w:sz="4" w:space="0"/>
                    <w:left w:val="single" w:color="B7C7E6" w:sz="4" w:space="0"/>
                    <w:bottom w:val="single" w:color="B7C7E6" w:sz="4" w:space="0"/>
                    <w:right w:val="single" w:color="B7C7E6" w:sz="4" w:space="0"/>
                  </w:tcBorders>
                </w:tcPr>
                <w:p w14:paraId="2E35B9B7">
                  <w:pPr>
                    <w:spacing w:before="0" w:after="0"/>
                  </w:pPr>
                  <w:r>
                    <w:rPr>
                      <w:b/>
                      <w:color w:val="1F2937"/>
                      <w:sz w:val="16"/>
                    </w:rPr>
                    <w:t>Action / Automation</w:t>
                  </w:r>
                </w:p>
              </w:tc>
              <w:tc>
                <w:tcPr>
                  <w:tcW w:w="3800" w:type="dxa"/>
                  <w:tcBorders>
                    <w:top w:val="single" w:color="B7C7E6" w:sz="4" w:space="0"/>
                    <w:left w:val="single" w:color="B7C7E6" w:sz="4" w:space="0"/>
                    <w:bottom w:val="single" w:color="B7C7E6" w:sz="4" w:space="0"/>
                    <w:right w:val="single" w:color="B7C7E6" w:sz="4" w:space="0"/>
                  </w:tcBorders>
                </w:tcPr>
                <w:p w14:paraId="414B7A37">
                  <w:pPr>
                    <w:spacing w:before="0" w:after="0"/>
                  </w:pPr>
                  <w:r>
                    <w:rPr>
                      <w:b w:val="0"/>
                      <w:color w:val="1F2937"/>
                      <w:sz w:val="16"/>
                    </w:rPr>
                    <w:t>Causes a change in an external system.</w:t>
                  </w:r>
                </w:p>
              </w:tc>
            </w:tr>
            <w:tr w14:paraId="532D2BB5">
              <w:tblPrEx>
                <w:tblCellMar>
                  <w:top w:w="30" w:type="dxa"/>
                  <w:left w:w="70" w:type="dxa"/>
                  <w:bottom w:w="30" w:type="dxa"/>
                  <w:right w:w="70" w:type="dxa"/>
                </w:tblCellMar>
              </w:tblPrEx>
              <w:trPr>
                <w:cantSplit/>
              </w:trPr>
              <w:tc>
                <w:tcPr>
                  <w:tcW w:w="3400" w:type="dxa"/>
                  <w:tcBorders>
                    <w:top w:val="single" w:color="B7C7E6" w:sz="4" w:space="0"/>
                    <w:left w:val="single" w:color="B7C7E6" w:sz="4" w:space="0"/>
                    <w:bottom w:val="single" w:color="B7C7E6" w:sz="4" w:space="0"/>
                    <w:right w:val="single" w:color="B7C7E6" w:sz="4" w:space="0"/>
                  </w:tcBorders>
                </w:tcPr>
                <w:p w14:paraId="6EF6CC89">
                  <w:pPr>
                    <w:spacing w:before="0" w:after="0"/>
                  </w:pPr>
                  <w:r>
                    <w:rPr>
                      <w:b w:val="0"/>
                      <w:color w:val="1F2937"/>
                      <w:sz w:val="16"/>
                    </w:rPr>
                    <w:t>(e) Detect an abnormal log event, then retrieve similar incidents</w:t>
                  </w:r>
                </w:p>
              </w:tc>
              <w:tc>
                <w:tcPr>
                  <w:tcW w:w="2000" w:type="dxa"/>
                  <w:tcBorders>
                    <w:top w:val="single" w:color="B7C7E6" w:sz="4" w:space="0"/>
                    <w:left w:val="single" w:color="B7C7E6" w:sz="4" w:space="0"/>
                    <w:bottom w:val="single" w:color="B7C7E6" w:sz="4" w:space="0"/>
                    <w:right w:val="single" w:color="B7C7E6" w:sz="4" w:space="0"/>
                  </w:tcBorders>
                </w:tcPr>
                <w:p w14:paraId="32D75700">
                  <w:pPr>
                    <w:spacing w:before="0" w:after="0"/>
                  </w:pPr>
                  <w:r>
                    <w:rPr>
                      <w:b/>
                      <w:color w:val="1F2937"/>
                      <w:sz w:val="16"/>
                    </w:rPr>
                    <w:t>Prediction + Retrieval</w:t>
                  </w:r>
                </w:p>
              </w:tc>
              <w:tc>
                <w:tcPr>
                  <w:tcW w:w="3800" w:type="dxa"/>
                  <w:tcBorders>
                    <w:top w:val="single" w:color="B7C7E6" w:sz="4" w:space="0"/>
                    <w:left w:val="single" w:color="B7C7E6" w:sz="4" w:space="0"/>
                    <w:bottom w:val="single" w:color="B7C7E6" w:sz="4" w:space="0"/>
                    <w:right w:val="single" w:color="B7C7E6" w:sz="4" w:space="0"/>
                  </w:tcBorders>
                </w:tcPr>
                <w:p w14:paraId="36962C64">
                  <w:pPr>
                    <w:spacing w:before="0" w:after="0"/>
                  </w:pPr>
                  <w:r>
                    <w:rPr>
                      <w:b w:val="0"/>
                      <w:color w:val="1F2937"/>
                      <w:sz w:val="16"/>
                    </w:rPr>
                    <w:t>Anomaly detection is a prediction/classification step; finding similar incidents is retrieval. Combination.</w:t>
                  </w:r>
                </w:p>
              </w:tc>
            </w:tr>
          </w:tbl>
          <w:p w14:paraId="1AC610D5">
            <w:pPr>
              <w:spacing w:before="0" w:after="40" w:line="80" w:lineRule="exact"/>
            </w:pPr>
          </w:p>
        </w:tc>
      </w:tr>
    </w:tbl>
    <w:p w14:paraId="002493F0">
      <w:pPr>
        <w:spacing w:after="40"/>
        <w:rPr>
          <w:rFonts w:hint="eastAsia"/>
        </w:rPr>
      </w:pPr>
    </w:p>
    <w:tbl>
      <w:tblPr>
        <w:tblStyle w:val="12"/>
        <w:tblW w:w="0" w:type="auto"/>
        <w:jc w:val="center"/>
        <w:tblLayout w:type="fixed"/>
        <w:tblCellMar>
          <w:top w:w="0" w:type="dxa"/>
          <w:left w:w="108" w:type="dxa"/>
          <w:bottom w:w="0" w:type="dxa"/>
          <w:right w:w="108" w:type="dxa"/>
        </w:tblCellMar>
      </w:tblPr>
      <w:tblGrid>
        <w:gridCol w:w="4916"/>
        <w:gridCol w:w="4916"/>
      </w:tblGrid>
      <w:tr w14:paraId="0AAC1EAF">
        <w:tblPrEx>
          <w:tblCellMar>
            <w:top w:w="0" w:type="dxa"/>
            <w:left w:w="108" w:type="dxa"/>
            <w:bottom w:w="0" w:type="dxa"/>
            <w:right w:w="108" w:type="dxa"/>
          </w:tblCellMar>
        </w:tblPrEx>
        <w:trPr>
          <w:cantSplit/>
          <w:jc w:val="center"/>
        </w:trPr>
        <w:tc>
          <w:tcPr>
            <w:tcW w:w="4916" w:type="dxa"/>
            <w:tcBorders>
              <w:top w:val="single" w:color="D7E0EF" w:sz="4" w:space="0"/>
              <w:left w:val="single" w:color="D7E0EF" w:sz="4" w:space="0"/>
              <w:bottom w:val="single" w:color="D7E0EF" w:sz="4" w:space="0"/>
              <w:right w:val="single" w:color="D7E0EF" w:sz="4" w:space="0"/>
            </w:tcBorders>
            <w:shd w:val="clear" w:color="auto" w:fill="EAF1FB"/>
          </w:tcPr>
          <w:p w14:paraId="164C01EE">
            <w:pPr>
              <w:spacing w:after="0"/>
              <w:rPr>
                <w:rFonts w:hint="eastAsia"/>
              </w:rPr>
            </w:pPr>
            <w:r>
              <w:rPr>
                <w:b/>
                <w:color w:val="1F1F1F"/>
                <w:sz w:val="21"/>
              </w:rPr>
              <w:t>Q11. Rewrite this technology-first requirement as a capability-first requirement: “Use GPT + LangChain + Pinecone + agents to build our assistant.” Do not name a vendor, framework, or vector database.</w:t>
            </w:r>
          </w:p>
        </w:tc>
        <w:tc>
          <w:tcPr>
            <w:tcW w:w="4916" w:type="dxa"/>
            <w:tcBorders>
              <w:top w:val="single" w:color="D7E0EF" w:sz="4" w:space="0"/>
              <w:left w:val="single" w:color="D7E0EF" w:sz="4" w:space="0"/>
              <w:bottom w:val="single" w:color="D7E0EF" w:sz="4" w:space="0"/>
              <w:right w:val="single" w:color="D7E0EF" w:sz="4" w:space="0"/>
            </w:tcBorders>
            <w:shd w:val="clear" w:color="auto" w:fill="FFF6DD"/>
          </w:tcPr>
          <w:p w14:paraId="7CF2D396">
            <w:pPr>
              <w:spacing w:after="0"/>
              <w:jc w:val="center"/>
              <w:rPr>
                <w:rFonts w:hint="eastAsia"/>
              </w:rPr>
            </w:pPr>
            <w:r>
              <w:rPr>
                <w:b/>
                <w:color w:val="163B82"/>
                <w:sz w:val="18"/>
              </w:rPr>
              <w:t>3 marks</w:t>
            </w:r>
          </w:p>
        </w:tc>
      </w:tr>
    </w:tbl>
    <w:p w14:paraId="0821C890">
      <w:pPr>
        <w:spacing w:before="40" w:after="60"/>
        <w:rPr>
          <w:rFonts w:hint="eastAsia"/>
        </w:rPr>
      </w:pPr>
      <w:r>
        <w:rPr>
          <w:b/>
          <w:color w:val="F5A000"/>
          <w:sz w:val="17"/>
        </w:rPr>
        <w:t>Book reference: §3.9, p. 230</w:t>
      </w:r>
    </w:p>
    <w:tbl>
      <w:tblPr>
        <w:tblStyle w:val="12"/>
        <w:tblW w:w="0" w:type="auto"/>
        <w:jc w:val="center"/>
        <w:tblLayout w:type="fixed"/>
        <w:tblCellMar>
          <w:top w:w="0" w:type="dxa"/>
          <w:left w:w="108" w:type="dxa"/>
          <w:bottom w:w="0" w:type="dxa"/>
          <w:right w:w="108" w:type="dxa"/>
        </w:tblCellMar>
      </w:tblPr>
      <w:tblGrid>
        <w:gridCol w:w="9432"/>
      </w:tblGrid>
      <w:tr w14:paraId="1A64F264">
        <w:tblPrEx>
          <w:tblCellMar>
            <w:top w:w="0" w:type="dxa"/>
            <w:left w:w="108" w:type="dxa"/>
            <w:bottom w:w="0" w:type="dxa"/>
            <w:right w:w="108" w:type="dxa"/>
          </w:tblCellMar>
        </w:tblPrEx>
        <w:trPr>
          <w:cantSplit/>
          <w:jc w:val="center"/>
        </w:trPr>
        <w:tc>
          <w:tcPr>
            <w:tcW w:w="9432" w:type="dxa"/>
            <w:tcBorders>
              <w:top w:val="single" w:color="B7C7E6" w:sz="6" w:space="0"/>
              <w:left w:val="single" w:color="B7C7E6" w:sz="6" w:space="0"/>
              <w:bottom w:val="single" w:color="B7C7E6" w:sz="6" w:space="0"/>
              <w:right w:val="single" w:color="B7C7E6" w:sz="6" w:space="0"/>
            </w:tcBorders>
            <w:shd w:val="clear" w:color="auto" w:fill="F9FBFE"/>
          </w:tcPr>
          <w:p w14:paraId="1317FD81">
            <w:pPr>
              <w:spacing w:before="0" w:after="80"/>
              <w:rPr>
                <w:rFonts w:hint="eastAsia"/>
              </w:rPr>
            </w:pPr>
            <w:r>
              <w:rPr>
                <w:b/>
                <w:color w:val="1F2937"/>
                <w:sz w:val="18"/>
              </w:rPr>
              <w:t>Capability-first requirement (no vendor, framework or database named):</w:t>
            </w:r>
          </w:p>
          <w:p w14:paraId="3D801FAD">
            <w:pPr>
              <w:spacing w:before="0" w:after="80"/>
            </w:pPr>
            <w:r>
              <w:rPr>
                <w:b w:val="0"/>
                <w:color w:val="1F2937"/>
                <w:sz w:val="18"/>
              </w:rPr>
              <w:t>The system shall accept a natural-language question from a support agent, find the relevant passages in the approved and current company knowledge base (respecting access rights), and produce a short draft answer that is grounded in those passages and cites them. When the evidence is missing or weak, it shall say so and route the question to a human instead of guessing. It shall respond within an agreed time (e.g., 8 seconds for 95% of requests, Assumed), log each question, the sources used and the answer for audit, and be built so that the language model, the retrieval component and the orchestration can each be replaced. Any action in another system (such as creating a ticket) shall require explicit human confirmation.</w:t>
            </w:r>
          </w:p>
          <w:p w14:paraId="4D0B4175">
            <w:pPr>
              <w:spacing w:before="0" w:after="80"/>
            </w:pPr>
            <w:r>
              <w:rPr>
                <w:b w:val="0"/>
                <w:color w:val="1F2937"/>
                <w:sz w:val="18"/>
              </w:rPr>
              <w:t>Why this is better: it states what the system must do and how it will be judged, and leaves the choice of components to be justified later by the baseline and evaluation results.</w:t>
            </w:r>
          </w:p>
        </w:tc>
      </w:tr>
    </w:tbl>
    <w:p w14:paraId="2DB3A678">
      <w:pPr>
        <w:spacing w:after="40"/>
        <w:rPr>
          <w:rFonts w:hint="eastAsia"/>
        </w:rPr>
      </w:pPr>
    </w:p>
    <w:p w14:paraId="60060FA6">
      <w:pPr>
        <w:spacing w:before="160" w:after="100"/>
        <w:rPr>
          <w:rFonts w:hint="eastAsia"/>
        </w:rPr>
      </w:pPr>
      <w:r>
        <w:rPr>
          <w:b/>
          <w:color w:val="163B82"/>
          <w:sz w:val="30"/>
        </w:rPr>
        <w:t>Section C: MVP, Measurement, Acceptance and Risk (20 marks)</w:t>
      </w:r>
    </w:p>
    <w:p w14:paraId="63934D23">
      <w:pPr>
        <w:spacing w:after="120"/>
        <w:rPr>
          <w:rFonts w:hint="eastAsia"/>
        </w:rPr>
      </w:pPr>
      <w:r>
        <w:rPr>
          <w:i/>
          <w:color w:val="6B7280"/>
          <w:sz w:val="19"/>
        </w:rPr>
        <w:t>Focus: defining the smallest useful experiment and deciding how success will be judged.</w:t>
      </w:r>
    </w:p>
    <w:tbl>
      <w:tblPr>
        <w:tblStyle w:val="12"/>
        <w:tblW w:w="0" w:type="auto"/>
        <w:jc w:val="center"/>
        <w:tblLayout w:type="fixed"/>
        <w:tblCellMar>
          <w:top w:w="0" w:type="dxa"/>
          <w:left w:w="108" w:type="dxa"/>
          <w:bottom w:w="0" w:type="dxa"/>
          <w:right w:w="108" w:type="dxa"/>
        </w:tblCellMar>
      </w:tblPr>
      <w:tblGrid>
        <w:gridCol w:w="4916"/>
        <w:gridCol w:w="4916"/>
      </w:tblGrid>
      <w:tr w14:paraId="351ACBE8">
        <w:tblPrEx>
          <w:tblCellMar>
            <w:top w:w="0" w:type="dxa"/>
            <w:left w:w="108" w:type="dxa"/>
            <w:bottom w:w="0" w:type="dxa"/>
            <w:right w:w="108" w:type="dxa"/>
          </w:tblCellMar>
        </w:tblPrEx>
        <w:trPr>
          <w:cantSplit/>
          <w:jc w:val="center"/>
        </w:trPr>
        <w:tc>
          <w:tcPr>
            <w:tcW w:w="4916" w:type="dxa"/>
            <w:tcBorders>
              <w:top w:val="single" w:color="D7E0EF" w:sz="4" w:space="0"/>
              <w:left w:val="single" w:color="D7E0EF" w:sz="4" w:space="0"/>
              <w:bottom w:val="single" w:color="D7E0EF" w:sz="4" w:space="0"/>
              <w:right w:val="single" w:color="D7E0EF" w:sz="4" w:space="0"/>
            </w:tcBorders>
            <w:shd w:val="clear" w:color="auto" w:fill="EAF1FB"/>
          </w:tcPr>
          <w:p w14:paraId="25031EE5">
            <w:pPr>
              <w:spacing w:after="0"/>
              <w:rPr>
                <w:rFonts w:hint="eastAsia"/>
              </w:rPr>
            </w:pPr>
            <w:r>
              <w:rPr>
                <w:b/>
                <w:color w:val="1F1F1F"/>
                <w:sz w:val="21"/>
              </w:rPr>
              <w:t>Q12. Distinguish a technical experiment, prototype, MVP, and production system. Then write one Minimum Useful MVP statement for your selected track using: Given [input], the system should [core behavior], producing [output] for [target user].</w:t>
            </w:r>
          </w:p>
        </w:tc>
        <w:tc>
          <w:tcPr>
            <w:tcW w:w="4916" w:type="dxa"/>
            <w:tcBorders>
              <w:top w:val="single" w:color="D7E0EF" w:sz="4" w:space="0"/>
              <w:left w:val="single" w:color="D7E0EF" w:sz="4" w:space="0"/>
              <w:bottom w:val="single" w:color="D7E0EF" w:sz="4" w:space="0"/>
              <w:right w:val="single" w:color="D7E0EF" w:sz="4" w:space="0"/>
            </w:tcBorders>
            <w:shd w:val="clear" w:color="auto" w:fill="FFF6DD"/>
          </w:tcPr>
          <w:p w14:paraId="03C4EF3E">
            <w:pPr>
              <w:spacing w:after="0"/>
              <w:jc w:val="center"/>
              <w:rPr>
                <w:rFonts w:hint="eastAsia"/>
              </w:rPr>
            </w:pPr>
            <w:r>
              <w:rPr>
                <w:b/>
                <w:color w:val="163B82"/>
                <w:sz w:val="18"/>
              </w:rPr>
              <w:t>4 marks</w:t>
            </w:r>
          </w:p>
        </w:tc>
      </w:tr>
    </w:tbl>
    <w:p w14:paraId="600D4777">
      <w:pPr>
        <w:spacing w:before="40" w:after="60"/>
        <w:rPr>
          <w:rFonts w:hint="eastAsia"/>
        </w:rPr>
      </w:pPr>
      <w:r>
        <w:rPr>
          <w:b/>
          <w:color w:val="F5A000"/>
          <w:sz w:val="17"/>
        </w:rPr>
        <w:t>Book reference: §3.10, “Define the Minimum Useful MVP,” pp. 230–233</w:t>
      </w:r>
    </w:p>
    <w:tbl>
      <w:tblPr>
        <w:tblStyle w:val="12"/>
        <w:tblW w:w="0" w:type="auto"/>
        <w:jc w:val="center"/>
        <w:tblLayout w:type="fixed"/>
        <w:tblCellMar>
          <w:top w:w="0" w:type="dxa"/>
          <w:left w:w="108" w:type="dxa"/>
          <w:bottom w:w="0" w:type="dxa"/>
          <w:right w:w="108" w:type="dxa"/>
        </w:tblCellMar>
      </w:tblPr>
      <w:tblGrid>
        <w:gridCol w:w="9432"/>
      </w:tblGrid>
      <w:tr w14:paraId="35B602D0">
        <w:tblPrEx>
          <w:tblCellMar>
            <w:top w:w="0" w:type="dxa"/>
            <w:left w:w="108" w:type="dxa"/>
            <w:bottom w:w="0" w:type="dxa"/>
            <w:right w:w="108" w:type="dxa"/>
          </w:tblCellMar>
        </w:tblPrEx>
        <w:trPr>
          <w:cantSplit/>
          <w:jc w:val="center"/>
        </w:trPr>
        <w:tc>
          <w:tcPr>
            <w:tcW w:w="9432" w:type="dxa"/>
            <w:tcBorders>
              <w:top w:val="single" w:color="B7C7E6" w:sz="6" w:space="0"/>
              <w:left w:val="single" w:color="B7C7E6" w:sz="6" w:space="0"/>
              <w:bottom w:val="single" w:color="B7C7E6" w:sz="6" w:space="0"/>
              <w:right w:val="single" w:color="B7C7E6" w:sz="6" w:space="0"/>
            </w:tcBorders>
            <w:shd w:val="clear" w:color="auto" w:fill="F9FBFE"/>
          </w:tcPr>
          <w:p w14:paraId="787B854E">
            <w:pPr>
              <w:spacing w:before="0" w:after="0" w:line="20" w:lineRule="exact"/>
              <w:rPr>
                <w:rFonts w:hint="eastAsia"/>
              </w:rPr>
            </w:pPr>
          </w:p>
          <w:tbl>
            <w:tblPr>
              <w:tblStyle w:val="12"/>
              <w:tblW w:w="9200" w:type="dxa"/>
              <w:tblInd w:w="0" w:type="dxa"/>
              <w:tblLayout w:type="fixed"/>
              <w:tblCellMar>
                <w:top w:w="30" w:type="dxa"/>
                <w:left w:w="70" w:type="dxa"/>
                <w:bottom w:w="30" w:type="dxa"/>
                <w:right w:w="70" w:type="dxa"/>
              </w:tblCellMar>
            </w:tblPr>
            <w:tblGrid>
              <w:gridCol w:w="1900"/>
              <w:gridCol w:w="4700"/>
              <w:gridCol w:w="2600"/>
            </w:tblGrid>
            <w:tr w14:paraId="78840E07">
              <w:tblPrEx>
                <w:tblCellMar>
                  <w:top w:w="30" w:type="dxa"/>
                  <w:left w:w="70" w:type="dxa"/>
                  <w:bottom w:w="30" w:type="dxa"/>
                  <w:right w:w="70" w:type="dxa"/>
                </w:tblCellMar>
              </w:tblPrEx>
              <w:trPr>
                <w:cantSplit/>
                <w:tblHeader/>
              </w:trPr>
              <w:tc>
                <w:tcPr>
                  <w:tcW w:w="1900" w:type="dxa"/>
                  <w:tcBorders>
                    <w:top w:val="single" w:color="B7C7E6" w:sz="4" w:space="0"/>
                    <w:left w:val="single" w:color="B7C7E6" w:sz="4" w:space="0"/>
                    <w:bottom w:val="single" w:color="B7C7E6" w:sz="4" w:space="0"/>
                    <w:right w:val="single" w:color="B7C7E6" w:sz="4" w:space="0"/>
                  </w:tcBorders>
                  <w:shd w:val="clear" w:color="auto" w:fill="EAF1FB"/>
                </w:tcPr>
                <w:p w14:paraId="672D7EA7">
                  <w:pPr>
                    <w:spacing w:before="0" w:after="0"/>
                  </w:pPr>
                  <w:r>
                    <w:rPr>
                      <w:b/>
                      <w:color w:val="163B82"/>
                      <w:sz w:val="16"/>
                    </w:rPr>
                    <w:t>Stage</w:t>
                  </w:r>
                </w:p>
              </w:tc>
              <w:tc>
                <w:tcPr>
                  <w:tcW w:w="4700" w:type="dxa"/>
                  <w:tcBorders>
                    <w:top w:val="single" w:color="B7C7E6" w:sz="4" w:space="0"/>
                    <w:left w:val="single" w:color="B7C7E6" w:sz="4" w:space="0"/>
                    <w:bottom w:val="single" w:color="B7C7E6" w:sz="4" w:space="0"/>
                    <w:right w:val="single" w:color="B7C7E6" w:sz="4" w:space="0"/>
                  </w:tcBorders>
                  <w:shd w:val="clear" w:color="auto" w:fill="EAF1FB"/>
                </w:tcPr>
                <w:p w14:paraId="0CA25980">
                  <w:pPr>
                    <w:spacing w:before="0" w:after="0"/>
                  </w:pPr>
                  <w:r>
                    <w:rPr>
                      <w:b/>
                      <w:color w:val="163B82"/>
                      <w:sz w:val="16"/>
                    </w:rPr>
                    <w:t>Purpose and audience</w:t>
                  </w:r>
                </w:p>
              </w:tc>
              <w:tc>
                <w:tcPr>
                  <w:tcW w:w="2600" w:type="dxa"/>
                  <w:tcBorders>
                    <w:top w:val="single" w:color="B7C7E6" w:sz="4" w:space="0"/>
                    <w:left w:val="single" w:color="B7C7E6" w:sz="4" w:space="0"/>
                    <w:bottom w:val="single" w:color="B7C7E6" w:sz="4" w:space="0"/>
                    <w:right w:val="single" w:color="B7C7E6" w:sz="4" w:space="0"/>
                  </w:tcBorders>
                  <w:shd w:val="clear" w:color="auto" w:fill="EAF1FB"/>
                </w:tcPr>
                <w:p w14:paraId="1FF48E68">
                  <w:pPr>
                    <w:spacing w:before="0" w:after="0"/>
                  </w:pPr>
                  <w:r>
                    <w:rPr>
                      <w:b/>
                      <w:color w:val="163B82"/>
                      <w:sz w:val="16"/>
                    </w:rPr>
                    <w:t>Typical state</w:t>
                  </w:r>
                </w:p>
              </w:tc>
            </w:tr>
            <w:tr w14:paraId="26DFD113">
              <w:tblPrEx>
                <w:tblCellMar>
                  <w:top w:w="30" w:type="dxa"/>
                  <w:left w:w="70" w:type="dxa"/>
                  <w:bottom w:w="30" w:type="dxa"/>
                  <w:right w:w="70" w:type="dxa"/>
                </w:tblCellMar>
              </w:tblPrEx>
              <w:trPr>
                <w:cantSplit/>
              </w:trPr>
              <w:tc>
                <w:tcPr>
                  <w:tcW w:w="1900" w:type="dxa"/>
                  <w:tcBorders>
                    <w:top w:val="single" w:color="B7C7E6" w:sz="4" w:space="0"/>
                    <w:left w:val="single" w:color="B7C7E6" w:sz="4" w:space="0"/>
                    <w:bottom w:val="single" w:color="B7C7E6" w:sz="4" w:space="0"/>
                    <w:right w:val="single" w:color="B7C7E6" w:sz="4" w:space="0"/>
                  </w:tcBorders>
                </w:tcPr>
                <w:p w14:paraId="3B8F9AF6">
                  <w:pPr>
                    <w:spacing w:before="0" w:after="0"/>
                  </w:pPr>
                  <w:r>
                    <w:rPr>
                      <w:b/>
                      <w:color w:val="1F2937"/>
                      <w:sz w:val="16"/>
                    </w:rPr>
                    <w:t>Technical experiment</w:t>
                  </w:r>
                </w:p>
              </w:tc>
              <w:tc>
                <w:tcPr>
                  <w:tcW w:w="4700" w:type="dxa"/>
                  <w:tcBorders>
                    <w:top w:val="single" w:color="B7C7E6" w:sz="4" w:space="0"/>
                    <w:left w:val="single" w:color="B7C7E6" w:sz="4" w:space="0"/>
                    <w:bottom w:val="single" w:color="B7C7E6" w:sz="4" w:space="0"/>
                    <w:right w:val="single" w:color="B7C7E6" w:sz="4" w:space="0"/>
                  </w:tcBorders>
                </w:tcPr>
                <w:p w14:paraId="66A42F6F">
                  <w:pPr>
                    <w:spacing w:before="0" w:after="0"/>
                  </w:pPr>
                  <w:r>
                    <w:rPr>
                      <w:b w:val="0"/>
                      <w:color w:val="1F2937"/>
                      <w:sz w:val="16"/>
                    </w:rPr>
                    <w:t>Answers one technical question (e.g., can retrieval find the right passage for 20 sample questions?). Audience: the engineer.</w:t>
                  </w:r>
                </w:p>
              </w:tc>
              <w:tc>
                <w:tcPr>
                  <w:tcW w:w="2600" w:type="dxa"/>
                  <w:tcBorders>
                    <w:top w:val="single" w:color="B7C7E6" w:sz="4" w:space="0"/>
                    <w:left w:val="single" w:color="B7C7E6" w:sz="4" w:space="0"/>
                    <w:bottom w:val="single" w:color="B7C7E6" w:sz="4" w:space="0"/>
                    <w:right w:val="single" w:color="B7C7E6" w:sz="4" w:space="0"/>
                  </w:tcBorders>
                </w:tcPr>
                <w:p w14:paraId="27529D72">
                  <w:pPr>
                    <w:spacing w:before="0" w:after="0"/>
                  </w:pPr>
                  <w:r>
                    <w:rPr>
                      <w:b w:val="0"/>
                      <w:color w:val="1F2937"/>
                      <w:sz w:val="16"/>
                    </w:rPr>
                    <w:t>Throw-away code, no real users.</w:t>
                  </w:r>
                </w:p>
              </w:tc>
            </w:tr>
            <w:tr w14:paraId="1FA2EF23">
              <w:tblPrEx>
                <w:tblCellMar>
                  <w:top w:w="30" w:type="dxa"/>
                  <w:left w:w="70" w:type="dxa"/>
                  <w:bottom w:w="30" w:type="dxa"/>
                  <w:right w:w="70" w:type="dxa"/>
                </w:tblCellMar>
              </w:tblPrEx>
              <w:trPr>
                <w:cantSplit/>
              </w:trPr>
              <w:tc>
                <w:tcPr>
                  <w:tcW w:w="1900" w:type="dxa"/>
                  <w:tcBorders>
                    <w:top w:val="single" w:color="B7C7E6" w:sz="4" w:space="0"/>
                    <w:left w:val="single" w:color="B7C7E6" w:sz="4" w:space="0"/>
                    <w:bottom w:val="single" w:color="B7C7E6" w:sz="4" w:space="0"/>
                    <w:right w:val="single" w:color="B7C7E6" w:sz="4" w:space="0"/>
                  </w:tcBorders>
                </w:tcPr>
                <w:p w14:paraId="77DE25D3">
                  <w:pPr>
                    <w:spacing w:before="0" w:after="0"/>
                  </w:pPr>
                  <w:r>
                    <w:rPr>
                      <w:b/>
                      <w:color w:val="1F2937"/>
                      <w:sz w:val="16"/>
                    </w:rPr>
                    <w:t>Prototype</w:t>
                  </w:r>
                </w:p>
              </w:tc>
              <w:tc>
                <w:tcPr>
                  <w:tcW w:w="4700" w:type="dxa"/>
                  <w:tcBorders>
                    <w:top w:val="single" w:color="B7C7E6" w:sz="4" w:space="0"/>
                    <w:left w:val="single" w:color="B7C7E6" w:sz="4" w:space="0"/>
                    <w:bottom w:val="single" w:color="B7C7E6" w:sz="4" w:space="0"/>
                    <w:right w:val="single" w:color="B7C7E6" w:sz="4" w:space="0"/>
                  </w:tcBorders>
                </w:tcPr>
                <w:p w14:paraId="47593E67">
                  <w:pPr>
                    <w:spacing w:before="0" w:after="0"/>
                  </w:pPr>
                  <w:r>
                    <w:rPr>
                      <w:b w:val="0"/>
                      <w:color w:val="1F2937"/>
                      <w:sz w:val="16"/>
                    </w:rPr>
                    <w:t>Shows the concept and interaction to collect feedback. Audience: stakeholders and a few users.</w:t>
                  </w:r>
                </w:p>
              </w:tc>
              <w:tc>
                <w:tcPr>
                  <w:tcW w:w="2600" w:type="dxa"/>
                  <w:tcBorders>
                    <w:top w:val="single" w:color="B7C7E6" w:sz="4" w:space="0"/>
                    <w:left w:val="single" w:color="B7C7E6" w:sz="4" w:space="0"/>
                    <w:bottom w:val="single" w:color="B7C7E6" w:sz="4" w:space="0"/>
                    <w:right w:val="single" w:color="B7C7E6" w:sz="4" w:space="0"/>
                  </w:tcBorders>
                </w:tcPr>
                <w:p w14:paraId="75B77CE3">
                  <w:pPr>
                    <w:spacing w:before="0" w:after="0"/>
                  </w:pPr>
                  <w:r>
                    <w:rPr>
                      <w:b w:val="0"/>
                      <w:color w:val="1F2937"/>
                      <w:sz w:val="16"/>
                    </w:rPr>
                    <w:t>Partial or hard-coded, unreliable, not measured against a baseline.</w:t>
                  </w:r>
                </w:p>
              </w:tc>
            </w:tr>
            <w:tr w14:paraId="6F36F084">
              <w:tblPrEx>
                <w:tblCellMar>
                  <w:top w:w="30" w:type="dxa"/>
                  <w:left w:w="70" w:type="dxa"/>
                  <w:bottom w:w="30" w:type="dxa"/>
                  <w:right w:w="70" w:type="dxa"/>
                </w:tblCellMar>
              </w:tblPrEx>
              <w:trPr>
                <w:cantSplit/>
              </w:trPr>
              <w:tc>
                <w:tcPr>
                  <w:tcW w:w="1900" w:type="dxa"/>
                  <w:tcBorders>
                    <w:top w:val="single" w:color="B7C7E6" w:sz="4" w:space="0"/>
                    <w:left w:val="single" w:color="B7C7E6" w:sz="4" w:space="0"/>
                    <w:bottom w:val="single" w:color="B7C7E6" w:sz="4" w:space="0"/>
                    <w:right w:val="single" w:color="B7C7E6" w:sz="4" w:space="0"/>
                  </w:tcBorders>
                </w:tcPr>
                <w:p w14:paraId="47378163">
                  <w:pPr>
                    <w:spacing w:before="0" w:after="0"/>
                  </w:pPr>
                  <w:r>
                    <w:rPr>
                      <w:b/>
                      <w:color w:val="1F2937"/>
                      <w:sz w:val="16"/>
                    </w:rPr>
                    <w:t>MVP</w:t>
                  </w:r>
                </w:p>
              </w:tc>
              <w:tc>
                <w:tcPr>
                  <w:tcW w:w="4700" w:type="dxa"/>
                  <w:tcBorders>
                    <w:top w:val="single" w:color="B7C7E6" w:sz="4" w:space="0"/>
                    <w:left w:val="single" w:color="B7C7E6" w:sz="4" w:space="0"/>
                    <w:bottom w:val="single" w:color="B7C7E6" w:sz="4" w:space="0"/>
                    <w:right w:val="single" w:color="B7C7E6" w:sz="4" w:space="0"/>
                  </w:tcBorders>
                </w:tcPr>
                <w:p w14:paraId="4E1AD2CC">
                  <w:pPr>
                    <w:spacing w:before="0" w:after="0"/>
                  </w:pPr>
                  <w:r>
                    <w:rPr>
                      <w:b w:val="0"/>
                      <w:color w:val="1F2937"/>
                      <w:sz w:val="16"/>
                    </w:rPr>
                    <w:t>Smallest end-to-end behavior that real target users can use for a real task, with success criteria and known limits.</w:t>
                  </w:r>
                </w:p>
              </w:tc>
              <w:tc>
                <w:tcPr>
                  <w:tcW w:w="2600" w:type="dxa"/>
                  <w:tcBorders>
                    <w:top w:val="single" w:color="B7C7E6" w:sz="4" w:space="0"/>
                    <w:left w:val="single" w:color="B7C7E6" w:sz="4" w:space="0"/>
                    <w:bottom w:val="single" w:color="B7C7E6" w:sz="4" w:space="0"/>
                    <w:right w:val="single" w:color="B7C7E6" w:sz="4" w:space="0"/>
                  </w:tcBorders>
                </w:tcPr>
                <w:p w14:paraId="278FCC71">
                  <w:pPr>
                    <w:spacing w:before="0" w:after="0"/>
                  </w:pPr>
                  <w:r>
                    <w:rPr>
                      <w:b w:val="0"/>
                      <w:color w:val="1F2937"/>
                      <w:sz w:val="16"/>
                    </w:rPr>
                    <w:t>Works for a narrow scope, measured, human-supervised.</w:t>
                  </w:r>
                </w:p>
              </w:tc>
            </w:tr>
            <w:tr w14:paraId="2B910251">
              <w:tblPrEx>
                <w:tblCellMar>
                  <w:top w:w="30" w:type="dxa"/>
                  <w:left w:w="70" w:type="dxa"/>
                  <w:bottom w:w="30" w:type="dxa"/>
                  <w:right w:w="70" w:type="dxa"/>
                </w:tblCellMar>
              </w:tblPrEx>
              <w:trPr>
                <w:cantSplit/>
              </w:trPr>
              <w:tc>
                <w:tcPr>
                  <w:tcW w:w="1900" w:type="dxa"/>
                  <w:tcBorders>
                    <w:top w:val="single" w:color="B7C7E6" w:sz="4" w:space="0"/>
                    <w:left w:val="single" w:color="B7C7E6" w:sz="4" w:space="0"/>
                    <w:bottom w:val="single" w:color="B7C7E6" w:sz="4" w:space="0"/>
                    <w:right w:val="single" w:color="B7C7E6" w:sz="4" w:space="0"/>
                  </w:tcBorders>
                </w:tcPr>
                <w:p w14:paraId="07ECF1D2">
                  <w:pPr>
                    <w:spacing w:before="0" w:after="0"/>
                  </w:pPr>
                  <w:r>
                    <w:rPr>
                      <w:b/>
                      <w:color w:val="1F2937"/>
                      <w:sz w:val="16"/>
                    </w:rPr>
                    <w:t>Production system</w:t>
                  </w:r>
                </w:p>
              </w:tc>
              <w:tc>
                <w:tcPr>
                  <w:tcW w:w="4700" w:type="dxa"/>
                  <w:tcBorders>
                    <w:top w:val="single" w:color="B7C7E6" w:sz="4" w:space="0"/>
                    <w:left w:val="single" w:color="B7C7E6" w:sz="4" w:space="0"/>
                    <w:bottom w:val="single" w:color="B7C7E6" w:sz="4" w:space="0"/>
                    <w:right w:val="single" w:color="B7C7E6" w:sz="4" w:space="0"/>
                  </w:tcBorders>
                </w:tcPr>
                <w:p w14:paraId="053D063F">
                  <w:pPr>
                    <w:spacing w:before="0" w:after="0"/>
                  </w:pPr>
                  <w:r>
                    <w:rPr>
                      <w:b w:val="0"/>
                      <w:color w:val="1F2937"/>
                      <w:sz w:val="16"/>
                    </w:rPr>
                    <w:t>Runs the service for the organisation continuously.</w:t>
                  </w:r>
                </w:p>
              </w:tc>
              <w:tc>
                <w:tcPr>
                  <w:tcW w:w="2600" w:type="dxa"/>
                  <w:tcBorders>
                    <w:top w:val="single" w:color="B7C7E6" w:sz="4" w:space="0"/>
                    <w:left w:val="single" w:color="B7C7E6" w:sz="4" w:space="0"/>
                    <w:bottom w:val="single" w:color="B7C7E6" w:sz="4" w:space="0"/>
                    <w:right w:val="single" w:color="B7C7E6" w:sz="4" w:space="0"/>
                  </w:tcBorders>
                </w:tcPr>
                <w:p w14:paraId="37C83E00">
                  <w:pPr>
                    <w:spacing w:before="0" w:after="0"/>
                  </w:pPr>
                  <w:r>
                    <w:rPr>
                      <w:b w:val="0"/>
                      <w:color w:val="1F2937"/>
                      <w:sz w:val="16"/>
                    </w:rPr>
                    <w:t>Secure, monitored, scalable, maintained, with support, governance and rollback.</w:t>
                  </w:r>
                </w:p>
              </w:tc>
            </w:tr>
          </w:tbl>
          <w:p w14:paraId="681F62FF">
            <w:pPr>
              <w:spacing w:before="0" w:after="40" w:line="80" w:lineRule="exact"/>
            </w:pPr>
          </w:p>
          <w:p w14:paraId="0733037C">
            <w:pPr>
              <w:spacing w:before="0" w:after="80"/>
            </w:pPr>
            <w:r>
              <w:rPr>
                <w:b/>
                <w:color w:val="1F2937"/>
                <w:sz w:val="18"/>
              </w:rPr>
              <w:t>Minimum Useful MVP statement (Customer Support Assistant):</w:t>
            </w:r>
            <w:r>
              <w:rPr>
                <w:b w:val="0"/>
                <w:color w:val="1F2937"/>
                <w:sz w:val="18"/>
              </w:rPr>
              <w:t xml:space="preserve"> Given a </w:t>
            </w:r>
            <w:r>
              <w:rPr>
                <w:b/>
                <w:color w:val="1F2937"/>
                <w:sz w:val="18"/>
              </w:rPr>
              <w:t>Tier-1 agent’s natural-language question about return, shipping or warranty policy</w:t>
            </w:r>
            <w:r>
              <w:rPr>
                <w:b w:val="0"/>
                <w:color w:val="1F2937"/>
                <w:sz w:val="18"/>
              </w:rPr>
              <w:t xml:space="preserve"> (one product area, one language), the system should </w:t>
            </w:r>
            <w:r>
              <w:rPr>
                <w:b/>
                <w:color w:val="1F2937"/>
                <w:sz w:val="18"/>
              </w:rPr>
              <w:t>retrieve the relevant passages from the approved policy and FAQ documents and draft a short answer that cites them, or say it cannot answer when the evidence is insufficient</w:t>
            </w:r>
            <w:r>
              <w:rPr>
                <w:b w:val="0"/>
                <w:color w:val="1F2937"/>
                <w:sz w:val="18"/>
              </w:rPr>
              <w:t xml:space="preserve">, producing </w:t>
            </w:r>
            <w:r>
              <w:rPr>
                <w:b/>
                <w:color w:val="1F2937"/>
                <w:sz w:val="18"/>
              </w:rPr>
              <w:t>a cited draft reply for the Tier-1 support agent to review and send</w:t>
            </w:r>
            <w:r>
              <w:rPr>
                <w:b w:val="0"/>
                <w:color w:val="1F2937"/>
                <w:sz w:val="18"/>
              </w:rPr>
              <w:t>.</w:t>
            </w:r>
          </w:p>
        </w:tc>
      </w:tr>
    </w:tbl>
    <w:p w14:paraId="2296BA9C">
      <w:pPr>
        <w:spacing w:after="40"/>
        <w:rPr>
          <w:rFonts w:hint="eastAsia"/>
        </w:rPr>
      </w:pPr>
    </w:p>
    <w:tbl>
      <w:tblPr>
        <w:tblStyle w:val="12"/>
        <w:tblW w:w="0" w:type="auto"/>
        <w:jc w:val="center"/>
        <w:tblLayout w:type="fixed"/>
        <w:tblCellMar>
          <w:top w:w="0" w:type="dxa"/>
          <w:left w:w="108" w:type="dxa"/>
          <w:bottom w:w="0" w:type="dxa"/>
          <w:right w:w="108" w:type="dxa"/>
        </w:tblCellMar>
      </w:tblPr>
      <w:tblGrid>
        <w:gridCol w:w="4916"/>
        <w:gridCol w:w="4916"/>
      </w:tblGrid>
      <w:tr w14:paraId="0B7863A3">
        <w:tblPrEx>
          <w:tblCellMar>
            <w:top w:w="0" w:type="dxa"/>
            <w:left w:w="108" w:type="dxa"/>
            <w:bottom w:w="0" w:type="dxa"/>
            <w:right w:w="108" w:type="dxa"/>
          </w:tblCellMar>
        </w:tblPrEx>
        <w:trPr>
          <w:cantSplit/>
          <w:jc w:val="center"/>
        </w:trPr>
        <w:tc>
          <w:tcPr>
            <w:tcW w:w="4916" w:type="dxa"/>
            <w:tcBorders>
              <w:top w:val="single" w:color="D7E0EF" w:sz="4" w:space="0"/>
              <w:left w:val="single" w:color="D7E0EF" w:sz="4" w:space="0"/>
              <w:bottom w:val="single" w:color="D7E0EF" w:sz="4" w:space="0"/>
              <w:right w:val="single" w:color="D7E0EF" w:sz="4" w:space="0"/>
            </w:tcBorders>
            <w:shd w:val="clear" w:color="auto" w:fill="EAF1FB"/>
          </w:tcPr>
          <w:p w14:paraId="0B81AC5F">
            <w:pPr>
              <w:spacing w:after="0"/>
              <w:rPr>
                <w:rFonts w:hint="eastAsia"/>
              </w:rPr>
            </w:pPr>
            <w:r>
              <w:rPr>
                <w:b/>
                <w:color w:val="1F1F1F"/>
                <w:sz w:val="21"/>
              </w:rPr>
              <w:t>Q13. Define one user/business metric, one AI-quality metric, and one operational metric for your selected MVP. Explain what failure each metric would reveal.</w:t>
            </w:r>
          </w:p>
        </w:tc>
        <w:tc>
          <w:tcPr>
            <w:tcW w:w="4916" w:type="dxa"/>
            <w:tcBorders>
              <w:top w:val="single" w:color="D7E0EF" w:sz="4" w:space="0"/>
              <w:left w:val="single" w:color="D7E0EF" w:sz="4" w:space="0"/>
              <w:bottom w:val="single" w:color="D7E0EF" w:sz="4" w:space="0"/>
              <w:right w:val="single" w:color="D7E0EF" w:sz="4" w:space="0"/>
            </w:tcBorders>
            <w:shd w:val="clear" w:color="auto" w:fill="FFF6DD"/>
          </w:tcPr>
          <w:p w14:paraId="08BE66BF">
            <w:pPr>
              <w:spacing w:after="0"/>
              <w:jc w:val="center"/>
              <w:rPr>
                <w:rFonts w:hint="eastAsia"/>
              </w:rPr>
            </w:pPr>
            <w:r>
              <w:rPr>
                <w:b/>
                <w:color w:val="163B82"/>
                <w:sz w:val="18"/>
              </w:rPr>
              <w:t>4 marks</w:t>
            </w:r>
          </w:p>
        </w:tc>
      </w:tr>
    </w:tbl>
    <w:p w14:paraId="24932B2D">
      <w:pPr>
        <w:spacing w:before="40" w:after="60"/>
        <w:rPr>
          <w:rFonts w:hint="eastAsia"/>
        </w:rPr>
      </w:pPr>
      <w:r>
        <w:rPr>
          <w:b/>
          <w:color w:val="F5A000"/>
          <w:sz w:val="17"/>
        </w:rPr>
        <w:t>Book reference: §3.11, “Define Success Before You Build,” pp. 233–236</w:t>
      </w:r>
    </w:p>
    <w:tbl>
      <w:tblPr>
        <w:tblStyle w:val="12"/>
        <w:tblW w:w="0" w:type="auto"/>
        <w:jc w:val="center"/>
        <w:tblLayout w:type="fixed"/>
        <w:tblCellMar>
          <w:top w:w="0" w:type="dxa"/>
          <w:left w:w="108" w:type="dxa"/>
          <w:bottom w:w="0" w:type="dxa"/>
          <w:right w:w="108" w:type="dxa"/>
        </w:tblCellMar>
      </w:tblPr>
      <w:tblGrid>
        <w:gridCol w:w="9432"/>
      </w:tblGrid>
      <w:tr w14:paraId="47625F6B">
        <w:tblPrEx>
          <w:tblCellMar>
            <w:top w:w="0" w:type="dxa"/>
            <w:left w:w="108" w:type="dxa"/>
            <w:bottom w:w="0" w:type="dxa"/>
            <w:right w:w="108" w:type="dxa"/>
          </w:tblCellMar>
        </w:tblPrEx>
        <w:trPr>
          <w:cantSplit/>
          <w:jc w:val="center"/>
        </w:trPr>
        <w:tc>
          <w:tcPr>
            <w:tcW w:w="9432" w:type="dxa"/>
            <w:tcBorders>
              <w:top w:val="single" w:color="B7C7E6" w:sz="6" w:space="0"/>
              <w:left w:val="single" w:color="B7C7E6" w:sz="6" w:space="0"/>
              <w:bottom w:val="single" w:color="B7C7E6" w:sz="6" w:space="0"/>
              <w:right w:val="single" w:color="B7C7E6" w:sz="6" w:space="0"/>
            </w:tcBorders>
            <w:shd w:val="clear" w:color="auto" w:fill="F9FBFE"/>
          </w:tcPr>
          <w:p w14:paraId="3CEC1159">
            <w:pPr>
              <w:spacing w:before="0" w:after="0" w:line="20" w:lineRule="exact"/>
              <w:rPr>
                <w:rFonts w:hint="eastAsia"/>
              </w:rPr>
            </w:pPr>
          </w:p>
          <w:tbl>
            <w:tblPr>
              <w:tblStyle w:val="12"/>
              <w:tblW w:w="9200" w:type="dxa"/>
              <w:tblInd w:w="0" w:type="dxa"/>
              <w:tblLayout w:type="fixed"/>
              <w:tblCellMar>
                <w:top w:w="30" w:type="dxa"/>
                <w:left w:w="70" w:type="dxa"/>
                <w:bottom w:w="30" w:type="dxa"/>
                <w:right w:w="70" w:type="dxa"/>
              </w:tblCellMar>
            </w:tblPr>
            <w:tblGrid>
              <w:gridCol w:w="1300"/>
              <w:gridCol w:w="3300"/>
              <w:gridCol w:w="1800"/>
              <w:gridCol w:w="2800"/>
            </w:tblGrid>
            <w:tr w14:paraId="388C6C18">
              <w:tblPrEx>
                <w:tblCellMar>
                  <w:top w:w="30" w:type="dxa"/>
                  <w:left w:w="70" w:type="dxa"/>
                  <w:bottom w:w="30" w:type="dxa"/>
                  <w:right w:w="70" w:type="dxa"/>
                </w:tblCellMar>
              </w:tblPrEx>
              <w:trPr>
                <w:cantSplit/>
                <w:tblHeader/>
              </w:trPr>
              <w:tc>
                <w:tcPr>
                  <w:tcW w:w="1300" w:type="dxa"/>
                  <w:tcBorders>
                    <w:top w:val="single" w:color="B7C7E6" w:sz="4" w:space="0"/>
                    <w:left w:val="single" w:color="B7C7E6" w:sz="4" w:space="0"/>
                    <w:bottom w:val="single" w:color="B7C7E6" w:sz="4" w:space="0"/>
                    <w:right w:val="single" w:color="B7C7E6" w:sz="4" w:space="0"/>
                  </w:tcBorders>
                  <w:shd w:val="clear" w:color="auto" w:fill="EAF1FB"/>
                </w:tcPr>
                <w:p w14:paraId="36CF7808">
                  <w:pPr>
                    <w:spacing w:before="0" w:after="0"/>
                  </w:pPr>
                  <w:r>
                    <w:rPr>
                      <w:b/>
                      <w:color w:val="163B82"/>
                      <w:sz w:val="16"/>
                    </w:rPr>
                    <w:t>Type</w:t>
                  </w:r>
                </w:p>
              </w:tc>
              <w:tc>
                <w:tcPr>
                  <w:tcW w:w="3300" w:type="dxa"/>
                  <w:tcBorders>
                    <w:top w:val="single" w:color="B7C7E6" w:sz="4" w:space="0"/>
                    <w:left w:val="single" w:color="B7C7E6" w:sz="4" w:space="0"/>
                    <w:bottom w:val="single" w:color="B7C7E6" w:sz="4" w:space="0"/>
                    <w:right w:val="single" w:color="B7C7E6" w:sz="4" w:space="0"/>
                  </w:tcBorders>
                  <w:shd w:val="clear" w:color="auto" w:fill="EAF1FB"/>
                </w:tcPr>
                <w:p w14:paraId="45E79DB5">
                  <w:pPr>
                    <w:spacing w:before="0" w:after="0"/>
                  </w:pPr>
                  <w:r>
                    <w:rPr>
                      <w:b/>
                      <w:color w:val="163B82"/>
                      <w:sz w:val="16"/>
                    </w:rPr>
                    <w:t>Metric (definition)</w:t>
                  </w:r>
                </w:p>
              </w:tc>
              <w:tc>
                <w:tcPr>
                  <w:tcW w:w="1800" w:type="dxa"/>
                  <w:tcBorders>
                    <w:top w:val="single" w:color="B7C7E6" w:sz="4" w:space="0"/>
                    <w:left w:val="single" w:color="B7C7E6" w:sz="4" w:space="0"/>
                    <w:bottom w:val="single" w:color="B7C7E6" w:sz="4" w:space="0"/>
                    <w:right w:val="single" w:color="B7C7E6" w:sz="4" w:space="0"/>
                  </w:tcBorders>
                  <w:shd w:val="clear" w:color="auto" w:fill="EAF1FB"/>
                </w:tcPr>
                <w:p w14:paraId="438D03DB">
                  <w:pPr>
                    <w:spacing w:before="0" w:after="0"/>
                  </w:pPr>
                  <w:r>
                    <w:rPr>
                      <w:b/>
                      <w:color w:val="163B82"/>
                      <w:sz w:val="16"/>
                    </w:rPr>
                    <w:t>Target (Assumed)</w:t>
                  </w:r>
                </w:p>
              </w:tc>
              <w:tc>
                <w:tcPr>
                  <w:tcW w:w="2800" w:type="dxa"/>
                  <w:tcBorders>
                    <w:top w:val="single" w:color="B7C7E6" w:sz="4" w:space="0"/>
                    <w:left w:val="single" w:color="B7C7E6" w:sz="4" w:space="0"/>
                    <w:bottom w:val="single" w:color="B7C7E6" w:sz="4" w:space="0"/>
                    <w:right w:val="single" w:color="B7C7E6" w:sz="4" w:space="0"/>
                  </w:tcBorders>
                  <w:shd w:val="clear" w:color="auto" w:fill="EAF1FB"/>
                </w:tcPr>
                <w:p w14:paraId="776D7537">
                  <w:pPr>
                    <w:spacing w:before="0" w:after="0"/>
                  </w:pPr>
                  <w:r>
                    <w:rPr>
                      <w:b/>
                      <w:color w:val="163B82"/>
                      <w:sz w:val="16"/>
                    </w:rPr>
                    <w:t>What failure would reveal</w:t>
                  </w:r>
                </w:p>
              </w:tc>
            </w:tr>
            <w:tr w14:paraId="00DEA6C6">
              <w:tblPrEx>
                <w:tblCellMar>
                  <w:top w:w="30" w:type="dxa"/>
                  <w:left w:w="70" w:type="dxa"/>
                  <w:bottom w:w="30" w:type="dxa"/>
                  <w:right w:w="70" w:type="dxa"/>
                </w:tblCellMar>
              </w:tblPrEx>
              <w:trPr>
                <w:cantSplit/>
              </w:trPr>
              <w:tc>
                <w:tcPr>
                  <w:tcW w:w="1300" w:type="dxa"/>
                  <w:tcBorders>
                    <w:top w:val="single" w:color="B7C7E6" w:sz="4" w:space="0"/>
                    <w:left w:val="single" w:color="B7C7E6" w:sz="4" w:space="0"/>
                    <w:bottom w:val="single" w:color="B7C7E6" w:sz="4" w:space="0"/>
                    <w:right w:val="single" w:color="B7C7E6" w:sz="4" w:space="0"/>
                  </w:tcBorders>
                </w:tcPr>
                <w:p w14:paraId="135A0718">
                  <w:pPr>
                    <w:spacing w:before="0" w:after="0"/>
                  </w:pPr>
                  <w:r>
                    <w:rPr>
                      <w:b/>
                      <w:color w:val="1F2937"/>
                      <w:sz w:val="16"/>
                    </w:rPr>
                    <w:t>User / business</w:t>
                  </w:r>
                </w:p>
              </w:tc>
              <w:tc>
                <w:tcPr>
                  <w:tcW w:w="3300" w:type="dxa"/>
                  <w:tcBorders>
                    <w:top w:val="single" w:color="B7C7E6" w:sz="4" w:space="0"/>
                    <w:left w:val="single" w:color="B7C7E6" w:sz="4" w:space="0"/>
                    <w:bottom w:val="single" w:color="B7C7E6" w:sz="4" w:space="0"/>
                    <w:right w:val="single" w:color="B7C7E6" w:sz="4" w:space="0"/>
                  </w:tcBorders>
                </w:tcPr>
                <w:p w14:paraId="6A42F685">
                  <w:pPr>
                    <w:spacing w:before="0" w:after="0"/>
                  </w:pPr>
                  <w:r>
                    <w:rPr>
                      <w:b w:val="0"/>
                      <w:color w:val="1F2937"/>
                      <w:sz w:val="16"/>
                    </w:rPr>
                    <w:t>Average handle time on repeated-intent tickets, in minutes per ticket (B₀ → T₁).</w:t>
                  </w:r>
                </w:p>
              </w:tc>
              <w:tc>
                <w:tcPr>
                  <w:tcW w:w="1800" w:type="dxa"/>
                  <w:tcBorders>
                    <w:top w:val="single" w:color="B7C7E6" w:sz="4" w:space="0"/>
                    <w:left w:val="single" w:color="B7C7E6" w:sz="4" w:space="0"/>
                    <w:bottom w:val="single" w:color="B7C7E6" w:sz="4" w:space="0"/>
                    <w:right w:val="single" w:color="B7C7E6" w:sz="4" w:space="0"/>
                  </w:tcBorders>
                </w:tcPr>
                <w:p w14:paraId="74E2FC1A">
                  <w:pPr>
                    <w:spacing w:before="0" w:after="0"/>
                  </w:pPr>
                  <w:r>
                    <w:rPr>
                      <w:b w:val="0"/>
                      <w:color w:val="1F2937"/>
                      <w:sz w:val="16"/>
                    </w:rPr>
                    <w:t>≤ 6 min versus 14 min baseline</w:t>
                  </w:r>
                </w:p>
              </w:tc>
              <w:tc>
                <w:tcPr>
                  <w:tcW w:w="2800" w:type="dxa"/>
                  <w:tcBorders>
                    <w:top w:val="single" w:color="B7C7E6" w:sz="4" w:space="0"/>
                    <w:left w:val="single" w:color="B7C7E6" w:sz="4" w:space="0"/>
                    <w:bottom w:val="single" w:color="B7C7E6" w:sz="4" w:space="0"/>
                    <w:right w:val="single" w:color="B7C7E6" w:sz="4" w:space="0"/>
                  </w:tcBorders>
                </w:tcPr>
                <w:p w14:paraId="1CCF63BB">
                  <w:pPr>
                    <w:spacing w:before="0" w:after="0"/>
                  </w:pPr>
                  <w:r>
                    <w:rPr>
                      <w:b w:val="0"/>
                      <w:color w:val="1F2937"/>
                      <w:sz w:val="16"/>
                    </w:rPr>
                    <w:t>If time does not fall, the tool is not removing the search/verify effort, agents do not trust it, or the real bottleneck is elsewhere (wrong problem).</w:t>
                  </w:r>
                </w:p>
              </w:tc>
            </w:tr>
            <w:tr w14:paraId="03B0AEB6">
              <w:tblPrEx>
                <w:tblCellMar>
                  <w:top w:w="30" w:type="dxa"/>
                  <w:left w:w="70" w:type="dxa"/>
                  <w:bottom w:w="30" w:type="dxa"/>
                  <w:right w:w="70" w:type="dxa"/>
                </w:tblCellMar>
              </w:tblPrEx>
              <w:trPr>
                <w:cantSplit/>
              </w:trPr>
              <w:tc>
                <w:tcPr>
                  <w:tcW w:w="1300" w:type="dxa"/>
                  <w:tcBorders>
                    <w:top w:val="single" w:color="B7C7E6" w:sz="4" w:space="0"/>
                    <w:left w:val="single" w:color="B7C7E6" w:sz="4" w:space="0"/>
                    <w:bottom w:val="single" w:color="B7C7E6" w:sz="4" w:space="0"/>
                    <w:right w:val="single" w:color="B7C7E6" w:sz="4" w:space="0"/>
                  </w:tcBorders>
                </w:tcPr>
                <w:p w14:paraId="5D6A4386">
                  <w:pPr>
                    <w:spacing w:before="0" w:after="0"/>
                  </w:pPr>
                  <w:r>
                    <w:rPr>
                      <w:b/>
                      <w:color w:val="1F2937"/>
                      <w:sz w:val="16"/>
                    </w:rPr>
                    <w:t>AI quality</w:t>
                  </w:r>
                </w:p>
              </w:tc>
              <w:tc>
                <w:tcPr>
                  <w:tcW w:w="3300" w:type="dxa"/>
                  <w:tcBorders>
                    <w:top w:val="single" w:color="B7C7E6" w:sz="4" w:space="0"/>
                    <w:left w:val="single" w:color="B7C7E6" w:sz="4" w:space="0"/>
                    <w:bottom w:val="single" w:color="B7C7E6" w:sz="4" w:space="0"/>
                    <w:right w:val="single" w:color="B7C7E6" w:sz="4" w:space="0"/>
                  </w:tcBorders>
                </w:tcPr>
                <w:p w14:paraId="3F0DD3C3">
                  <w:pPr>
                    <w:spacing w:before="0" w:after="0"/>
                  </w:pPr>
                  <w:r>
                    <w:rPr>
                      <w:b w:val="0"/>
                      <w:color w:val="1F2937"/>
                      <w:sz w:val="16"/>
                    </w:rPr>
                    <w:t>Share of drafted answers judged correct and supported by the cited source on a 100-question golden set, reviewed by a senior agent; also Recall@5 of the correct source passage.</w:t>
                  </w:r>
                </w:p>
              </w:tc>
              <w:tc>
                <w:tcPr>
                  <w:tcW w:w="1800" w:type="dxa"/>
                  <w:tcBorders>
                    <w:top w:val="single" w:color="B7C7E6" w:sz="4" w:space="0"/>
                    <w:left w:val="single" w:color="B7C7E6" w:sz="4" w:space="0"/>
                    <w:bottom w:val="single" w:color="B7C7E6" w:sz="4" w:space="0"/>
                    <w:right w:val="single" w:color="B7C7E6" w:sz="4" w:space="0"/>
                  </w:tcBorders>
                </w:tcPr>
                <w:p w14:paraId="32F2554B">
                  <w:pPr>
                    <w:spacing w:before="0" w:after="0"/>
                  </w:pPr>
                  <w:r>
                    <w:rPr>
                      <w:b w:val="0"/>
                      <w:color w:val="1F2937"/>
                      <w:sz w:val="16"/>
                    </w:rPr>
                    <w:t>≥ 90% correct and supported; 0 critical unsupported policy claims</w:t>
                  </w:r>
                </w:p>
              </w:tc>
              <w:tc>
                <w:tcPr>
                  <w:tcW w:w="2800" w:type="dxa"/>
                  <w:tcBorders>
                    <w:top w:val="single" w:color="B7C7E6" w:sz="4" w:space="0"/>
                    <w:left w:val="single" w:color="B7C7E6" w:sz="4" w:space="0"/>
                    <w:bottom w:val="single" w:color="B7C7E6" w:sz="4" w:space="0"/>
                    <w:right w:val="single" w:color="B7C7E6" w:sz="4" w:space="0"/>
                  </w:tcBorders>
                </w:tcPr>
                <w:p w14:paraId="23701B51">
                  <w:pPr>
                    <w:spacing w:before="0" w:after="0"/>
                  </w:pPr>
                  <w:r>
                    <w:rPr>
                      <w:b w:val="0"/>
                      <w:color w:val="1F2937"/>
                      <w:sz w:val="16"/>
                    </w:rPr>
                    <w:t>Low values reveal hallucination, retrieval misses, or outdated/conflicting documents, meaning the answer cannot be trusted.</w:t>
                  </w:r>
                </w:p>
              </w:tc>
            </w:tr>
            <w:tr w14:paraId="4F61087B">
              <w:tblPrEx>
                <w:tblCellMar>
                  <w:top w:w="30" w:type="dxa"/>
                  <w:left w:w="70" w:type="dxa"/>
                  <w:bottom w:w="30" w:type="dxa"/>
                  <w:right w:w="70" w:type="dxa"/>
                </w:tblCellMar>
              </w:tblPrEx>
              <w:trPr>
                <w:cantSplit/>
              </w:trPr>
              <w:tc>
                <w:tcPr>
                  <w:tcW w:w="1300" w:type="dxa"/>
                  <w:tcBorders>
                    <w:top w:val="single" w:color="B7C7E6" w:sz="4" w:space="0"/>
                    <w:left w:val="single" w:color="B7C7E6" w:sz="4" w:space="0"/>
                    <w:bottom w:val="single" w:color="B7C7E6" w:sz="4" w:space="0"/>
                    <w:right w:val="single" w:color="B7C7E6" w:sz="4" w:space="0"/>
                  </w:tcBorders>
                </w:tcPr>
                <w:p w14:paraId="6EE66185">
                  <w:pPr>
                    <w:spacing w:before="0" w:after="0"/>
                  </w:pPr>
                  <w:r>
                    <w:rPr>
                      <w:b/>
                      <w:color w:val="1F2937"/>
                      <w:sz w:val="16"/>
                    </w:rPr>
                    <w:t>Operational</w:t>
                  </w:r>
                </w:p>
              </w:tc>
              <w:tc>
                <w:tcPr>
                  <w:tcW w:w="3300" w:type="dxa"/>
                  <w:tcBorders>
                    <w:top w:val="single" w:color="B7C7E6" w:sz="4" w:space="0"/>
                    <w:left w:val="single" w:color="B7C7E6" w:sz="4" w:space="0"/>
                    <w:bottom w:val="single" w:color="B7C7E6" w:sz="4" w:space="0"/>
                    <w:right w:val="single" w:color="B7C7E6" w:sz="4" w:space="0"/>
                  </w:tcBorders>
                </w:tcPr>
                <w:p w14:paraId="7A787C09">
                  <w:pPr>
                    <w:spacing w:before="0" w:after="0"/>
                  </w:pPr>
                  <w:r>
                    <w:rPr>
                      <w:b w:val="0"/>
                      <w:color w:val="1F2937"/>
                      <w:sz w:val="16"/>
                    </w:rPr>
                    <w:t>95th-percentile response time and cost per answered question.</w:t>
                  </w:r>
                </w:p>
              </w:tc>
              <w:tc>
                <w:tcPr>
                  <w:tcW w:w="1800" w:type="dxa"/>
                  <w:tcBorders>
                    <w:top w:val="single" w:color="B7C7E6" w:sz="4" w:space="0"/>
                    <w:left w:val="single" w:color="B7C7E6" w:sz="4" w:space="0"/>
                    <w:bottom w:val="single" w:color="B7C7E6" w:sz="4" w:space="0"/>
                    <w:right w:val="single" w:color="B7C7E6" w:sz="4" w:space="0"/>
                  </w:tcBorders>
                </w:tcPr>
                <w:p w14:paraId="3D1D83A6">
                  <w:pPr>
                    <w:spacing w:before="0" w:after="0"/>
                  </w:pPr>
                  <w:r>
                    <w:rPr>
                      <w:b w:val="0"/>
                      <w:color w:val="1F2937"/>
                      <w:sz w:val="16"/>
                    </w:rPr>
                    <w:t>p95 ≤ 8 s; ≤ $0.02 per question</w:t>
                  </w:r>
                </w:p>
              </w:tc>
              <w:tc>
                <w:tcPr>
                  <w:tcW w:w="2800" w:type="dxa"/>
                  <w:tcBorders>
                    <w:top w:val="single" w:color="B7C7E6" w:sz="4" w:space="0"/>
                    <w:left w:val="single" w:color="B7C7E6" w:sz="4" w:space="0"/>
                    <w:bottom w:val="single" w:color="B7C7E6" w:sz="4" w:space="0"/>
                    <w:right w:val="single" w:color="B7C7E6" w:sz="4" w:space="0"/>
                  </w:tcBorders>
                </w:tcPr>
                <w:p w14:paraId="2B55801D">
                  <w:pPr>
                    <w:spacing w:before="0" w:after="0"/>
                  </w:pPr>
                  <w:r>
                    <w:rPr>
                      <w:b w:val="0"/>
                      <w:color w:val="1F2937"/>
                      <w:sz w:val="16"/>
                    </w:rPr>
                    <w:t>Slow answers make agents abandon the tool; high cost erases the labour saving and shows the design is not affordable at volume.</w:t>
                  </w:r>
                </w:p>
              </w:tc>
            </w:tr>
          </w:tbl>
          <w:p w14:paraId="5F4BCCAF">
            <w:pPr>
              <w:spacing w:before="0" w:after="40" w:line="80" w:lineRule="exact"/>
            </w:pPr>
          </w:p>
        </w:tc>
      </w:tr>
    </w:tbl>
    <w:p w14:paraId="23F36EC7">
      <w:pPr>
        <w:spacing w:after="40"/>
        <w:rPr>
          <w:rFonts w:hint="eastAsia"/>
        </w:rPr>
      </w:pPr>
    </w:p>
    <w:tbl>
      <w:tblPr>
        <w:tblStyle w:val="12"/>
        <w:tblW w:w="0" w:type="auto"/>
        <w:jc w:val="center"/>
        <w:tblLayout w:type="fixed"/>
        <w:tblCellMar>
          <w:top w:w="0" w:type="dxa"/>
          <w:left w:w="108" w:type="dxa"/>
          <w:bottom w:w="0" w:type="dxa"/>
          <w:right w:w="108" w:type="dxa"/>
        </w:tblCellMar>
      </w:tblPr>
      <w:tblGrid>
        <w:gridCol w:w="4916"/>
        <w:gridCol w:w="4916"/>
      </w:tblGrid>
      <w:tr w14:paraId="1D7850B1">
        <w:tblPrEx>
          <w:tblCellMar>
            <w:top w:w="0" w:type="dxa"/>
            <w:left w:w="108" w:type="dxa"/>
            <w:bottom w:w="0" w:type="dxa"/>
            <w:right w:w="108" w:type="dxa"/>
          </w:tblCellMar>
        </w:tblPrEx>
        <w:trPr>
          <w:cantSplit/>
          <w:jc w:val="center"/>
        </w:trPr>
        <w:tc>
          <w:tcPr>
            <w:tcW w:w="4916" w:type="dxa"/>
            <w:tcBorders>
              <w:top w:val="single" w:color="D7E0EF" w:sz="4" w:space="0"/>
              <w:left w:val="single" w:color="D7E0EF" w:sz="4" w:space="0"/>
              <w:bottom w:val="single" w:color="D7E0EF" w:sz="4" w:space="0"/>
              <w:right w:val="single" w:color="D7E0EF" w:sz="4" w:space="0"/>
            </w:tcBorders>
            <w:shd w:val="clear" w:color="auto" w:fill="EAF1FB"/>
          </w:tcPr>
          <w:p w14:paraId="4CED9924">
            <w:pPr>
              <w:spacing w:after="0"/>
              <w:rPr>
                <w:rFonts w:hint="eastAsia"/>
              </w:rPr>
            </w:pPr>
            <w:r>
              <w:rPr>
                <w:b/>
                <w:color w:val="1F1F1F"/>
                <w:sz w:val="21"/>
              </w:rPr>
              <w:t>Q14. Convert the vague requirement “The system should be accurate and fast” into measurable acceptance criteria. Include at least one Critical criterion, one Target criterion, and one Operational criterion.</w:t>
            </w:r>
          </w:p>
        </w:tc>
        <w:tc>
          <w:tcPr>
            <w:tcW w:w="4916" w:type="dxa"/>
            <w:tcBorders>
              <w:top w:val="single" w:color="D7E0EF" w:sz="4" w:space="0"/>
              <w:left w:val="single" w:color="D7E0EF" w:sz="4" w:space="0"/>
              <w:bottom w:val="single" w:color="D7E0EF" w:sz="4" w:space="0"/>
              <w:right w:val="single" w:color="D7E0EF" w:sz="4" w:space="0"/>
            </w:tcBorders>
            <w:shd w:val="clear" w:color="auto" w:fill="FFF6DD"/>
          </w:tcPr>
          <w:p w14:paraId="5218D38B">
            <w:pPr>
              <w:spacing w:after="0"/>
              <w:jc w:val="center"/>
              <w:rPr>
                <w:rFonts w:hint="eastAsia"/>
              </w:rPr>
            </w:pPr>
            <w:r>
              <w:rPr>
                <w:b/>
                <w:color w:val="163B82"/>
                <w:sz w:val="18"/>
              </w:rPr>
              <w:t>4 marks</w:t>
            </w:r>
          </w:p>
        </w:tc>
      </w:tr>
    </w:tbl>
    <w:p w14:paraId="2BBC5DEF">
      <w:pPr>
        <w:spacing w:before="40" w:after="60"/>
        <w:rPr>
          <w:rFonts w:hint="eastAsia"/>
        </w:rPr>
      </w:pPr>
      <w:r>
        <w:rPr>
          <w:b/>
          <w:color w:val="F5A000"/>
          <w:sz w:val="17"/>
        </w:rPr>
        <w:t>Book reference: §3.11, pp. 234–236</w:t>
      </w:r>
    </w:p>
    <w:tbl>
      <w:tblPr>
        <w:tblStyle w:val="12"/>
        <w:tblW w:w="0" w:type="auto"/>
        <w:jc w:val="center"/>
        <w:tblLayout w:type="fixed"/>
        <w:tblCellMar>
          <w:top w:w="0" w:type="dxa"/>
          <w:left w:w="108" w:type="dxa"/>
          <w:bottom w:w="0" w:type="dxa"/>
          <w:right w:w="108" w:type="dxa"/>
        </w:tblCellMar>
      </w:tblPr>
      <w:tblGrid>
        <w:gridCol w:w="9432"/>
      </w:tblGrid>
      <w:tr w14:paraId="7D98A9B4">
        <w:tblPrEx>
          <w:tblCellMar>
            <w:top w:w="0" w:type="dxa"/>
            <w:left w:w="108" w:type="dxa"/>
            <w:bottom w:w="0" w:type="dxa"/>
            <w:right w:w="108" w:type="dxa"/>
          </w:tblCellMar>
        </w:tblPrEx>
        <w:trPr>
          <w:cantSplit/>
          <w:jc w:val="center"/>
        </w:trPr>
        <w:tc>
          <w:tcPr>
            <w:tcW w:w="9432" w:type="dxa"/>
            <w:tcBorders>
              <w:top w:val="single" w:color="B7C7E6" w:sz="6" w:space="0"/>
              <w:left w:val="single" w:color="B7C7E6" w:sz="6" w:space="0"/>
              <w:bottom w:val="single" w:color="B7C7E6" w:sz="6" w:space="0"/>
              <w:right w:val="single" w:color="B7C7E6" w:sz="6" w:space="0"/>
            </w:tcBorders>
            <w:shd w:val="clear" w:color="auto" w:fill="F9FBFE"/>
          </w:tcPr>
          <w:p w14:paraId="746C662C">
            <w:pPr>
              <w:spacing w:before="0" w:after="80"/>
              <w:rPr>
                <w:rFonts w:hint="eastAsia"/>
              </w:rPr>
            </w:pPr>
            <w:r>
              <w:rPr>
                <w:b w:val="0"/>
                <w:color w:val="1F2937"/>
                <w:sz w:val="18"/>
              </w:rPr>
              <w:t>Vague requirement: “The system should be accurate and fast.” Converted into testable criteria (thresholds are Assumed and must be agreed with the support manager):</w:t>
            </w:r>
          </w:p>
          <w:p w14:paraId="0DA87D24">
            <w:pPr>
              <w:numPr>
                <w:ilvl w:val="0"/>
                <w:numId w:val="1"/>
              </w:numPr>
              <w:spacing w:before="0" w:after="80"/>
            </w:pPr>
            <w:r>
              <w:rPr>
                <w:b/>
                <w:color w:val="1F2937"/>
                <w:sz w:val="18"/>
              </w:rPr>
              <w:t>Critical (must pass before any pilot):</w:t>
            </w:r>
            <w:r>
              <w:rPr>
                <w:b w:val="0"/>
                <w:color w:val="1F2937"/>
                <w:sz w:val="18"/>
              </w:rPr>
              <w:t xml:space="preserve"> C1. On 30 high-risk policy questions (refunds, warranty, payments), zero answers state a policy claim that is unsupported by or contradicts the cited source. C2. On 20 out-of-scope questions, the system abstains or escalates in at least 95% of cases. C3. No customer personal data appears in any output.</w:t>
            </w:r>
          </w:p>
          <w:p w14:paraId="7C07BD19">
            <w:pPr>
              <w:numPr>
                <w:ilvl w:val="0"/>
                <w:numId w:val="1"/>
              </w:numPr>
              <w:spacing w:before="0" w:after="80"/>
            </w:pPr>
            <w:r>
              <w:rPr>
                <w:b/>
                <w:color w:val="1F2937"/>
                <w:sz w:val="18"/>
              </w:rPr>
              <w:t>Target (goal for the MVP):</w:t>
            </w:r>
            <w:r>
              <w:rPr>
                <w:b w:val="0"/>
                <w:color w:val="1F2937"/>
                <w:sz w:val="18"/>
              </w:rPr>
              <w:t xml:space="preserve"> T1. At least 90% of answers on the 100-question golden set are graded “correct and supported” by two reviewers. T2. Recall@5 for the correct source passage is at least 0.85. T3. Median agent handle time in a 2-week pilot is 6 min or less versus the measured B₀.</w:t>
            </w:r>
          </w:p>
          <w:p w14:paraId="2CB04826">
            <w:pPr>
              <w:numPr>
                <w:ilvl w:val="0"/>
                <w:numId w:val="1"/>
              </w:numPr>
              <w:spacing w:before="0" w:after="80"/>
            </w:pPr>
            <w:r>
              <w:rPr>
                <w:b/>
                <w:color w:val="1F2937"/>
                <w:sz w:val="18"/>
              </w:rPr>
              <w:t>Operational:</w:t>
            </w:r>
            <w:r>
              <w:rPr>
                <w:b w:val="0"/>
                <w:color w:val="1F2937"/>
                <w:sz w:val="18"/>
              </w:rPr>
              <w:t xml:space="preserve"> O1. p95 end-to-end response time is 8 seconds or less with 5 concurrent users. O2. Cost per answered question is $0.02 or less. O3. Availability is at least 99% during support hours in the pilot. O4. Every request is logged with source IDs.</w:t>
            </w:r>
          </w:p>
          <w:p w14:paraId="66072DA9">
            <w:pPr>
              <w:spacing w:before="0" w:after="80"/>
            </w:pPr>
            <w:r>
              <w:rPr>
                <w:b w:val="0"/>
                <w:color w:val="1F2937"/>
                <w:sz w:val="18"/>
              </w:rPr>
              <w:t>“Accurate” now means C1, C2 and T1; “fast” means O1 (and T3 for the business outcome). Each criterion has a test set, a number and a pass/fail outcome.</w:t>
            </w:r>
          </w:p>
        </w:tc>
      </w:tr>
    </w:tbl>
    <w:p w14:paraId="64B36B2E">
      <w:pPr>
        <w:spacing w:after="40"/>
        <w:rPr>
          <w:rFonts w:hint="eastAsia"/>
        </w:rPr>
      </w:pPr>
    </w:p>
    <w:tbl>
      <w:tblPr>
        <w:tblStyle w:val="12"/>
        <w:tblW w:w="0" w:type="auto"/>
        <w:jc w:val="center"/>
        <w:tblLayout w:type="fixed"/>
        <w:tblCellMar>
          <w:top w:w="0" w:type="dxa"/>
          <w:left w:w="108" w:type="dxa"/>
          <w:bottom w:w="0" w:type="dxa"/>
          <w:right w:w="108" w:type="dxa"/>
        </w:tblCellMar>
      </w:tblPr>
      <w:tblGrid>
        <w:gridCol w:w="4916"/>
        <w:gridCol w:w="4916"/>
      </w:tblGrid>
      <w:tr w14:paraId="1F37E087">
        <w:tblPrEx>
          <w:tblCellMar>
            <w:top w:w="0" w:type="dxa"/>
            <w:left w:w="108" w:type="dxa"/>
            <w:bottom w:w="0" w:type="dxa"/>
            <w:right w:w="108" w:type="dxa"/>
          </w:tblCellMar>
        </w:tblPrEx>
        <w:trPr>
          <w:cantSplit/>
          <w:jc w:val="center"/>
        </w:trPr>
        <w:tc>
          <w:tcPr>
            <w:tcW w:w="4916" w:type="dxa"/>
            <w:tcBorders>
              <w:top w:val="single" w:color="D7E0EF" w:sz="4" w:space="0"/>
              <w:left w:val="single" w:color="D7E0EF" w:sz="4" w:space="0"/>
              <w:bottom w:val="single" w:color="D7E0EF" w:sz="4" w:space="0"/>
              <w:right w:val="single" w:color="D7E0EF" w:sz="4" w:space="0"/>
            </w:tcBorders>
            <w:shd w:val="clear" w:color="auto" w:fill="EAF1FB"/>
          </w:tcPr>
          <w:p w14:paraId="5223A93D">
            <w:pPr>
              <w:spacing w:after="0"/>
              <w:rPr>
                <w:rFonts w:hint="eastAsia"/>
              </w:rPr>
            </w:pPr>
            <w:r>
              <w:rPr>
                <w:b/>
                <w:color w:val="1F1F1F"/>
                <w:sz w:val="21"/>
              </w:rPr>
              <w:t>Q15. A RAG system improves retrieval recall when top-k increases from 5 to 20, but latency and token cost also rise and answers become less focused. Explain why maximizing one metric is not enough. Use the chapter’s quality/value/cost/latency trade-off idea in your reasoning.</w:t>
            </w:r>
          </w:p>
        </w:tc>
        <w:tc>
          <w:tcPr>
            <w:tcW w:w="4916" w:type="dxa"/>
            <w:tcBorders>
              <w:top w:val="single" w:color="D7E0EF" w:sz="4" w:space="0"/>
              <w:left w:val="single" w:color="D7E0EF" w:sz="4" w:space="0"/>
              <w:bottom w:val="single" w:color="D7E0EF" w:sz="4" w:space="0"/>
              <w:right w:val="single" w:color="D7E0EF" w:sz="4" w:space="0"/>
            </w:tcBorders>
            <w:shd w:val="clear" w:color="auto" w:fill="FFF6DD"/>
          </w:tcPr>
          <w:p w14:paraId="3D2067B8">
            <w:pPr>
              <w:spacing w:after="0"/>
              <w:jc w:val="center"/>
              <w:rPr>
                <w:rFonts w:hint="eastAsia"/>
              </w:rPr>
            </w:pPr>
            <w:r>
              <w:rPr>
                <w:b/>
                <w:color w:val="163B82"/>
                <w:sz w:val="18"/>
              </w:rPr>
              <w:t>4 marks</w:t>
            </w:r>
          </w:p>
        </w:tc>
      </w:tr>
    </w:tbl>
    <w:p w14:paraId="3DAD56FC">
      <w:pPr>
        <w:spacing w:before="40" w:after="60"/>
        <w:rPr>
          <w:rFonts w:hint="eastAsia"/>
        </w:rPr>
      </w:pPr>
      <w:r>
        <w:rPr>
          <w:b/>
          <w:color w:val="F5A000"/>
          <w:sz w:val="17"/>
        </w:rPr>
        <w:t>Book reference: §3.11, pp. 236–237</w:t>
      </w:r>
    </w:p>
    <w:tbl>
      <w:tblPr>
        <w:tblStyle w:val="12"/>
        <w:tblW w:w="0" w:type="auto"/>
        <w:jc w:val="center"/>
        <w:tblLayout w:type="fixed"/>
        <w:tblCellMar>
          <w:top w:w="0" w:type="dxa"/>
          <w:left w:w="108" w:type="dxa"/>
          <w:bottom w:w="0" w:type="dxa"/>
          <w:right w:w="108" w:type="dxa"/>
        </w:tblCellMar>
      </w:tblPr>
      <w:tblGrid>
        <w:gridCol w:w="9432"/>
      </w:tblGrid>
      <w:tr w14:paraId="112F21F3">
        <w:tblPrEx>
          <w:tblCellMar>
            <w:top w:w="0" w:type="dxa"/>
            <w:left w:w="108" w:type="dxa"/>
            <w:bottom w:w="0" w:type="dxa"/>
            <w:right w:w="108" w:type="dxa"/>
          </w:tblCellMar>
        </w:tblPrEx>
        <w:trPr>
          <w:cantSplit/>
          <w:jc w:val="center"/>
        </w:trPr>
        <w:tc>
          <w:tcPr>
            <w:tcW w:w="9432" w:type="dxa"/>
            <w:tcBorders>
              <w:top w:val="single" w:color="B7C7E6" w:sz="6" w:space="0"/>
              <w:left w:val="single" w:color="B7C7E6" w:sz="6" w:space="0"/>
              <w:bottom w:val="single" w:color="B7C7E6" w:sz="6" w:space="0"/>
              <w:right w:val="single" w:color="B7C7E6" w:sz="6" w:space="0"/>
            </w:tcBorders>
            <w:shd w:val="clear" w:color="auto" w:fill="F9FBFE"/>
          </w:tcPr>
          <w:p w14:paraId="3DEEE760">
            <w:pPr>
              <w:spacing w:before="0" w:after="80"/>
              <w:rPr>
                <w:rFonts w:hint="eastAsia"/>
              </w:rPr>
            </w:pPr>
            <w:r>
              <w:rPr>
                <w:b w:val="0"/>
                <w:color w:val="1F2937"/>
                <w:sz w:val="18"/>
              </w:rPr>
              <w:t>Increasing top-k from 5 to 20 raises the chance that the correct passage is somewhere in the retrieved set (higher recall), but it also:</w:t>
            </w:r>
          </w:p>
          <w:p w14:paraId="1BDF5649">
            <w:pPr>
              <w:numPr>
                <w:ilvl w:val="0"/>
                <w:numId w:val="1"/>
              </w:numPr>
              <w:spacing w:before="0" w:after="80"/>
            </w:pPr>
            <w:r>
              <w:rPr>
                <w:b w:val="0"/>
                <w:color w:val="1F2937"/>
                <w:sz w:val="18"/>
              </w:rPr>
              <w:t xml:space="preserve">adds retrieval, ranking and generation work, so </w:t>
            </w:r>
            <w:r>
              <w:rPr>
                <w:b/>
                <w:color w:val="1F2937"/>
                <w:sz w:val="18"/>
              </w:rPr>
              <w:t>latency rises</w:t>
            </w:r>
            <w:r>
              <w:rPr>
                <w:b w:val="0"/>
                <w:color w:val="1F2937"/>
                <w:sz w:val="18"/>
              </w:rPr>
              <w:t>;</w:t>
            </w:r>
          </w:p>
          <w:p w14:paraId="4C6FDDC6">
            <w:pPr>
              <w:numPr>
                <w:ilvl w:val="0"/>
                <w:numId w:val="1"/>
              </w:numPr>
              <w:spacing w:before="0" w:after="80"/>
            </w:pPr>
            <w:r>
              <w:rPr>
                <w:b w:val="0"/>
                <w:color w:val="1F2937"/>
                <w:sz w:val="18"/>
              </w:rPr>
              <w:t xml:space="preserve">sends about four times more context to the model, so </w:t>
            </w:r>
            <w:r>
              <w:rPr>
                <w:b/>
                <w:color w:val="1F2937"/>
                <w:sz w:val="18"/>
              </w:rPr>
              <w:t>token cost rises</w:t>
            </w:r>
            <w:r>
              <w:rPr>
                <w:b w:val="0"/>
                <w:color w:val="1F2937"/>
                <w:sz w:val="18"/>
              </w:rPr>
              <w:t xml:space="preserve"> roughly in proportion;</w:t>
            </w:r>
          </w:p>
          <w:p w14:paraId="1DC38A78">
            <w:pPr>
              <w:numPr>
                <w:ilvl w:val="0"/>
                <w:numId w:val="1"/>
              </w:numPr>
              <w:spacing w:before="0" w:after="80"/>
            </w:pPr>
            <w:r>
              <w:rPr>
                <w:b w:val="0"/>
                <w:color w:val="1F2937"/>
                <w:sz w:val="18"/>
              </w:rPr>
              <w:t xml:space="preserve">brings in more irrelevant or conflicting passages, so </w:t>
            </w:r>
            <w:r>
              <w:rPr>
                <w:b/>
                <w:color w:val="1F2937"/>
                <w:sz w:val="18"/>
              </w:rPr>
              <w:t>precision falls</w:t>
            </w:r>
            <w:r>
              <w:rPr>
                <w:b w:val="0"/>
                <w:color w:val="1F2937"/>
                <w:sz w:val="18"/>
              </w:rPr>
              <w:t xml:space="preserve"> and the answer can become less focused, or the model may miss the relevant passage buried in the context.</w:t>
            </w:r>
          </w:p>
          <w:p w14:paraId="5560FBC1">
            <w:pPr>
              <w:spacing w:before="0" w:after="80"/>
            </w:pPr>
            <w:r>
              <w:rPr>
                <w:b/>
                <w:color w:val="1F2937"/>
                <w:sz w:val="18"/>
              </w:rPr>
              <w:t>Why maximising one metric is not enough:</w:t>
            </w:r>
            <w:r>
              <w:rPr>
                <w:b w:val="0"/>
                <w:color w:val="1F2937"/>
                <w:sz w:val="18"/>
              </w:rPr>
              <w:t xml:space="preserve"> recall is an intermediate measure, not the goal. The goal is a useful, correct answer at acceptable cost and delay. Optimising a single number (Goodhart’s effect) can improve the metric while the real outcome gets worse. The chapter’s trade-off idea is that </w:t>
            </w:r>
            <w:r>
              <w:rPr>
                <w:b/>
                <w:color w:val="1F2937"/>
                <w:sz w:val="18"/>
              </w:rPr>
              <w:t>quality, value, cost and latency must be judged together</w:t>
            </w:r>
            <w:r>
              <w:rPr>
                <w:b w:val="0"/>
                <w:color w:val="1F2937"/>
                <w:sz w:val="18"/>
              </w:rPr>
              <w:t>: a change is an improvement only if the net value (value of better answers minus added cost and delay) is positive.</w:t>
            </w:r>
          </w:p>
          <w:p w14:paraId="2B1272D2">
            <w:pPr>
              <w:spacing w:before="0" w:after="80"/>
            </w:pPr>
            <w:r>
              <w:rPr>
                <w:b/>
                <w:color w:val="1F2937"/>
                <w:sz w:val="18"/>
              </w:rPr>
              <w:t>How I would decide:</w:t>
            </w:r>
            <w:r>
              <w:rPr>
                <w:b w:val="0"/>
                <w:color w:val="1F2937"/>
                <w:sz w:val="18"/>
              </w:rPr>
              <w:t xml:space="preserve"> run the same golden set for k = 3, 5, 8, 12, 20 and record Recall@k, answer correctness, p95 latency and cost per question. Choose the smallest k that meets all acceptance thresholds (the best point on the trade-off curve), and consider re-ranking instead of a larger k. Illustration only (Assumed numbers): if recall goes from 0.80 to 0.90 but correctness stays at about 88% while latency goes from 3 s to 7 s, the extra retrieval bought no value.</w:t>
            </w:r>
          </w:p>
        </w:tc>
      </w:tr>
    </w:tbl>
    <w:p w14:paraId="5836131C">
      <w:pPr>
        <w:spacing w:after="40"/>
        <w:rPr>
          <w:rFonts w:hint="eastAsia"/>
        </w:rPr>
      </w:pPr>
    </w:p>
    <w:tbl>
      <w:tblPr>
        <w:tblStyle w:val="12"/>
        <w:tblW w:w="0" w:type="auto"/>
        <w:jc w:val="center"/>
        <w:tblLayout w:type="fixed"/>
        <w:tblCellMar>
          <w:top w:w="0" w:type="dxa"/>
          <w:left w:w="108" w:type="dxa"/>
          <w:bottom w:w="0" w:type="dxa"/>
          <w:right w:w="108" w:type="dxa"/>
        </w:tblCellMar>
      </w:tblPr>
      <w:tblGrid>
        <w:gridCol w:w="4916"/>
        <w:gridCol w:w="4916"/>
      </w:tblGrid>
      <w:tr w14:paraId="1CCD94B1">
        <w:tblPrEx>
          <w:tblCellMar>
            <w:top w:w="0" w:type="dxa"/>
            <w:left w:w="108" w:type="dxa"/>
            <w:bottom w:w="0" w:type="dxa"/>
            <w:right w:w="108" w:type="dxa"/>
          </w:tblCellMar>
        </w:tblPrEx>
        <w:trPr>
          <w:cantSplit/>
          <w:jc w:val="center"/>
        </w:trPr>
        <w:tc>
          <w:tcPr>
            <w:tcW w:w="4916" w:type="dxa"/>
            <w:tcBorders>
              <w:top w:val="single" w:color="D7E0EF" w:sz="4" w:space="0"/>
              <w:left w:val="single" w:color="D7E0EF" w:sz="4" w:space="0"/>
              <w:bottom w:val="single" w:color="D7E0EF" w:sz="4" w:space="0"/>
              <w:right w:val="single" w:color="D7E0EF" w:sz="4" w:space="0"/>
            </w:tcBorders>
            <w:shd w:val="clear" w:color="auto" w:fill="EAF1FB"/>
          </w:tcPr>
          <w:p w14:paraId="2D87FCFA">
            <w:pPr>
              <w:spacing w:after="0"/>
              <w:rPr>
                <w:rFonts w:hint="eastAsia"/>
              </w:rPr>
            </w:pPr>
            <w:r>
              <w:rPr>
                <w:b/>
                <w:color w:val="1F1F1F"/>
                <w:sz w:val="21"/>
              </w:rPr>
              <w:t>Q16. For your selected project, write: (a) two constraints, (b) two risks with one mitigation each, and (c) two non-goals. Briefly explain the difference between a constraint, a risk, and a non-goal.</w:t>
            </w:r>
          </w:p>
        </w:tc>
        <w:tc>
          <w:tcPr>
            <w:tcW w:w="4916" w:type="dxa"/>
            <w:tcBorders>
              <w:top w:val="single" w:color="D7E0EF" w:sz="4" w:space="0"/>
              <w:left w:val="single" w:color="D7E0EF" w:sz="4" w:space="0"/>
              <w:bottom w:val="single" w:color="D7E0EF" w:sz="4" w:space="0"/>
              <w:right w:val="single" w:color="D7E0EF" w:sz="4" w:space="0"/>
            </w:tcBorders>
            <w:shd w:val="clear" w:color="auto" w:fill="FFF6DD"/>
          </w:tcPr>
          <w:p w14:paraId="5500DA8F">
            <w:pPr>
              <w:spacing w:after="0"/>
              <w:jc w:val="center"/>
              <w:rPr>
                <w:rFonts w:hint="eastAsia"/>
              </w:rPr>
            </w:pPr>
            <w:r>
              <w:rPr>
                <w:b/>
                <w:color w:val="163B82"/>
                <w:sz w:val="18"/>
              </w:rPr>
              <w:t>4 marks</w:t>
            </w:r>
          </w:p>
        </w:tc>
      </w:tr>
    </w:tbl>
    <w:p w14:paraId="15CDFDA1">
      <w:pPr>
        <w:spacing w:before="40" w:after="60"/>
        <w:rPr>
          <w:rFonts w:hint="eastAsia"/>
        </w:rPr>
      </w:pPr>
      <w:r>
        <w:rPr>
          <w:b/>
          <w:color w:val="F5A000"/>
          <w:sz w:val="17"/>
        </w:rPr>
        <w:t>Book reference: §3.12, “Constraints, Risks, and Non-Goals,” pp. 237–239</w:t>
      </w:r>
    </w:p>
    <w:tbl>
      <w:tblPr>
        <w:tblStyle w:val="12"/>
        <w:tblW w:w="0" w:type="auto"/>
        <w:jc w:val="center"/>
        <w:tblLayout w:type="fixed"/>
        <w:tblCellMar>
          <w:top w:w="0" w:type="dxa"/>
          <w:left w:w="108" w:type="dxa"/>
          <w:bottom w:w="0" w:type="dxa"/>
          <w:right w:w="108" w:type="dxa"/>
        </w:tblCellMar>
      </w:tblPr>
      <w:tblGrid>
        <w:gridCol w:w="9432"/>
      </w:tblGrid>
      <w:tr w14:paraId="66D8E556">
        <w:tblPrEx>
          <w:tblCellMar>
            <w:top w:w="0" w:type="dxa"/>
            <w:left w:w="108" w:type="dxa"/>
            <w:bottom w:w="0" w:type="dxa"/>
            <w:right w:w="108" w:type="dxa"/>
          </w:tblCellMar>
        </w:tblPrEx>
        <w:trPr>
          <w:cantSplit/>
          <w:jc w:val="center"/>
        </w:trPr>
        <w:tc>
          <w:tcPr>
            <w:tcW w:w="9432" w:type="dxa"/>
            <w:tcBorders>
              <w:top w:val="single" w:color="B7C7E6" w:sz="6" w:space="0"/>
              <w:left w:val="single" w:color="B7C7E6" w:sz="6" w:space="0"/>
              <w:bottom w:val="single" w:color="B7C7E6" w:sz="6" w:space="0"/>
              <w:right w:val="single" w:color="B7C7E6" w:sz="6" w:space="0"/>
            </w:tcBorders>
            <w:shd w:val="clear" w:color="auto" w:fill="F9FBFE"/>
          </w:tcPr>
          <w:p w14:paraId="1A87CD3A">
            <w:pPr>
              <w:spacing w:before="0" w:after="80"/>
              <w:rPr>
                <w:rFonts w:hint="eastAsia"/>
              </w:rPr>
            </w:pPr>
            <w:r>
              <w:rPr>
                <w:b/>
                <w:color w:val="1F2937"/>
                <w:sz w:val="18"/>
              </w:rPr>
              <w:t>(a) Two constraints</w:t>
            </w:r>
          </w:p>
          <w:p w14:paraId="68A957CF">
            <w:pPr>
              <w:numPr>
                <w:ilvl w:val="0"/>
                <w:numId w:val="1"/>
              </w:numPr>
              <w:spacing w:before="0" w:after="80"/>
            </w:pPr>
            <w:r>
              <w:rPr>
                <w:b w:val="0"/>
                <w:color w:val="1F2937"/>
                <w:sz w:val="18"/>
              </w:rPr>
              <w:t>Only approved, current documents may be used, and no customer personal data may be sent to an external service without approval (Assumed policy).</w:t>
            </w:r>
          </w:p>
          <w:p w14:paraId="3B997580">
            <w:pPr>
              <w:numPr>
                <w:ilvl w:val="0"/>
                <w:numId w:val="1"/>
              </w:numPr>
              <w:spacing w:before="0" w:after="80"/>
            </w:pPr>
            <w:r>
              <w:rPr>
                <w:b w:val="0"/>
                <w:color w:val="1F2937"/>
                <w:sz w:val="18"/>
              </w:rPr>
              <w:t>The MVP must run as a side tool next to the existing helpdesk without changing it, within a 4-week build by one engineer (Assumed).</w:t>
            </w:r>
          </w:p>
          <w:p w14:paraId="390BC831">
            <w:pPr>
              <w:spacing w:before="0" w:after="80"/>
            </w:pPr>
            <w:r>
              <w:rPr>
                <w:b/>
                <w:color w:val="1F2937"/>
                <w:sz w:val="18"/>
              </w:rPr>
              <w:t>(b) Two risks, each with a mitigation</w:t>
            </w:r>
          </w:p>
          <w:p w14:paraId="7EAABEB5">
            <w:pPr>
              <w:numPr>
                <w:ilvl w:val="0"/>
                <w:numId w:val="1"/>
              </w:numPr>
              <w:spacing w:before="0" w:after="80"/>
            </w:pPr>
            <w:r>
              <w:rPr>
                <w:b w:val="0"/>
                <w:color w:val="1F2937"/>
                <w:sz w:val="18"/>
              </w:rPr>
              <w:t>R1: The assistant states a policy that is wrong or unsupported (hallucination). Mitigation: answer only from retrieved passages, show citations, abstain below an evidence threshold, keep the agent as reviewer, and test on the critical set C1–C2.</w:t>
            </w:r>
          </w:p>
          <w:p w14:paraId="07BB086E">
            <w:pPr>
              <w:numPr>
                <w:ilvl w:val="0"/>
                <w:numId w:val="1"/>
              </w:numPr>
              <w:spacing w:before="0" w:after="80"/>
            </w:pPr>
            <w:r>
              <w:rPr>
                <w:b w:val="0"/>
                <w:color w:val="1F2937"/>
                <w:sz w:val="18"/>
              </w:rPr>
              <w:t>R2: The knowledge base is outdated or contradictory, so a grounded answer is still wrong. Mitigation: record document owner and last-updated date, exclude stale files, run a freshness check before each release, and report conflicts to the document owner.</w:t>
            </w:r>
          </w:p>
          <w:p w14:paraId="04A272E7">
            <w:pPr>
              <w:spacing w:before="0" w:after="80"/>
            </w:pPr>
            <w:r>
              <w:rPr>
                <w:b/>
                <w:color w:val="1F2937"/>
                <w:sz w:val="18"/>
              </w:rPr>
              <w:t>(c) Two non-goals</w:t>
            </w:r>
          </w:p>
          <w:p w14:paraId="008FC969">
            <w:pPr>
              <w:numPr>
                <w:ilvl w:val="0"/>
                <w:numId w:val="1"/>
              </w:numPr>
              <w:spacing w:before="0" w:after="80"/>
            </w:pPr>
            <w:r>
              <w:rPr>
                <w:b w:val="0"/>
                <w:color w:val="1F2937"/>
                <w:sz w:val="18"/>
              </w:rPr>
              <w:t>The assistant does not send replies to customers or perform actions such as refunds; the agent always decides.</w:t>
            </w:r>
          </w:p>
          <w:p w14:paraId="7DA277A4">
            <w:pPr>
              <w:numPr>
                <w:ilvl w:val="0"/>
                <w:numId w:val="1"/>
              </w:numPr>
              <w:spacing w:before="0" w:after="80"/>
            </w:pPr>
            <w:r>
              <w:rPr>
                <w:b w:val="0"/>
                <w:color w:val="1F2937"/>
                <w:sz w:val="18"/>
              </w:rPr>
              <w:t>No multi-language support, voice or social channels, analytics dashboards, or web search in the MVP.</w:t>
            </w:r>
          </w:p>
          <w:p w14:paraId="4CA4551A">
            <w:pPr>
              <w:spacing w:before="0" w:after="80"/>
            </w:pPr>
            <w:r>
              <w:rPr>
                <w:b/>
                <w:color w:val="1F2937"/>
                <w:sz w:val="18"/>
              </w:rPr>
              <w:t>Difference:</w:t>
            </w:r>
            <w:r>
              <w:rPr>
                <w:b w:val="0"/>
                <w:color w:val="1F2937"/>
                <w:sz w:val="18"/>
              </w:rPr>
              <w:t xml:space="preserve"> a </w:t>
            </w:r>
            <w:r>
              <w:rPr>
                <w:b/>
                <w:color w:val="1F2937"/>
                <w:sz w:val="18"/>
              </w:rPr>
              <w:t>constraint</w:t>
            </w:r>
            <w:r>
              <w:rPr>
                <w:b w:val="0"/>
                <w:color w:val="1F2937"/>
                <w:sz w:val="18"/>
              </w:rPr>
              <w:t xml:space="preserve"> is a fixed limit the solution must respect (rules, budget, time, data access). A </w:t>
            </w:r>
            <w:r>
              <w:rPr>
                <w:b/>
                <w:color w:val="1F2937"/>
                <w:sz w:val="18"/>
              </w:rPr>
              <w:t>risk</w:t>
            </w:r>
            <w:r>
              <w:rPr>
                <w:b w:val="0"/>
                <w:color w:val="1F2937"/>
                <w:sz w:val="18"/>
              </w:rPr>
              <w:t xml:space="preserve"> is an uncertain event that could cause harm, judged by probability and impact, and it can be reduced by mitigation. A </w:t>
            </w:r>
            <w:r>
              <w:rPr>
                <w:b/>
                <w:color w:val="1F2937"/>
                <w:sz w:val="18"/>
              </w:rPr>
              <w:t>non-goal</w:t>
            </w:r>
            <w:r>
              <w:rPr>
                <w:b w:val="0"/>
                <w:color w:val="1F2937"/>
                <w:sz w:val="18"/>
              </w:rPr>
              <w:t xml:space="preserve"> is something deliberately left out of scope, even if it would be useful, so the MVP stays small.</w:t>
            </w:r>
          </w:p>
        </w:tc>
      </w:tr>
    </w:tbl>
    <w:p w14:paraId="29E30815">
      <w:pPr>
        <w:spacing w:after="40"/>
        <w:rPr>
          <w:rFonts w:hint="eastAsia"/>
        </w:rPr>
      </w:pPr>
    </w:p>
    <w:p w14:paraId="05B9E06E">
      <w:pPr>
        <w:spacing w:before="160" w:after="100"/>
        <w:rPr>
          <w:rFonts w:hint="eastAsia"/>
        </w:rPr>
      </w:pPr>
      <w:r>
        <w:rPr>
          <w:b/>
          <w:color w:val="163B82"/>
          <w:sz w:val="30"/>
        </w:rPr>
        <w:t>Section D: QuanSkill Solution Track Canvas (20 marks)</w:t>
      </w:r>
    </w:p>
    <w:p w14:paraId="46E3846C">
      <w:pPr>
        <w:spacing w:after="120"/>
        <w:rPr>
          <w:rFonts w:hint="eastAsia"/>
        </w:rPr>
      </w:pPr>
      <w:r>
        <w:rPr>
          <w:i/>
          <w:color w:val="6B7280"/>
          <w:sz w:val="19"/>
        </w:rPr>
        <w:t>This is the main applied task. Use one track consistently.</w:t>
      </w:r>
    </w:p>
    <w:p w14:paraId="215C005F">
      <w:pPr>
        <w:rPr>
          <w:rFonts w:hint="eastAsia"/>
        </w:rPr>
      </w:pPr>
      <w:r>
        <w:rPr>
          <w:b/>
          <w:color w:val="1F1F1F"/>
          <w:sz w:val="21"/>
        </w:rPr>
        <w:t>Q17. Complete the Week 1 Solution Track Canvas for your selected project.</w:t>
      </w:r>
      <w:r>
        <w:rPr>
          <w:b/>
          <w:color w:val="163B82"/>
          <w:sz w:val="19"/>
        </w:rPr>
        <w:t xml:space="preserve">  (14 marks)</w:t>
      </w:r>
    </w:p>
    <w:p w14:paraId="61870DE2">
      <w:pPr>
        <w:spacing w:after="100"/>
        <w:rPr>
          <w:rFonts w:hint="eastAsia"/>
        </w:rPr>
      </w:pPr>
      <w:r>
        <w:rPr>
          <w:b/>
          <w:color w:val="F5A000"/>
          <w:sz w:val="17"/>
        </w:rPr>
        <w:t>Book reference: §3.13, “The QuanSkill Solution Track Canvas,” pp. 240–248</w:t>
      </w:r>
    </w:p>
    <w:tbl>
      <w:tblPr>
        <w:tblStyle w:val="12"/>
        <w:tblW w:w="0" w:type="auto"/>
        <w:jc w:val="center"/>
        <w:tblLayout w:type="fixed"/>
        <w:tblCellMar>
          <w:top w:w="0" w:type="dxa"/>
          <w:left w:w="108" w:type="dxa"/>
          <w:bottom w:w="0" w:type="dxa"/>
          <w:right w:w="108" w:type="dxa"/>
        </w:tblCellMar>
      </w:tblPr>
      <w:tblGrid>
        <w:gridCol w:w="2880"/>
        <w:gridCol w:w="5472"/>
        <w:gridCol w:w="1440"/>
      </w:tblGrid>
      <w:tr w14:paraId="14DCB37B">
        <w:tblPrEx>
          <w:tblCellMar>
            <w:top w:w="0" w:type="dxa"/>
            <w:left w:w="108" w:type="dxa"/>
            <w:bottom w:w="0" w:type="dxa"/>
            <w:right w:w="108" w:type="dxa"/>
          </w:tblCellMar>
        </w:tblPrEx>
        <w:trPr>
          <w:cantSplit/>
          <w:jc w:val="center"/>
        </w:trPr>
        <w:tc>
          <w:tcPr>
            <w:tcW w:w="2880" w:type="dxa"/>
            <w:shd w:val="clear" w:color="auto" w:fill="163B82"/>
          </w:tcPr>
          <w:p w14:paraId="152C7AFC">
            <w:pPr>
              <w:rPr>
                <w:rFonts w:hint="eastAsia"/>
              </w:rPr>
            </w:pPr>
            <w:r>
              <w:rPr>
                <w:b/>
                <w:color w:val="FFFFFF"/>
                <w:sz w:val="17"/>
              </w:rPr>
              <w:t>Canvas Field</w:t>
            </w:r>
          </w:p>
        </w:tc>
        <w:tc>
          <w:tcPr>
            <w:tcW w:w="5472" w:type="dxa"/>
            <w:shd w:val="clear" w:color="auto" w:fill="163B82"/>
          </w:tcPr>
          <w:p w14:paraId="6676CDE4">
            <w:pPr>
              <w:rPr>
                <w:rFonts w:hint="eastAsia"/>
              </w:rPr>
            </w:pPr>
            <w:r>
              <w:rPr>
                <w:b/>
                <w:color w:val="FFFFFF"/>
                <w:sz w:val="17"/>
              </w:rPr>
              <w:t>Your Answer</w:t>
            </w:r>
          </w:p>
        </w:tc>
        <w:tc>
          <w:tcPr>
            <w:tcW w:w="1440" w:type="dxa"/>
            <w:shd w:val="clear" w:color="auto" w:fill="163B82"/>
          </w:tcPr>
          <w:p w14:paraId="76C59471">
            <w:pPr>
              <w:rPr>
                <w:rFonts w:hint="eastAsia"/>
              </w:rPr>
            </w:pPr>
            <w:r>
              <w:rPr>
                <w:b/>
                <w:color w:val="FFFFFF"/>
                <w:sz w:val="17"/>
              </w:rPr>
              <w:t>Evidence Status</w:t>
            </w:r>
          </w:p>
        </w:tc>
      </w:tr>
      <w:tr w14:paraId="2FC2B418">
        <w:tblPrEx>
          <w:tblCellMar>
            <w:top w:w="0" w:type="dxa"/>
            <w:left w:w="108" w:type="dxa"/>
            <w:bottom w:w="0" w:type="dxa"/>
            <w:right w:w="108" w:type="dxa"/>
          </w:tblCellMar>
        </w:tblPrEx>
        <w:trPr>
          <w:cantSplit/>
          <w:jc w:val="center"/>
        </w:trPr>
        <w:tc>
          <w:tcPr>
            <w:tcW w:w="2880" w:type="dxa"/>
            <w:tcBorders>
              <w:top w:val="single" w:color="C9D5E7" w:sz="4" w:space="0"/>
              <w:left w:val="single" w:color="C9D5E7" w:sz="4" w:space="0"/>
              <w:bottom w:val="single" w:color="C9D5E7" w:sz="4" w:space="0"/>
              <w:right w:val="single" w:color="C9D5E7" w:sz="4" w:space="0"/>
            </w:tcBorders>
            <w:shd w:val="clear" w:color="auto" w:fill="EAF1FB"/>
          </w:tcPr>
          <w:p w14:paraId="71DE360B">
            <w:pPr>
              <w:rPr>
                <w:rFonts w:hint="eastAsia"/>
              </w:rPr>
            </w:pPr>
            <w:r>
              <w:rPr>
                <w:b/>
                <w:color w:val="163B82"/>
                <w:sz w:val="17"/>
              </w:rPr>
              <w:t>1. Business Pain</w:t>
            </w:r>
          </w:p>
        </w:tc>
        <w:tc>
          <w:tcPr>
            <w:tcW w:w="5472" w:type="dxa"/>
            <w:tcBorders>
              <w:top w:val="single" w:color="C9D5E7" w:sz="4" w:space="0"/>
              <w:left w:val="single" w:color="C9D5E7" w:sz="4" w:space="0"/>
              <w:bottom w:val="single" w:color="C9D5E7" w:sz="4" w:space="0"/>
              <w:right w:val="single" w:color="C9D5E7" w:sz="4" w:space="0"/>
            </w:tcBorders>
          </w:tcPr>
          <w:p w14:paraId="74CC4552">
            <w:pPr>
              <w:spacing w:before="0" w:after="80"/>
              <w:rPr>
                <w:rFonts w:hint="eastAsia"/>
              </w:rPr>
            </w:pPr>
            <w:r>
              <w:rPr>
                <w:b w:val="0"/>
                <w:color w:val="1F2937"/>
                <w:sz w:val="16"/>
              </w:rPr>
              <w:t>Tier-1 support agents struggle to answer repeated customer questions because they must search several scattered sources and verify the current policy by hand, causing slow first replies, inconsistent answers and wasted repetitive effort.</w:t>
            </w:r>
          </w:p>
        </w:tc>
        <w:tc>
          <w:tcPr>
            <w:tcW w:w="1440" w:type="dxa"/>
            <w:tcBorders>
              <w:top w:val="single" w:color="C9D5E7" w:sz="4" w:space="0"/>
              <w:left w:val="single" w:color="C9D5E7" w:sz="4" w:space="0"/>
              <w:bottom w:val="single" w:color="C9D5E7" w:sz="4" w:space="0"/>
              <w:right w:val="single" w:color="C9D5E7" w:sz="4" w:space="0"/>
            </w:tcBorders>
          </w:tcPr>
          <w:p w14:paraId="5B8C4868">
            <w:pPr>
              <w:spacing w:before="0" w:after="0"/>
              <w:rPr>
                <w:rFonts w:hint="eastAsia"/>
              </w:rPr>
            </w:pPr>
            <w:r>
              <w:rPr>
                <w:b w:val="0"/>
                <w:color w:val="1F2937"/>
                <w:sz w:val="16"/>
              </w:rPr>
              <w:t>A (scenario) / U (size of gap)</w:t>
            </w:r>
          </w:p>
        </w:tc>
      </w:tr>
      <w:tr w14:paraId="6B52C0B9">
        <w:tblPrEx>
          <w:tblCellMar>
            <w:top w:w="0" w:type="dxa"/>
            <w:left w:w="108" w:type="dxa"/>
            <w:bottom w:w="0" w:type="dxa"/>
            <w:right w:w="108" w:type="dxa"/>
          </w:tblCellMar>
        </w:tblPrEx>
        <w:trPr>
          <w:cantSplit/>
          <w:jc w:val="center"/>
        </w:trPr>
        <w:tc>
          <w:tcPr>
            <w:tcW w:w="2880" w:type="dxa"/>
            <w:tcBorders>
              <w:top w:val="single" w:color="C9D5E7" w:sz="4" w:space="0"/>
              <w:left w:val="single" w:color="C9D5E7" w:sz="4" w:space="0"/>
              <w:bottom w:val="single" w:color="C9D5E7" w:sz="4" w:space="0"/>
              <w:right w:val="single" w:color="C9D5E7" w:sz="4" w:space="0"/>
            </w:tcBorders>
            <w:shd w:val="clear" w:color="auto" w:fill="EAF1FB"/>
          </w:tcPr>
          <w:p w14:paraId="5B83CF4A">
            <w:pPr>
              <w:rPr>
                <w:rFonts w:hint="eastAsia"/>
              </w:rPr>
            </w:pPr>
            <w:r>
              <w:rPr>
                <w:b/>
                <w:color w:val="163B82"/>
                <w:sz w:val="17"/>
              </w:rPr>
              <w:t>2. Primary Target User</w:t>
            </w:r>
          </w:p>
        </w:tc>
        <w:tc>
          <w:tcPr>
            <w:tcW w:w="5472" w:type="dxa"/>
            <w:tcBorders>
              <w:top w:val="single" w:color="C9D5E7" w:sz="4" w:space="0"/>
              <w:left w:val="single" w:color="C9D5E7" w:sz="4" w:space="0"/>
              <w:bottom w:val="single" w:color="C9D5E7" w:sz="4" w:space="0"/>
              <w:right w:val="single" w:color="C9D5E7" w:sz="4" w:space="0"/>
            </w:tcBorders>
          </w:tcPr>
          <w:p w14:paraId="6AB42A2A">
            <w:pPr>
              <w:spacing w:before="0" w:after="80"/>
              <w:rPr>
                <w:rFonts w:hint="eastAsia"/>
              </w:rPr>
            </w:pPr>
            <w:r>
              <w:rPr>
                <w:b w:val="0"/>
                <w:color w:val="1F2937"/>
                <w:sz w:val="16"/>
              </w:rPr>
              <w:t>Tier-1 support agent (Role), at a mid-sized online retailer handling about 900 repeated-question tickets per month in the helpdesk (Context), who needs to send a verified, policy-correct reply in about 6 minutes or less without searching several documents (Goal).</w:t>
            </w:r>
          </w:p>
        </w:tc>
        <w:tc>
          <w:tcPr>
            <w:tcW w:w="1440" w:type="dxa"/>
            <w:tcBorders>
              <w:top w:val="single" w:color="C9D5E7" w:sz="4" w:space="0"/>
              <w:left w:val="single" w:color="C9D5E7" w:sz="4" w:space="0"/>
              <w:bottom w:val="single" w:color="C9D5E7" w:sz="4" w:space="0"/>
              <w:right w:val="single" w:color="C9D5E7" w:sz="4" w:space="0"/>
            </w:tcBorders>
          </w:tcPr>
          <w:p w14:paraId="1CC276C2">
            <w:pPr>
              <w:spacing w:before="0" w:after="0"/>
              <w:rPr>
                <w:rFonts w:hint="eastAsia"/>
              </w:rPr>
            </w:pPr>
            <w:r>
              <w:rPr>
                <w:b w:val="0"/>
                <w:color w:val="1F2937"/>
                <w:sz w:val="16"/>
              </w:rPr>
              <w:t>A</w:t>
            </w:r>
          </w:p>
        </w:tc>
      </w:tr>
      <w:tr w14:paraId="25133661">
        <w:tblPrEx>
          <w:tblCellMar>
            <w:top w:w="0" w:type="dxa"/>
            <w:left w:w="108" w:type="dxa"/>
            <w:bottom w:w="0" w:type="dxa"/>
            <w:right w:w="108" w:type="dxa"/>
          </w:tblCellMar>
        </w:tblPrEx>
        <w:trPr>
          <w:cantSplit/>
          <w:jc w:val="center"/>
        </w:trPr>
        <w:tc>
          <w:tcPr>
            <w:tcW w:w="2880" w:type="dxa"/>
            <w:tcBorders>
              <w:top w:val="single" w:color="C9D5E7" w:sz="4" w:space="0"/>
              <w:left w:val="single" w:color="C9D5E7" w:sz="4" w:space="0"/>
              <w:bottom w:val="single" w:color="C9D5E7" w:sz="4" w:space="0"/>
              <w:right w:val="single" w:color="C9D5E7" w:sz="4" w:space="0"/>
            </w:tcBorders>
            <w:shd w:val="clear" w:color="auto" w:fill="EAF1FB"/>
          </w:tcPr>
          <w:p w14:paraId="60B867A6">
            <w:pPr>
              <w:rPr>
                <w:rFonts w:hint="eastAsia"/>
              </w:rPr>
            </w:pPr>
            <w:r>
              <w:rPr>
                <w:b/>
                <w:color w:val="163B82"/>
                <w:sz w:val="17"/>
              </w:rPr>
              <w:t>3. Current Workflow</w:t>
            </w:r>
          </w:p>
        </w:tc>
        <w:tc>
          <w:tcPr>
            <w:tcW w:w="5472" w:type="dxa"/>
            <w:tcBorders>
              <w:top w:val="single" w:color="C9D5E7" w:sz="4" w:space="0"/>
              <w:left w:val="single" w:color="C9D5E7" w:sz="4" w:space="0"/>
              <w:bottom w:val="single" w:color="C9D5E7" w:sz="4" w:space="0"/>
              <w:right w:val="single" w:color="C9D5E7" w:sz="4" w:space="0"/>
            </w:tcBorders>
          </w:tcPr>
          <w:p w14:paraId="1D6D419E">
            <w:pPr>
              <w:spacing w:before="0" w:after="80"/>
              <w:rPr>
                <w:rFonts w:hint="eastAsia"/>
              </w:rPr>
            </w:pPr>
            <w:r>
              <w:rPr>
                <w:b w:val="0"/>
                <w:color w:val="1F2937"/>
                <w:sz w:val="16"/>
              </w:rPr>
              <w:t>1) Ticket arrives → 2) agent identifies intent → 3) searches help center, wiki, past tickets → 4) verifies current policy → 5) writes/edits reply → 6) sends and tags → 7) customer reopens if wrong.</w:t>
            </w:r>
          </w:p>
          <w:p w14:paraId="197BDC18">
            <w:pPr>
              <w:spacing w:before="0" w:after="80"/>
            </w:pPr>
            <w:r>
              <w:rPr>
                <w:b/>
                <w:color w:val="1F2937"/>
                <w:sz w:val="16"/>
              </w:rPr>
              <w:t>Highest-friction step:</w:t>
            </w:r>
            <w:r>
              <w:rPr>
                <w:b w:val="0"/>
                <w:color w:val="1F2937"/>
                <w:sz w:val="16"/>
              </w:rPr>
              <w:t xml:space="preserve"> 3–4, find and verify the answer.</w:t>
            </w:r>
          </w:p>
        </w:tc>
        <w:tc>
          <w:tcPr>
            <w:tcW w:w="1440" w:type="dxa"/>
            <w:tcBorders>
              <w:top w:val="single" w:color="C9D5E7" w:sz="4" w:space="0"/>
              <w:left w:val="single" w:color="C9D5E7" w:sz="4" w:space="0"/>
              <w:bottom w:val="single" w:color="C9D5E7" w:sz="4" w:space="0"/>
              <w:right w:val="single" w:color="C9D5E7" w:sz="4" w:space="0"/>
            </w:tcBorders>
          </w:tcPr>
          <w:p w14:paraId="037B1CF9">
            <w:pPr>
              <w:spacing w:before="0" w:after="0"/>
              <w:rPr>
                <w:rFonts w:hint="eastAsia"/>
              </w:rPr>
            </w:pPr>
            <w:r>
              <w:rPr>
                <w:b w:val="0"/>
                <w:color w:val="1F2937"/>
                <w:sz w:val="16"/>
              </w:rPr>
              <w:t>A (confirm by shadowing)</w:t>
            </w:r>
          </w:p>
        </w:tc>
      </w:tr>
      <w:tr w14:paraId="34B2D36D">
        <w:tblPrEx>
          <w:tblCellMar>
            <w:top w:w="0" w:type="dxa"/>
            <w:left w:w="108" w:type="dxa"/>
            <w:bottom w:w="0" w:type="dxa"/>
            <w:right w:w="108" w:type="dxa"/>
          </w:tblCellMar>
        </w:tblPrEx>
        <w:trPr>
          <w:cantSplit/>
          <w:jc w:val="center"/>
        </w:trPr>
        <w:tc>
          <w:tcPr>
            <w:tcW w:w="2880" w:type="dxa"/>
            <w:tcBorders>
              <w:top w:val="single" w:color="C9D5E7" w:sz="4" w:space="0"/>
              <w:left w:val="single" w:color="C9D5E7" w:sz="4" w:space="0"/>
              <w:bottom w:val="single" w:color="C9D5E7" w:sz="4" w:space="0"/>
              <w:right w:val="single" w:color="C9D5E7" w:sz="4" w:space="0"/>
            </w:tcBorders>
            <w:shd w:val="clear" w:color="auto" w:fill="EAF1FB"/>
          </w:tcPr>
          <w:p w14:paraId="6D19EA5F">
            <w:pPr>
              <w:rPr>
                <w:rFonts w:hint="eastAsia"/>
              </w:rPr>
            </w:pPr>
            <w:r>
              <w:rPr>
                <w:b/>
                <w:color w:val="163B82"/>
                <w:sz w:val="17"/>
              </w:rPr>
              <w:t>4. Primary Data / Knowledge</w:t>
            </w:r>
          </w:p>
        </w:tc>
        <w:tc>
          <w:tcPr>
            <w:tcW w:w="5472" w:type="dxa"/>
            <w:tcBorders>
              <w:top w:val="single" w:color="C9D5E7" w:sz="4" w:space="0"/>
              <w:left w:val="single" w:color="C9D5E7" w:sz="4" w:space="0"/>
              <w:bottom w:val="single" w:color="C9D5E7" w:sz="4" w:space="0"/>
              <w:right w:val="single" w:color="C9D5E7" w:sz="4" w:space="0"/>
            </w:tcBorders>
          </w:tcPr>
          <w:p w14:paraId="16413520">
            <w:pPr>
              <w:numPr>
                <w:ilvl w:val="0"/>
                <w:numId w:val="1"/>
              </w:numPr>
              <w:spacing w:before="0" w:after="80"/>
              <w:rPr>
                <w:rFonts w:hint="eastAsia"/>
              </w:rPr>
            </w:pPr>
            <w:r>
              <w:rPr>
                <w:b/>
                <w:color w:val="1F2937"/>
                <w:sz w:val="16"/>
              </w:rPr>
              <w:t>Sources:</w:t>
            </w:r>
            <w:r>
              <w:rPr>
                <w:b w:val="0"/>
                <w:color w:val="1F2937"/>
                <w:sz w:val="16"/>
              </w:rPr>
              <w:t xml:space="preserve"> help-center articles, return/shipping/warranty policy documents, reply macros; past tickets later.</w:t>
            </w:r>
          </w:p>
          <w:p w14:paraId="40711D0E">
            <w:pPr>
              <w:numPr>
                <w:ilvl w:val="0"/>
                <w:numId w:val="1"/>
              </w:numPr>
              <w:spacing w:before="0" w:after="80"/>
            </w:pPr>
            <w:r>
              <w:rPr>
                <w:b/>
                <w:color w:val="1F2937"/>
                <w:sz w:val="16"/>
              </w:rPr>
              <w:t>Availability:</w:t>
            </w:r>
            <w:r>
              <w:rPr>
                <w:b w:val="0"/>
                <w:color w:val="1F2937"/>
                <w:sz w:val="16"/>
              </w:rPr>
              <w:t xml:space="preserve"> documents exist (A); </w:t>
            </w:r>
            <w:r>
              <w:rPr>
                <w:b/>
                <w:color w:val="1F2937"/>
                <w:sz w:val="16"/>
              </w:rPr>
              <w:t>quality:</w:t>
            </w:r>
            <w:r>
              <w:rPr>
                <w:b w:val="0"/>
                <w:color w:val="1F2937"/>
                <w:sz w:val="16"/>
              </w:rPr>
              <w:t xml:space="preserve"> possibly outdated or duplicated (U); </w:t>
            </w:r>
            <w:r>
              <w:rPr>
                <w:b/>
                <w:color w:val="1F2937"/>
                <w:sz w:val="16"/>
              </w:rPr>
              <w:t>access:</w:t>
            </w:r>
            <w:r>
              <w:rPr>
                <w:b w:val="0"/>
                <w:color w:val="1F2937"/>
                <w:sz w:val="16"/>
              </w:rPr>
              <w:t xml:space="preserve"> read-only export from support operations (A).</w:t>
            </w:r>
          </w:p>
          <w:p w14:paraId="3555FBC6">
            <w:pPr>
              <w:numPr>
                <w:ilvl w:val="0"/>
                <w:numId w:val="1"/>
              </w:numPr>
              <w:spacing w:before="0" w:after="80"/>
            </w:pPr>
            <w:r>
              <w:rPr>
                <w:b/>
                <w:color w:val="1F2937"/>
                <w:sz w:val="16"/>
              </w:rPr>
              <w:t>Sensitivity:</w:t>
            </w:r>
            <w:r>
              <w:rPr>
                <w:b w:val="0"/>
                <w:color w:val="1F2937"/>
                <w:sz w:val="16"/>
              </w:rPr>
              <w:t xml:space="preserve"> policy documents are low; tickets contain personal data, so the MVP excludes them.</w:t>
            </w:r>
          </w:p>
        </w:tc>
        <w:tc>
          <w:tcPr>
            <w:tcW w:w="1440" w:type="dxa"/>
            <w:tcBorders>
              <w:top w:val="single" w:color="C9D5E7" w:sz="4" w:space="0"/>
              <w:left w:val="single" w:color="C9D5E7" w:sz="4" w:space="0"/>
              <w:bottom w:val="single" w:color="C9D5E7" w:sz="4" w:space="0"/>
              <w:right w:val="single" w:color="C9D5E7" w:sz="4" w:space="0"/>
            </w:tcBorders>
          </w:tcPr>
          <w:p w14:paraId="5E9FD4C8">
            <w:pPr>
              <w:spacing w:before="0" w:after="0"/>
              <w:rPr>
                <w:rFonts w:hint="eastAsia"/>
              </w:rPr>
            </w:pPr>
            <w:r>
              <w:rPr>
                <w:b w:val="0"/>
                <w:color w:val="1F2937"/>
                <w:sz w:val="16"/>
              </w:rPr>
              <w:t>A / U</w:t>
            </w:r>
          </w:p>
        </w:tc>
      </w:tr>
      <w:tr w14:paraId="02400742">
        <w:tblPrEx>
          <w:tblCellMar>
            <w:top w:w="0" w:type="dxa"/>
            <w:left w:w="108" w:type="dxa"/>
            <w:bottom w:w="0" w:type="dxa"/>
            <w:right w:w="108" w:type="dxa"/>
          </w:tblCellMar>
        </w:tblPrEx>
        <w:trPr>
          <w:cantSplit/>
          <w:jc w:val="center"/>
        </w:trPr>
        <w:tc>
          <w:tcPr>
            <w:tcW w:w="2880" w:type="dxa"/>
            <w:tcBorders>
              <w:top w:val="single" w:color="C9D5E7" w:sz="4" w:space="0"/>
              <w:left w:val="single" w:color="C9D5E7" w:sz="4" w:space="0"/>
              <w:bottom w:val="single" w:color="C9D5E7" w:sz="4" w:space="0"/>
              <w:right w:val="single" w:color="C9D5E7" w:sz="4" w:space="0"/>
            </w:tcBorders>
            <w:shd w:val="clear" w:color="auto" w:fill="EAF1FB"/>
          </w:tcPr>
          <w:p w14:paraId="4B65BD1C">
            <w:pPr>
              <w:rPr>
                <w:rFonts w:hint="eastAsia"/>
              </w:rPr>
            </w:pPr>
            <w:r>
              <w:rPr>
                <w:b/>
                <w:color w:val="163B82"/>
                <w:sz w:val="17"/>
              </w:rPr>
              <w:t>5. AI Opportunity / Capability</w:t>
            </w:r>
          </w:p>
        </w:tc>
        <w:tc>
          <w:tcPr>
            <w:tcW w:w="5472" w:type="dxa"/>
            <w:tcBorders>
              <w:top w:val="single" w:color="C9D5E7" w:sz="4" w:space="0"/>
              <w:left w:val="single" w:color="C9D5E7" w:sz="4" w:space="0"/>
              <w:bottom w:val="single" w:color="C9D5E7" w:sz="4" w:space="0"/>
              <w:right w:val="single" w:color="C9D5E7" w:sz="4" w:space="0"/>
            </w:tcBorders>
          </w:tcPr>
          <w:p w14:paraId="1914C413">
            <w:pPr>
              <w:spacing w:before="0" w:after="80"/>
              <w:rPr>
                <w:rFonts w:hint="eastAsia"/>
              </w:rPr>
            </w:pPr>
            <w:r>
              <w:rPr>
                <w:b/>
                <w:color w:val="1F2937"/>
                <w:sz w:val="16"/>
              </w:rPr>
              <w:t>Retrieval + Generation</w:t>
            </w:r>
            <w:r>
              <w:rPr>
                <w:b w:val="0"/>
                <w:color w:val="1F2937"/>
                <w:sz w:val="16"/>
              </w:rPr>
              <w:t xml:space="preserve"> (grounded drafting). Answers already exist in documents (retrieval) and must be composed into a reply (generation). Not Prediction; Action is excluded from the MVP. Rules alone fail because customers phrase the same question in many ways.</w:t>
            </w:r>
          </w:p>
        </w:tc>
        <w:tc>
          <w:tcPr>
            <w:tcW w:w="1440" w:type="dxa"/>
            <w:tcBorders>
              <w:top w:val="single" w:color="C9D5E7" w:sz="4" w:space="0"/>
              <w:left w:val="single" w:color="C9D5E7" w:sz="4" w:space="0"/>
              <w:bottom w:val="single" w:color="C9D5E7" w:sz="4" w:space="0"/>
              <w:right w:val="single" w:color="C9D5E7" w:sz="4" w:space="0"/>
            </w:tcBorders>
          </w:tcPr>
          <w:p w14:paraId="4CB2CBC4">
            <w:pPr>
              <w:spacing w:before="0" w:after="0"/>
              <w:rPr>
                <w:rFonts w:hint="eastAsia"/>
              </w:rPr>
            </w:pPr>
            <w:r>
              <w:rPr>
                <w:b w:val="0"/>
                <w:color w:val="1F2937"/>
                <w:sz w:val="16"/>
              </w:rPr>
              <w:t>A</w:t>
            </w:r>
          </w:p>
        </w:tc>
      </w:tr>
      <w:tr w14:paraId="073A5CC1">
        <w:tblPrEx>
          <w:tblCellMar>
            <w:top w:w="0" w:type="dxa"/>
            <w:left w:w="108" w:type="dxa"/>
            <w:bottom w:w="0" w:type="dxa"/>
            <w:right w:w="108" w:type="dxa"/>
          </w:tblCellMar>
        </w:tblPrEx>
        <w:trPr>
          <w:cantSplit/>
          <w:jc w:val="center"/>
        </w:trPr>
        <w:tc>
          <w:tcPr>
            <w:tcW w:w="2880" w:type="dxa"/>
            <w:tcBorders>
              <w:top w:val="single" w:color="C9D5E7" w:sz="4" w:space="0"/>
              <w:left w:val="single" w:color="C9D5E7" w:sz="4" w:space="0"/>
              <w:bottom w:val="single" w:color="C9D5E7" w:sz="4" w:space="0"/>
              <w:right w:val="single" w:color="C9D5E7" w:sz="4" w:space="0"/>
            </w:tcBorders>
            <w:shd w:val="clear" w:color="auto" w:fill="EAF1FB"/>
          </w:tcPr>
          <w:p w14:paraId="6D63156A">
            <w:pPr>
              <w:rPr>
                <w:rFonts w:hint="eastAsia"/>
              </w:rPr>
            </w:pPr>
            <w:r>
              <w:rPr>
                <w:b/>
                <w:color w:val="163B82"/>
                <w:sz w:val="17"/>
              </w:rPr>
              <w:t>6. Minimum Useful MVP</w:t>
            </w:r>
          </w:p>
        </w:tc>
        <w:tc>
          <w:tcPr>
            <w:tcW w:w="5472" w:type="dxa"/>
            <w:tcBorders>
              <w:top w:val="single" w:color="C9D5E7" w:sz="4" w:space="0"/>
              <w:left w:val="single" w:color="C9D5E7" w:sz="4" w:space="0"/>
              <w:bottom w:val="single" w:color="C9D5E7" w:sz="4" w:space="0"/>
              <w:right w:val="single" w:color="C9D5E7" w:sz="4" w:space="0"/>
            </w:tcBorders>
          </w:tcPr>
          <w:p w14:paraId="0D396452">
            <w:pPr>
              <w:spacing w:before="0" w:after="80"/>
              <w:rPr>
                <w:rFonts w:hint="eastAsia"/>
              </w:rPr>
            </w:pPr>
            <w:r>
              <w:rPr>
                <w:b w:val="0"/>
                <w:color w:val="1F2937"/>
                <w:sz w:val="16"/>
              </w:rPr>
              <w:t>Given an agent’s natural-language question on return, shipping or warranty policy (one product area, one language), retrieve the relevant approved passages and draft a short cited answer, or abstain when evidence is insufficient, for the agent to review and send.</w:t>
            </w:r>
          </w:p>
        </w:tc>
        <w:tc>
          <w:tcPr>
            <w:tcW w:w="1440" w:type="dxa"/>
            <w:tcBorders>
              <w:top w:val="single" w:color="C9D5E7" w:sz="4" w:space="0"/>
              <w:left w:val="single" w:color="C9D5E7" w:sz="4" w:space="0"/>
              <w:bottom w:val="single" w:color="C9D5E7" w:sz="4" w:space="0"/>
              <w:right w:val="single" w:color="C9D5E7" w:sz="4" w:space="0"/>
            </w:tcBorders>
          </w:tcPr>
          <w:p w14:paraId="6DCA5C0D">
            <w:pPr>
              <w:spacing w:before="0" w:after="0"/>
              <w:rPr>
                <w:rFonts w:hint="eastAsia"/>
              </w:rPr>
            </w:pPr>
            <w:r>
              <w:rPr>
                <w:b w:val="0"/>
                <w:color w:val="1F2937"/>
                <w:sz w:val="16"/>
              </w:rPr>
              <w:t>A</w:t>
            </w:r>
          </w:p>
        </w:tc>
      </w:tr>
      <w:tr w14:paraId="55AD63E4">
        <w:tblPrEx>
          <w:tblCellMar>
            <w:top w:w="0" w:type="dxa"/>
            <w:left w:w="108" w:type="dxa"/>
            <w:bottom w:w="0" w:type="dxa"/>
            <w:right w:w="108" w:type="dxa"/>
          </w:tblCellMar>
        </w:tblPrEx>
        <w:trPr>
          <w:cantSplit/>
          <w:jc w:val="center"/>
        </w:trPr>
        <w:tc>
          <w:tcPr>
            <w:tcW w:w="2880" w:type="dxa"/>
            <w:tcBorders>
              <w:top w:val="single" w:color="C9D5E7" w:sz="4" w:space="0"/>
              <w:left w:val="single" w:color="C9D5E7" w:sz="4" w:space="0"/>
              <w:bottom w:val="single" w:color="C9D5E7" w:sz="4" w:space="0"/>
              <w:right w:val="single" w:color="C9D5E7" w:sz="4" w:space="0"/>
            </w:tcBorders>
            <w:shd w:val="clear" w:color="auto" w:fill="EAF1FB"/>
          </w:tcPr>
          <w:p w14:paraId="65051FAB">
            <w:pPr>
              <w:rPr>
                <w:rFonts w:hint="eastAsia"/>
              </w:rPr>
            </w:pPr>
            <w:r>
              <w:rPr>
                <w:b/>
                <w:color w:val="163B82"/>
                <w:sz w:val="17"/>
              </w:rPr>
              <w:t>7. Success Metrics / Acceptance</w:t>
            </w:r>
          </w:p>
        </w:tc>
        <w:tc>
          <w:tcPr>
            <w:tcW w:w="5472" w:type="dxa"/>
            <w:tcBorders>
              <w:top w:val="single" w:color="C9D5E7" w:sz="4" w:space="0"/>
              <w:left w:val="single" w:color="C9D5E7" w:sz="4" w:space="0"/>
              <w:bottom w:val="single" w:color="C9D5E7" w:sz="4" w:space="0"/>
              <w:right w:val="single" w:color="C9D5E7" w:sz="4" w:space="0"/>
            </w:tcBorders>
          </w:tcPr>
          <w:p w14:paraId="109CCEDF">
            <w:pPr>
              <w:numPr>
                <w:ilvl w:val="0"/>
                <w:numId w:val="1"/>
              </w:numPr>
              <w:spacing w:before="0" w:after="80"/>
              <w:rPr>
                <w:rFonts w:hint="eastAsia"/>
              </w:rPr>
            </w:pPr>
            <w:r>
              <w:rPr>
                <w:b/>
                <w:color w:val="1F2937"/>
                <w:sz w:val="16"/>
              </w:rPr>
              <w:t>User/business:</w:t>
            </w:r>
            <w:r>
              <w:rPr>
                <w:b w:val="0"/>
                <w:color w:val="1F2937"/>
                <w:sz w:val="16"/>
              </w:rPr>
              <w:t xml:space="preserve"> handle time ≤ 6 min vs B₀ = 14 min.</w:t>
            </w:r>
          </w:p>
          <w:p w14:paraId="0B80FB33">
            <w:pPr>
              <w:numPr>
                <w:ilvl w:val="0"/>
                <w:numId w:val="1"/>
              </w:numPr>
              <w:spacing w:before="0" w:after="80"/>
            </w:pPr>
            <w:r>
              <w:rPr>
                <w:b/>
                <w:color w:val="1F2937"/>
                <w:sz w:val="16"/>
              </w:rPr>
              <w:t>AI quality:</w:t>
            </w:r>
            <w:r>
              <w:rPr>
                <w:b w:val="0"/>
                <w:color w:val="1F2937"/>
                <w:sz w:val="16"/>
              </w:rPr>
              <w:t xml:space="preserve"> ≥ 90% correct and supported on a 100-question golden set; 0 critical unsupported claims; Recall@5 ≥ 0.85.</w:t>
            </w:r>
          </w:p>
          <w:p w14:paraId="4CA18696">
            <w:pPr>
              <w:numPr>
                <w:ilvl w:val="0"/>
                <w:numId w:val="1"/>
              </w:numPr>
              <w:spacing w:before="0" w:after="80"/>
            </w:pPr>
            <w:r>
              <w:rPr>
                <w:b/>
                <w:color w:val="1F2937"/>
                <w:sz w:val="16"/>
              </w:rPr>
              <w:t>Operational:</w:t>
            </w:r>
            <w:r>
              <w:rPr>
                <w:b w:val="0"/>
                <w:color w:val="1F2937"/>
                <w:sz w:val="16"/>
              </w:rPr>
              <w:t xml:space="preserve"> p95 ≤ 8 s; ≤ $0.02 per question; all requests logged.</w:t>
            </w:r>
          </w:p>
        </w:tc>
        <w:tc>
          <w:tcPr>
            <w:tcW w:w="1440" w:type="dxa"/>
            <w:tcBorders>
              <w:top w:val="single" w:color="C9D5E7" w:sz="4" w:space="0"/>
              <w:left w:val="single" w:color="C9D5E7" w:sz="4" w:space="0"/>
              <w:bottom w:val="single" w:color="C9D5E7" w:sz="4" w:space="0"/>
              <w:right w:val="single" w:color="C9D5E7" w:sz="4" w:space="0"/>
            </w:tcBorders>
          </w:tcPr>
          <w:p w14:paraId="6AB8FC21">
            <w:pPr>
              <w:spacing w:before="0" w:after="0"/>
              <w:rPr>
                <w:rFonts w:hint="eastAsia"/>
              </w:rPr>
            </w:pPr>
            <w:r>
              <w:rPr>
                <w:b w:val="0"/>
                <w:color w:val="1F2937"/>
                <w:sz w:val="16"/>
              </w:rPr>
              <w:t>A (thresholds to be agreed)</w:t>
            </w:r>
          </w:p>
        </w:tc>
      </w:tr>
      <w:tr w14:paraId="40DC80ED">
        <w:tblPrEx>
          <w:tblCellMar>
            <w:top w:w="0" w:type="dxa"/>
            <w:left w:w="108" w:type="dxa"/>
            <w:bottom w:w="0" w:type="dxa"/>
            <w:right w:w="108" w:type="dxa"/>
          </w:tblCellMar>
        </w:tblPrEx>
        <w:trPr>
          <w:cantSplit/>
          <w:jc w:val="center"/>
        </w:trPr>
        <w:tc>
          <w:tcPr>
            <w:tcW w:w="2880" w:type="dxa"/>
            <w:tcBorders>
              <w:top w:val="single" w:color="C9D5E7" w:sz="4" w:space="0"/>
              <w:left w:val="single" w:color="C9D5E7" w:sz="4" w:space="0"/>
              <w:bottom w:val="single" w:color="C9D5E7" w:sz="4" w:space="0"/>
              <w:right w:val="single" w:color="C9D5E7" w:sz="4" w:space="0"/>
            </w:tcBorders>
            <w:shd w:val="clear" w:color="auto" w:fill="EAF1FB"/>
          </w:tcPr>
          <w:p w14:paraId="77DDFCDD">
            <w:pPr>
              <w:rPr>
                <w:rFonts w:hint="eastAsia"/>
              </w:rPr>
            </w:pPr>
            <w:r>
              <w:rPr>
                <w:b/>
                <w:color w:val="163B82"/>
                <w:sz w:val="17"/>
              </w:rPr>
              <w:t>8. User Interface</w:t>
            </w:r>
          </w:p>
        </w:tc>
        <w:tc>
          <w:tcPr>
            <w:tcW w:w="5472" w:type="dxa"/>
            <w:tcBorders>
              <w:top w:val="single" w:color="C9D5E7" w:sz="4" w:space="0"/>
              <w:left w:val="single" w:color="C9D5E7" w:sz="4" w:space="0"/>
              <w:bottom w:val="single" w:color="C9D5E7" w:sz="4" w:space="0"/>
              <w:right w:val="single" w:color="C9D5E7" w:sz="4" w:space="0"/>
            </w:tcBorders>
          </w:tcPr>
          <w:p w14:paraId="1A3A9EBA">
            <w:pPr>
              <w:spacing w:before="0" w:after="80"/>
              <w:rPr>
                <w:rFonts w:hint="eastAsia"/>
              </w:rPr>
            </w:pPr>
            <w:r>
              <w:rPr>
                <w:b w:val="0"/>
                <w:color w:val="1F2937"/>
                <w:sz w:val="16"/>
              </w:rPr>
              <w:t>Simple web side-panel next to the helpdesk: the agent types or pastes the question, sees a draft with clickable source citations, and can copy it, mark helpful / not helpful with a reason, or escalate. No automatic sending.</w:t>
            </w:r>
          </w:p>
        </w:tc>
        <w:tc>
          <w:tcPr>
            <w:tcW w:w="1440" w:type="dxa"/>
            <w:tcBorders>
              <w:top w:val="single" w:color="C9D5E7" w:sz="4" w:space="0"/>
              <w:left w:val="single" w:color="C9D5E7" w:sz="4" w:space="0"/>
              <w:bottom w:val="single" w:color="C9D5E7" w:sz="4" w:space="0"/>
              <w:right w:val="single" w:color="C9D5E7" w:sz="4" w:space="0"/>
            </w:tcBorders>
          </w:tcPr>
          <w:p w14:paraId="55E80389">
            <w:pPr>
              <w:spacing w:before="0" w:after="0"/>
              <w:rPr>
                <w:rFonts w:hint="eastAsia"/>
              </w:rPr>
            </w:pPr>
            <w:r>
              <w:rPr>
                <w:b w:val="0"/>
                <w:color w:val="1F2937"/>
                <w:sz w:val="16"/>
              </w:rPr>
              <w:t>A</w:t>
            </w:r>
          </w:p>
        </w:tc>
      </w:tr>
      <w:tr w14:paraId="2A16EC04">
        <w:tblPrEx>
          <w:tblCellMar>
            <w:top w:w="0" w:type="dxa"/>
            <w:left w:w="108" w:type="dxa"/>
            <w:bottom w:w="0" w:type="dxa"/>
            <w:right w:w="108" w:type="dxa"/>
          </w:tblCellMar>
        </w:tblPrEx>
        <w:trPr>
          <w:cantSplit/>
          <w:jc w:val="center"/>
        </w:trPr>
        <w:tc>
          <w:tcPr>
            <w:tcW w:w="2880" w:type="dxa"/>
            <w:tcBorders>
              <w:top w:val="single" w:color="C9D5E7" w:sz="4" w:space="0"/>
              <w:left w:val="single" w:color="C9D5E7" w:sz="4" w:space="0"/>
              <w:bottom w:val="single" w:color="C9D5E7" w:sz="4" w:space="0"/>
              <w:right w:val="single" w:color="C9D5E7" w:sz="4" w:space="0"/>
            </w:tcBorders>
            <w:shd w:val="clear" w:color="auto" w:fill="EAF1FB"/>
          </w:tcPr>
          <w:p w14:paraId="664ADBFD">
            <w:pPr>
              <w:rPr>
                <w:rFonts w:hint="eastAsia"/>
              </w:rPr>
            </w:pPr>
            <w:r>
              <w:rPr>
                <w:b/>
                <w:color w:val="163B82"/>
                <w:sz w:val="17"/>
              </w:rPr>
              <w:t>9. Deployment Target</w:t>
            </w:r>
          </w:p>
        </w:tc>
        <w:tc>
          <w:tcPr>
            <w:tcW w:w="5472" w:type="dxa"/>
            <w:tcBorders>
              <w:top w:val="single" w:color="C9D5E7" w:sz="4" w:space="0"/>
              <w:left w:val="single" w:color="C9D5E7" w:sz="4" w:space="0"/>
              <w:bottom w:val="single" w:color="C9D5E7" w:sz="4" w:space="0"/>
              <w:right w:val="single" w:color="C9D5E7" w:sz="4" w:space="0"/>
            </w:tcBorders>
          </w:tcPr>
          <w:p w14:paraId="60E65538">
            <w:pPr>
              <w:spacing w:before="0" w:after="80"/>
              <w:rPr>
                <w:rFonts w:hint="eastAsia"/>
              </w:rPr>
            </w:pPr>
            <w:r>
              <w:rPr>
                <w:b/>
                <w:color w:val="1F2937"/>
                <w:sz w:val="16"/>
              </w:rPr>
              <w:t>Development:</w:t>
            </w:r>
            <w:r>
              <w:rPr>
                <w:b w:val="0"/>
                <w:color w:val="1F2937"/>
                <w:sz w:val="16"/>
              </w:rPr>
              <w:t xml:space="preserve"> containerised app run locally on a small approved document set with an evaluation script. </w:t>
            </w:r>
            <w:r>
              <w:rPr>
                <w:b/>
                <w:color w:val="1F2937"/>
                <w:sz w:val="16"/>
              </w:rPr>
              <w:t>Production direction:</w:t>
            </w:r>
            <w:r>
              <w:rPr>
                <w:b w:val="0"/>
                <w:color w:val="1F2937"/>
                <w:sz w:val="16"/>
              </w:rPr>
              <w:t xml:space="preserve"> internal service behind company sign-in, with logging and monitoring, later linked to the helpdesk. Vendor-neutral.</w:t>
            </w:r>
          </w:p>
        </w:tc>
        <w:tc>
          <w:tcPr>
            <w:tcW w:w="1440" w:type="dxa"/>
            <w:tcBorders>
              <w:top w:val="single" w:color="C9D5E7" w:sz="4" w:space="0"/>
              <w:left w:val="single" w:color="C9D5E7" w:sz="4" w:space="0"/>
              <w:bottom w:val="single" w:color="C9D5E7" w:sz="4" w:space="0"/>
              <w:right w:val="single" w:color="C9D5E7" w:sz="4" w:space="0"/>
            </w:tcBorders>
          </w:tcPr>
          <w:p w14:paraId="7F603D27">
            <w:pPr>
              <w:spacing w:before="0" w:after="0"/>
              <w:rPr>
                <w:rFonts w:hint="eastAsia"/>
              </w:rPr>
            </w:pPr>
            <w:r>
              <w:rPr>
                <w:b w:val="0"/>
                <w:color w:val="1F2937"/>
                <w:sz w:val="16"/>
              </w:rPr>
              <w:t>A</w:t>
            </w:r>
          </w:p>
        </w:tc>
      </w:tr>
      <w:tr w14:paraId="27928293">
        <w:tblPrEx>
          <w:tblCellMar>
            <w:top w:w="0" w:type="dxa"/>
            <w:left w:w="108" w:type="dxa"/>
            <w:bottom w:w="0" w:type="dxa"/>
            <w:right w:w="108" w:type="dxa"/>
          </w:tblCellMar>
        </w:tblPrEx>
        <w:trPr>
          <w:cantSplit/>
          <w:jc w:val="center"/>
        </w:trPr>
        <w:tc>
          <w:tcPr>
            <w:tcW w:w="2880" w:type="dxa"/>
            <w:tcBorders>
              <w:top w:val="single" w:color="C9D5E7" w:sz="4" w:space="0"/>
              <w:left w:val="single" w:color="C9D5E7" w:sz="4" w:space="0"/>
              <w:bottom w:val="single" w:color="C9D5E7" w:sz="4" w:space="0"/>
              <w:right w:val="single" w:color="C9D5E7" w:sz="4" w:space="0"/>
            </w:tcBorders>
            <w:shd w:val="clear" w:color="auto" w:fill="EAF1FB"/>
          </w:tcPr>
          <w:p w14:paraId="4C693031">
            <w:pPr>
              <w:rPr>
                <w:rFonts w:hint="eastAsia"/>
              </w:rPr>
            </w:pPr>
            <w:r>
              <w:rPr>
                <w:b/>
                <w:color w:val="163B82"/>
                <w:sz w:val="17"/>
              </w:rPr>
              <w:t>10. Constraints / Risks / Non-Goals</w:t>
            </w:r>
          </w:p>
        </w:tc>
        <w:tc>
          <w:tcPr>
            <w:tcW w:w="5472" w:type="dxa"/>
            <w:tcBorders>
              <w:top w:val="single" w:color="C9D5E7" w:sz="4" w:space="0"/>
              <w:left w:val="single" w:color="C9D5E7" w:sz="4" w:space="0"/>
              <w:bottom w:val="single" w:color="C9D5E7" w:sz="4" w:space="0"/>
              <w:right w:val="single" w:color="C9D5E7" w:sz="4" w:space="0"/>
            </w:tcBorders>
          </w:tcPr>
          <w:p w14:paraId="7A6AA05D">
            <w:pPr>
              <w:numPr>
                <w:ilvl w:val="0"/>
                <w:numId w:val="1"/>
              </w:numPr>
              <w:spacing w:before="0" w:after="80"/>
              <w:rPr>
                <w:rFonts w:hint="eastAsia"/>
              </w:rPr>
            </w:pPr>
            <w:r>
              <w:rPr>
                <w:b/>
                <w:color w:val="1F2937"/>
                <w:sz w:val="16"/>
              </w:rPr>
              <w:t>Constraints:</w:t>
            </w:r>
            <w:r>
              <w:rPr>
                <w:b w:val="0"/>
                <w:color w:val="1F2937"/>
                <w:sz w:val="16"/>
              </w:rPr>
              <w:t xml:space="preserve"> approved/current documents only, no personal data to external services; runs beside the existing helpdesk; 4-week build.</w:t>
            </w:r>
          </w:p>
          <w:p w14:paraId="052D48C7">
            <w:pPr>
              <w:numPr>
                <w:ilvl w:val="0"/>
                <w:numId w:val="1"/>
              </w:numPr>
              <w:spacing w:before="0" w:after="80"/>
            </w:pPr>
            <w:r>
              <w:rPr>
                <w:b/>
                <w:color w:val="1F2937"/>
                <w:sz w:val="16"/>
              </w:rPr>
              <w:t>Risks:</w:t>
            </w:r>
            <w:r>
              <w:rPr>
                <w:b w:val="0"/>
                <w:color w:val="1F2937"/>
                <w:sz w:val="16"/>
              </w:rPr>
              <w:t xml:space="preserve"> unsupported answers (mitigate with citations and abstention); outdated documents (mitigate with freshness checks).</w:t>
            </w:r>
          </w:p>
          <w:p w14:paraId="33324BB9">
            <w:pPr>
              <w:numPr>
                <w:ilvl w:val="0"/>
                <w:numId w:val="1"/>
              </w:numPr>
              <w:spacing w:before="0" w:after="80"/>
            </w:pPr>
            <w:r>
              <w:rPr>
                <w:b/>
                <w:color w:val="1F2937"/>
                <w:sz w:val="16"/>
              </w:rPr>
              <w:t>Non-goals:</w:t>
            </w:r>
            <w:r>
              <w:rPr>
                <w:b w:val="0"/>
                <w:color w:val="1F2937"/>
                <w:sz w:val="16"/>
              </w:rPr>
              <w:t xml:space="preserve"> no auto-send or refunds; no multi-language, voice, dashboards or web search.</w:t>
            </w:r>
          </w:p>
        </w:tc>
        <w:tc>
          <w:tcPr>
            <w:tcW w:w="1440" w:type="dxa"/>
            <w:tcBorders>
              <w:top w:val="single" w:color="C9D5E7" w:sz="4" w:space="0"/>
              <w:left w:val="single" w:color="C9D5E7" w:sz="4" w:space="0"/>
              <w:bottom w:val="single" w:color="C9D5E7" w:sz="4" w:space="0"/>
              <w:right w:val="single" w:color="C9D5E7" w:sz="4" w:space="0"/>
            </w:tcBorders>
          </w:tcPr>
          <w:p w14:paraId="67970472">
            <w:pPr>
              <w:spacing w:before="0" w:after="0"/>
              <w:rPr>
                <w:rFonts w:hint="eastAsia"/>
              </w:rPr>
            </w:pPr>
            <w:r>
              <w:rPr>
                <w:b w:val="0"/>
                <w:color w:val="1F2937"/>
                <w:sz w:val="16"/>
              </w:rPr>
              <w:t>A</w:t>
            </w:r>
          </w:p>
        </w:tc>
      </w:tr>
      <w:tr w14:paraId="48062601">
        <w:tblPrEx>
          <w:tblCellMar>
            <w:top w:w="0" w:type="dxa"/>
            <w:left w:w="108" w:type="dxa"/>
            <w:bottom w:w="0" w:type="dxa"/>
            <w:right w:w="108" w:type="dxa"/>
          </w:tblCellMar>
        </w:tblPrEx>
        <w:trPr>
          <w:cantSplit/>
          <w:jc w:val="center"/>
        </w:trPr>
        <w:tc>
          <w:tcPr>
            <w:tcW w:w="2880" w:type="dxa"/>
            <w:tcBorders>
              <w:top w:val="single" w:color="C9D5E7" w:sz="4" w:space="0"/>
              <w:left w:val="single" w:color="C9D5E7" w:sz="4" w:space="0"/>
              <w:bottom w:val="single" w:color="C9D5E7" w:sz="4" w:space="0"/>
              <w:right w:val="single" w:color="C9D5E7" w:sz="4" w:space="0"/>
            </w:tcBorders>
            <w:shd w:val="clear" w:color="auto" w:fill="EAF1FB"/>
          </w:tcPr>
          <w:p w14:paraId="3AA8103A">
            <w:pPr>
              <w:rPr>
                <w:rFonts w:hint="eastAsia"/>
              </w:rPr>
            </w:pPr>
            <w:r>
              <w:rPr>
                <w:b/>
                <w:color w:val="163B82"/>
                <w:sz w:val="17"/>
              </w:rPr>
              <w:t>11. Expected Value</w:t>
            </w:r>
          </w:p>
        </w:tc>
        <w:tc>
          <w:tcPr>
            <w:tcW w:w="5472" w:type="dxa"/>
            <w:tcBorders>
              <w:top w:val="single" w:color="C9D5E7" w:sz="4" w:space="0"/>
              <w:left w:val="single" w:color="C9D5E7" w:sz="4" w:space="0"/>
              <w:bottom w:val="single" w:color="C9D5E7" w:sz="4" w:space="0"/>
              <w:right w:val="single" w:color="C9D5E7" w:sz="4" w:space="0"/>
            </w:tcBorders>
          </w:tcPr>
          <w:p w14:paraId="5C835E34">
            <w:pPr>
              <w:spacing w:before="0" w:after="80"/>
              <w:rPr>
                <w:rFonts w:hint="eastAsia"/>
              </w:rPr>
            </w:pPr>
            <w:r>
              <w:rPr>
                <w:b/>
                <w:color w:val="1F2937"/>
                <w:sz w:val="16"/>
              </w:rPr>
              <w:t>Time:</w:t>
            </w:r>
            <w:r>
              <w:rPr>
                <w:b w:val="0"/>
                <w:color w:val="1F2937"/>
                <w:sz w:val="16"/>
              </w:rPr>
              <w:t xml:space="preserve"> 900 × (14 − 6) = 7,200 min = 120 h/month. </w:t>
            </w:r>
            <w:r>
              <w:rPr>
                <w:b/>
                <w:color w:val="1F2937"/>
                <w:sz w:val="16"/>
              </w:rPr>
              <w:t>Labor value:</w:t>
            </w:r>
            <w:r>
              <w:rPr>
                <w:b w:val="0"/>
                <w:color w:val="1F2937"/>
                <w:sz w:val="16"/>
              </w:rPr>
              <w:t xml:space="preserve"> 120 × $28 = $3,360/month (simple estimate, not ROI). </w:t>
            </w:r>
            <w:r>
              <w:rPr>
                <w:b/>
                <w:color w:val="1F2937"/>
                <w:sz w:val="16"/>
              </w:rPr>
              <w:t>Quality/risk:</w:t>
            </w:r>
            <w:r>
              <w:rPr>
                <w:b w:val="0"/>
                <w:color w:val="1F2937"/>
                <w:sz w:val="16"/>
              </w:rPr>
              <w:t xml:space="preserve"> more consistent, policy-grounded answers (not yet quantified).</w:t>
            </w:r>
          </w:p>
        </w:tc>
        <w:tc>
          <w:tcPr>
            <w:tcW w:w="1440" w:type="dxa"/>
            <w:tcBorders>
              <w:top w:val="single" w:color="C9D5E7" w:sz="4" w:space="0"/>
              <w:left w:val="single" w:color="C9D5E7" w:sz="4" w:space="0"/>
              <w:bottom w:val="single" w:color="C9D5E7" w:sz="4" w:space="0"/>
              <w:right w:val="single" w:color="C9D5E7" w:sz="4" w:space="0"/>
            </w:tcBorders>
          </w:tcPr>
          <w:p w14:paraId="36C1E8A0">
            <w:pPr>
              <w:spacing w:before="0" w:after="0"/>
              <w:rPr>
                <w:rFonts w:hint="eastAsia"/>
              </w:rPr>
            </w:pPr>
            <w:r>
              <w:rPr>
                <w:b w:val="0"/>
                <w:color w:val="1F2937"/>
                <w:sz w:val="16"/>
              </w:rPr>
              <w:t>E (from Assumed inputs)</w:t>
            </w:r>
          </w:p>
        </w:tc>
      </w:tr>
      <w:tr w14:paraId="7D223FCB">
        <w:tblPrEx>
          <w:tblCellMar>
            <w:top w:w="0" w:type="dxa"/>
            <w:left w:w="108" w:type="dxa"/>
            <w:bottom w:w="0" w:type="dxa"/>
            <w:right w:w="108" w:type="dxa"/>
          </w:tblCellMar>
        </w:tblPrEx>
        <w:trPr>
          <w:cantSplit/>
          <w:jc w:val="center"/>
        </w:trPr>
        <w:tc>
          <w:tcPr>
            <w:tcW w:w="2880" w:type="dxa"/>
            <w:tcBorders>
              <w:top w:val="single" w:color="C9D5E7" w:sz="4" w:space="0"/>
              <w:left w:val="single" w:color="C9D5E7" w:sz="4" w:space="0"/>
              <w:bottom w:val="single" w:color="C9D5E7" w:sz="4" w:space="0"/>
              <w:right w:val="single" w:color="C9D5E7" w:sz="4" w:space="0"/>
            </w:tcBorders>
            <w:shd w:val="clear" w:color="auto" w:fill="EAF1FB"/>
          </w:tcPr>
          <w:p w14:paraId="2EECD313">
            <w:pPr>
              <w:rPr>
                <w:rFonts w:hint="eastAsia"/>
              </w:rPr>
            </w:pPr>
            <w:r>
              <w:rPr>
                <w:b/>
                <w:color w:val="163B82"/>
                <w:sz w:val="17"/>
              </w:rPr>
              <w:t>12. Evidence Status</w:t>
            </w:r>
          </w:p>
        </w:tc>
        <w:tc>
          <w:tcPr>
            <w:tcW w:w="5472" w:type="dxa"/>
            <w:tcBorders>
              <w:top w:val="single" w:color="C9D5E7" w:sz="4" w:space="0"/>
              <w:left w:val="single" w:color="C9D5E7" w:sz="4" w:space="0"/>
              <w:bottom w:val="single" w:color="C9D5E7" w:sz="4" w:space="0"/>
              <w:right w:val="single" w:color="C9D5E7" w:sz="4" w:space="0"/>
            </w:tcBorders>
          </w:tcPr>
          <w:p w14:paraId="4E6A4A28">
            <w:pPr>
              <w:numPr>
                <w:ilvl w:val="0"/>
                <w:numId w:val="1"/>
              </w:numPr>
              <w:spacing w:before="0" w:after="80"/>
              <w:rPr>
                <w:rFonts w:hint="eastAsia"/>
              </w:rPr>
            </w:pPr>
            <w:r>
              <w:rPr>
                <w:b/>
                <w:color w:val="1F2937"/>
                <w:sz w:val="16"/>
              </w:rPr>
              <w:t>Observed:</w:t>
            </w:r>
            <w:r>
              <w:rPr>
                <w:b w:val="0"/>
                <w:color w:val="1F2937"/>
                <w:sz w:val="16"/>
              </w:rPr>
              <w:t xml:space="preserve"> none yet; no real data has been collected.</w:t>
            </w:r>
          </w:p>
          <w:p w14:paraId="16EFFC05">
            <w:pPr>
              <w:numPr>
                <w:ilvl w:val="0"/>
                <w:numId w:val="1"/>
              </w:numPr>
              <w:spacing w:before="0" w:after="80"/>
            </w:pPr>
            <w:r>
              <w:rPr>
                <w:b/>
                <w:color w:val="1F2937"/>
                <w:sz w:val="16"/>
              </w:rPr>
              <w:t>Assumed:</w:t>
            </w:r>
            <w:r>
              <w:rPr>
                <w:b w:val="0"/>
                <w:color w:val="1F2937"/>
                <w:sz w:val="16"/>
              </w:rPr>
              <w:t xml:space="preserve"> scenario, 900 tickets/month, T₀ = 14 min, T₁ = 6 min, $28/h, thresholds, document availability.</w:t>
            </w:r>
          </w:p>
          <w:p w14:paraId="0A81935A">
            <w:pPr>
              <w:numPr>
                <w:ilvl w:val="0"/>
                <w:numId w:val="1"/>
              </w:numPr>
              <w:spacing w:before="0" w:after="80"/>
            </w:pPr>
            <w:r>
              <w:rPr>
                <w:b/>
                <w:color w:val="1F2937"/>
                <w:sz w:val="16"/>
              </w:rPr>
              <w:t>Estimated:</w:t>
            </w:r>
            <w:r>
              <w:rPr>
                <w:b w:val="0"/>
                <w:color w:val="1F2937"/>
                <w:sz w:val="16"/>
              </w:rPr>
              <w:t xml:space="preserve"> $3,360/month value.</w:t>
            </w:r>
          </w:p>
          <w:p w14:paraId="02684B94">
            <w:pPr>
              <w:numPr>
                <w:ilvl w:val="0"/>
                <w:numId w:val="1"/>
              </w:numPr>
              <w:spacing w:before="0" w:after="80"/>
            </w:pPr>
            <w:r>
              <w:rPr>
                <w:b/>
                <w:color w:val="1F2937"/>
                <w:sz w:val="16"/>
              </w:rPr>
              <w:t>Unknown:</w:t>
            </w:r>
            <w:r>
              <w:rPr>
                <w:b w:val="0"/>
                <w:color w:val="1F2937"/>
                <w:sz w:val="16"/>
              </w:rPr>
              <w:t xml:space="preserve"> repetition rate, real baseline, document quality, agent adoption.</w:t>
            </w:r>
          </w:p>
        </w:tc>
        <w:tc>
          <w:tcPr>
            <w:tcW w:w="1440" w:type="dxa"/>
            <w:tcBorders>
              <w:top w:val="single" w:color="C9D5E7" w:sz="4" w:space="0"/>
              <w:left w:val="single" w:color="C9D5E7" w:sz="4" w:space="0"/>
              <w:bottom w:val="single" w:color="C9D5E7" w:sz="4" w:space="0"/>
              <w:right w:val="single" w:color="C9D5E7" w:sz="4" w:space="0"/>
            </w:tcBorders>
          </w:tcPr>
          <w:p w14:paraId="5EABBA98">
            <w:pPr>
              <w:spacing w:before="0" w:after="0"/>
              <w:rPr>
                <w:rFonts w:hint="eastAsia"/>
              </w:rPr>
            </w:pPr>
            <w:r>
              <w:rPr>
                <w:b w:val="0"/>
                <w:color w:val="1F2937"/>
                <w:sz w:val="16"/>
              </w:rPr>
              <w:t>Summary</w:t>
            </w:r>
          </w:p>
        </w:tc>
      </w:tr>
    </w:tbl>
    <w:p w14:paraId="25F64223">
      <w:pPr>
        <w:rPr>
          <w:rFonts w:hint="eastAsia"/>
        </w:rPr>
      </w:pPr>
    </w:p>
    <w:tbl>
      <w:tblPr>
        <w:tblStyle w:val="12"/>
        <w:tblW w:w="0" w:type="auto"/>
        <w:jc w:val="center"/>
        <w:tblLayout w:type="fixed"/>
        <w:tblCellMar>
          <w:top w:w="0" w:type="dxa"/>
          <w:left w:w="108" w:type="dxa"/>
          <w:bottom w:w="0" w:type="dxa"/>
          <w:right w:w="108" w:type="dxa"/>
        </w:tblCellMar>
      </w:tblPr>
      <w:tblGrid>
        <w:gridCol w:w="4916"/>
        <w:gridCol w:w="4916"/>
      </w:tblGrid>
      <w:tr w14:paraId="43FA0BD3">
        <w:tblPrEx>
          <w:tblCellMar>
            <w:top w:w="0" w:type="dxa"/>
            <w:left w:w="108" w:type="dxa"/>
            <w:bottom w:w="0" w:type="dxa"/>
            <w:right w:w="108" w:type="dxa"/>
          </w:tblCellMar>
        </w:tblPrEx>
        <w:trPr>
          <w:cantSplit/>
          <w:jc w:val="center"/>
        </w:trPr>
        <w:tc>
          <w:tcPr>
            <w:tcW w:w="4916" w:type="dxa"/>
            <w:tcBorders>
              <w:top w:val="single" w:color="D7E0EF" w:sz="4" w:space="0"/>
              <w:left w:val="single" w:color="D7E0EF" w:sz="4" w:space="0"/>
              <w:bottom w:val="single" w:color="D7E0EF" w:sz="4" w:space="0"/>
              <w:right w:val="single" w:color="D7E0EF" w:sz="4" w:space="0"/>
            </w:tcBorders>
            <w:shd w:val="clear" w:color="auto" w:fill="EAF1FB"/>
          </w:tcPr>
          <w:p w14:paraId="73540810">
            <w:pPr>
              <w:spacing w:after="0"/>
              <w:rPr>
                <w:rFonts w:hint="eastAsia"/>
              </w:rPr>
            </w:pPr>
            <w:r>
              <w:rPr>
                <w:b/>
                <w:color w:val="1F1F1F"/>
                <w:sz w:val="21"/>
              </w:rPr>
              <w:t>Q18. Write three important claims from your Q17 canvas. Label each as Observed, Estimated, Assumed, or Unknown, and state what evidence would move the claim to Supported or Rejected.</w:t>
            </w:r>
          </w:p>
        </w:tc>
        <w:tc>
          <w:tcPr>
            <w:tcW w:w="4916" w:type="dxa"/>
            <w:tcBorders>
              <w:top w:val="single" w:color="D7E0EF" w:sz="4" w:space="0"/>
              <w:left w:val="single" w:color="D7E0EF" w:sz="4" w:space="0"/>
              <w:bottom w:val="single" w:color="D7E0EF" w:sz="4" w:space="0"/>
              <w:right w:val="single" w:color="D7E0EF" w:sz="4" w:space="0"/>
            </w:tcBorders>
            <w:shd w:val="clear" w:color="auto" w:fill="FFF6DD"/>
          </w:tcPr>
          <w:p w14:paraId="79C6355C">
            <w:pPr>
              <w:spacing w:after="0"/>
              <w:jc w:val="center"/>
              <w:rPr>
                <w:rFonts w:hint="eastAsia"/>
              </w:rPr>
            </w:pPr>
            <w:r>
              <w:rPr>
                <w:b/>
                <w:color w:val="163B82"/>
                <w:sz w:val="18"/>
              </w:rPr>
              <w:t>3 marks</w:t>
            </w:r>
          </w:p>
        </w:tc>
      </w:tr>
    </w:tbl>
    <w:p w14:paraId="6AA46BCD">
      <w:pPr>
        <w:spacing w:before="40" w:after="60"/>
        <w:rPr>
          <w:rFonts w:hint="eastAsia"/>
        </w:rPr>
      </w:pPr>
      <w:r>
        <w:rPr>
          <w:b/>
          <w:color w:val="F5A000"/>
          <w:sz w:val="17"/>
        </w:rPr>
        <w:t>Book reference: §3.13, “Evidence Status,” pp. 247–248</w:t>
      </w:r>
    </w:p>
    <w:tbl>
      <w:tblPr>
        <w:tblStyle w:val="12"/>
        <w:tblW w:w="0" w:type="auto"/>
        <w:jc w:val="center"/>
        <w:tblLayout w:type="fixed"/>
        <w:tblCellMar>
          <w:top w:w="0" w:type="dxa"/>
          <w:left w:w="108" w:type="dxa"/>
          <w:bottom w:w="0" w:type="dxa"/>
          <w:right w:w="108" w:type="dxa"/>
        </w:tblCellMar>
      </w:tblPr>
      <w:tblGrid>
        <w:gridCol w:w="9432"/>
      </w:tblGrid>
      <w:tr w14:paraId="6747DDDC">
        <w:tblPrEx>
          <w:tblCellMar>
            <w:top w:w="0" w:type="dxa"/>
            <w:left w:w="108" w:type="dxa"/>
            <w:bottom w:w="0" w:type="dxa"/>
            <w:right w:w="108" w:type="dxa"/>
          </w:tblCellMar>
        </w:tblPrEx>
        <w:trPr>
          <w:cantSplit/>
          <w:jc w:val="center"/>
        </w:trPr>
        <w:tc>
          <w:tcPr>
            <w:tcW w:w="9432" w:type="dxa"/>
            <w:tcBorders>
              <w:top w:val="single" w:color="B7C7E6" w:sz="6" w:space="0"/>
              <w:left w:val="single" w:color="B7C7E6" w:sz="6" w:space="0"/>
              <w:bottom w:val="single" w:color="B7C7E6" w:sz="6" w:space="0"/>
              <w:right w:val="single" w:color="B7C7E6" w:sz="6" w:space="0"/>
            </w:tcBorders>
            <w:shd w:val="clear" w:color="auto" w:fill="F9FBFE"/>
          </w:tcPr>
          <w:p w14:paraId="40C8829F">
            <w:pPr>
              <w:spacing w:before="0" w:after="0" w:line="20" w:lineRule="exact"/>
              <w:rPr>
                <w:rFonts w:hint="eastAsia"/>
              </w:rPr>
            </w:pPr>
          </w:p>
          <w:tbl>
            <w:tblPr>
              <w:tblStyle w:val="12"/>
              <w:tblW w:w="9200" w:type="dxa"/>
              <w:tblInd w:w="0" w:type="dxa"/>
              <w:tblLayout w:type="fixed"/>
              <w:tblCellMar>
                <w:top w:w="30" w:type="dxa"/>
                <w:left w:w="70" w:type="dxa"/>
                <w:bottom w:w="30" w:type="dxa"/>
                <w:right w:w="70" w:type="dxa"/>
              </w:tblCellMar>
            </w:tblPr>
            <w:tblGrid>
              <w:gridCol w:w="2900"/>
              <w:gridCol w:w="1300"/>
              <w:gridCol w:w="2600"/>
              <w:gridCol w:w="2400"/>
            </w:tblGrid>
            <w:tr w14:paraId="0B0C2749">
              <w:tblPrEx>
                <w:tblCellMar>
                  <w:top w:w="30" w:type="dxa"/>
                  <w:left w:w="70" w:type="dxa"/>
                  <w:bottom w:w="30" w:type="dxa"/>
                  <w:right w:w="70" w:type="dxa"/>
                </w:tblCellMar>
              </w:tblPrEx>
              <w:trPr>
                <w:cantSplit/>
                <w:tblHeader/>
              </w:trPr>
              <w:tc>
                <w:tcPr>
                  <w:tcW w:w="2900" w:type="dxa"/>
                  <w:tcBorders>
                    <w:top w:val="single" w:color="B7C7E6" w:sz="4" w:space="0"/>
                    <w:left w:val="single" w:color="B7C7E6" w:sz="4" w:space="0"/>
                    <w:bottom w:val="single" w:color="B7C7E6" w:sz="4" w:space="0"/>
                    <w:right w:val="single" w:color="B7C7E6" w:sz="4" w:space="0"/>
                  </w:tcBorders>
                  <w:shd w:val="clear" w:color="auto" w:fill="EAF1FB"/>
                </w:tcPr>
                <w:p w14:paraId="1C6A6854">
                  <w:pPr>
                    <w:spacing w:before="0" w:after="0"/>
                  </w:pPr>
                  <w:r>
                    <w:rPr>
                      <w:b/>
                      <w:color w:val="163B82"/>
                      <w:sz w:val="16"/>
                    </w:rPr>
                    <w:t>Claim from the canvas</w:t>
                  </w:r>
                </w:p>
              </w:tc>
              <w:tc>
                <w:tcPr>
                  <w:tcW w:w="1300" w:type="dxa"/>
                  <w:tcBorders>
                    <w:top w:val="single" w:color="B7C7E6" w:sz="4" w:space="0"/>
                    <w:left w:val="single" w:color="B7C7E6" w:sz="4" w:space="0"/>
                    <w:bottom w:val="single" w:color="B7C7E6" w:sz="4" w:space="0"/>
                    <w:right w:val="single" w:color="B7C7E6" w:sz="4" w:space="0"/>
                  </w:tcBorders>
                  <w:shd w:val="clear" w:color="auto" w:fill="EAF1FB"/>
                </w:tcPr>
                <w:p w14:paraId="63FCEC05">
                  <w:pPr>
                    <w:spacing w:before="0" w:after="0"/>
                  </w:pPr>
                  <w:r>
                    <w:rPr>
                      <w:b/>
                      <w:color w:val="163B82"/>
                      <w:sz w:val="16"/>
                    </w:rPr>
                    <w:t>Status</w:t>
                  </w:r>
                </w:p>
              </w:tc>
              <w:tc>
                <w:tcPr>
                  <w:tcW w:w="2600" w:type="dxa"/>
                  <w:tcBorders>
                    <w:top w:val="single" w:color="B7C7E6" w:sz="4" w:space="0"/>
                    <w:left w:val="single" w:color="B7C7E6" w:sz="4" w:space="0"/>
                    <w:bottom w:val="single" w:color="B7C7E6" w:sz="4" w:space="0"/>
                    <w:right w:val="single" w:color="B7C7E6" w:sz="4" w:space="0"/>
                  </w:tcBorders>
                  <w:shd w:val="clear" w:color="auto" w:fill="EAF1FB"/>
                </w:tcPr>
                <w:p w14:paraId="7A9CBE32">
                  <w:pPr>
                    <w:spacing w:before="0" w:after="0"/>
                  </w:pPr>
                  <w:r>
                    <w:rPr>
                      <w:b/>
                      <w:color w:val="163B82"/>
                      <w:sz w:val="16"/>
                    </w:rPr>
                    <w:t>Evidence that would make it Supported</w:t>
                  </w:r>
                </w:p>
              </w:tc>
              <w:tc>
                <w:tcPr>
                  <w:tcW w:w="2400" w:type="dxa"/>
                  <w:tcBorders>
                    <w:top w:val="single" w:color="B7C7E6" w:sz="4" w:space="0"/>
                    <w:left w:val="single" w:color="B7C7E6" w:sz="4" w:space="0"/>
                    <w:bottom w:val="single" w:color="B7C7E6" w:sz="4" w:space="0"/>
                    <w:right w:val="single" w:color="B7C7E6" w:sz="4" w:space="0"/>
                  </w:tcBorders>
                  <w:shd w:val="clear" w:color="auto" w:fill="EAF1FB"/>
                </w:tcPr>
                <w:p w14:paraId="48411281">
                  <w:pPr>
                    <w:spacing w:before="0" w:after="0"/>
                  </w:pPr>
                  <w:r>
                    <w:rPr>
                      <w:b/>
                      <w:color w:val="163B82"/>
                      <w:sz w:val="16"/>
                    </w:rPr>
                    <w:t>Evidence that would make it Rejected</w:t>
                  </w:r>
                </w:p>
              </w:tc>
            </w:tr>
            <w:tr w14:paraId="5B52844F">
              <w:tblPrEx>
                <w:tblCellMar>
                  <w:top w:w="30" w:type="dxa"/>
                  <w:left w:w="70" w:type="dxa"/>
                  <w:bottom w:w="30" w:type="dxa"/>
                  <w:right w:w="70" w:type="dxa"/>
                </w:tblCellMar>
              </w:tblPrEx>
              <w:trPr>
                <w:cantSplit/>
              </w:trPr>
              <w:tc>
                <w:tcPr>
                  <w:tcW w:w="2900" w:type="dxa"/>
                  <w:tcBorders>
                    <w:top w:val="single" w:color="B7C7E6" w:sz="4" w:space="0"/>
                    <w:left w:val="single" w:color="B7C7E6" w:sz="4" w:space="0"/>
                    <w:bottom w:val="single" w:color="B7C7E6" w:sz="4" w:space="0"/>
                    <w:right w:val="single" w:color="B7C7E6" w:sz="4" w:space="0"/>
                  </w:tcBorders>
                </w:tcPr>
                <w:p w14:paraId="001B5A0B">
                  <w:pPr>
                    <w:spacing w:before="0" w:after="0"/>
                  </w:pPr>
                  <w:r>
                    <w:rPr>
                      <w:b w:val="0"/>
                      <w:color w:val="1F2937"/>
                      <w:sz w:val="16"/>
                    </w:rPr>
                    <w:t>1. Repeated-question tickets currently take about 14 min each, and about 6 of those minutes are search and verification.</w:t>
                  </w:r>
                </w:p>
              </w:tc>
              <w:tc>
                <w:tcPr>
                  <w:tcW w:w="1300" w:type="dxa"/>
                  <w:tcBorders>
                    <w:top w:val="single" w:color="B7C7E6" w:sz="4" w:space="0"/>
                    <w:left w:val="single" w:color="B7C7E6" w:sz="4" w:space="0"/>
                    <w:bottom w:val="single" w:color="B7C7E6" w:sz="4" w:space="0"/>
                    <w:right w:val="single" w:color="B7C7E6" w:sz="4" w:space="0"/>
                  </w:tcBorders>
                </w:tcPr>
                <w:p w14:paraId="412F915E">
                  <w:pPr>
                    <w:spacing w:before="0" w:after="0"/>
                  </w:pPr>
                  <w:r>
                    <w:rPr>
                      <w:b/>
                      <w:color w:val="1F2937"/>
                      <w:sz w:val="16"/>
                    </w:rPr>
                    <w:t>Assumed</w:t>
                  </w:r>
                </w:p>
              </w:tc>
              <w:tc>
                <w:tcPr>
                  <w:tcW w:w="2600" w:type="dxa"/>
                  <w:tcBorders>
                    <w:top w:val="single" w:color="B7C7E6" w:sz="4" w:space="0"/>
                    <w:left w:val="single" w:color="B7C7E6" w:sz="4" w:space="0"/>
                    <w:bottom w:val="single" w:color="B7C7E6" w:sz="4" w:space="0"/>
                    <w:right w:val="single" w:color="B7C7E6" w:sz="4" w:space="0"/>
                  </w:tcBorders>
                </w:tcPr>
                <w:p w14:paraId="77E71186">
                  <w:pPr>
                    <w:spacing w:before="0" w:after="0"/>
                  </w:pPr>
                  <w:r>
                    <w:rPr>
                      <w:b w:val="0"/>
                      <w:color w:val="1F2937"/>
                      <w:sz w:val="16"/>
                    </w:rPr>
                    <w:t>Time-and-motion sample of 50 tickets plus 5 shadowing sessions shows a median ≥ 10 min and search/verify ≥ 40% of the time.</w:t>
                  </w:r>
                </w:p>
              </w:tc>
              <w:tc>
                <w:tcPr>
                  <w:tcW w:w="2400" w:type="dxa"/>
                  <w:tcBorders>
                    <w:top w:val="single" w:color="B7C7E6" w:sz="4" w:space="0"/>
                    <w:left w:val="single" w:color="B7C7E6" w:sz="4" w:space="0"/>
                    <w:bottom w:val="single" w:color="B7C7E6" w:sz="4" w:space="0"/>
                    <w:right w:val="single" w:color="B7C7E6" w:sz="4" w:space="0"/>
                  </w:tcBorders>
                </w:tcPr>
                <w:p w14:paraId="1E36B41C">
                  <w:pPr>
                    <w:spacing w:before="0" w:after="0"/>
                  </w:pPr>
                  <w:r>
                    <w:rPr>
                      <w:b w:val="0"/>
                      <w:color w:val="1F2937"/>
                      <w:sz w:val="16"/>
                    </w:rPr>
                    <w:t>Median &lt; 8 min, or search/verify &lt; 20% of the time (the pain is not where assumed).</w:t>
                  </w:r>
                </w:p>
              </w:tc>
            </w:tr>
            <w:tr w14:paraId="5D543D36">
              <w:tblPrEx>
                <w:tblCellMar>
                  <w:top w:w="30" w:type="dxa"/>
                  <w:left w:w="70" w:type="dxa"/>
                  <w:bottom w:w="30" w:type="dxa"/>
                  <w:right w:w="70" w:type="dxa"/>
                </w:tblCellMar>
              </w:tblPrEx>
              <w:trPr>
                <w:cantSplit/>
              </w:trPr>
              <w:tc>
                <w:tcPr>
                  <w:tcW w:w="2900" w:type="dxa"/>
                  <w:tcBorders>
                    <w:top w:val="single" w:color="B7C7E6" w:sz="4" w:space="0"/>
                    <w:left w:val="single" w:color="B7C7E6" w:sz="4" w:space="0"/>
                    <w:bottom w:val="single" w:color="B7C7E6" w:sz="4" w:space="0"/>
                    <w:right w:val="single" w:color="B7C7E6" w:sz="4" w:space="0"/>
                  </w:tcBorders>
                </w:tcPr>
                <w:p w14:paraId="1A54EB16">
                  <w:pPr>
                    <w:spacing w:before="0" w:after="0"/>
                  </w:pPr>
                  <w:r>
                    <w:rPr>
                      <w:b w:val="0"/>
                      <w:color w:val="1F2937"/>
                      <w:sz w:val="16"/>
                    </w:rPr>
                    <w:t>2. At least 80% of the repeated questions can be answered from existing approved documents.</w:t>
                  </w:r>
                </w:p>
              </w:tc>
              <w:tc>
                <w:tcPr>
                  <w:tcW w:w="1300" w:type="dxa"/>
                  <w:tcBorders>
                    <w:top w:val="single" w:color="B7C7E6" w:sz="4" w:space="0"/>
                    <w:left w:val="single" w:color="B7C7E6" w:sz="4" w:space="0"/>
                    <w:bottom w:val="single" w:color="B7C7E6" w:sz="4" w:space="0"/>
                    <w:right w:val="single" w:color="B7C7E6" w:sz="4" w:space="0"/>
                  </w:tcBorders>
                </w:tcPr>
                <w:p w14:paraId="77295B75">
                  <w:pPr>
                    <w:spacing w:before="0" w:after="0"/>
                  </w:pPr>
                  <w:r>
                    <w:rPr>
                      <w:b/>
                      <w:color w:val="1F2937"/>
                      <w:sz w:val="16"/>
                    </w:rPr>
                    <w:t>Unknown</w:t>
                  </w:r>
                </w:p>
              </w:tc>
              <w:tc>
                <w:tcPr>
                  <w:tcW w:w="2600" w:type="dxa"/>
                  <w:tcBorders>
                    <w:top w:val="single" w:color="B7C7E6" w:sz="4" w:space="0"/>
                    <w:left w:val="single" w:color="B7C7E6" w:sz="4" w:space="0"/>
                    <w:bottom w:val="single" w:color="B7C7E6" w:sz="4" w:space="0"/>
                    <w:right w:val="single" w:color="B7C7E6" w:sz="4" w:space="0"/>
                  </w:tcBorders>
                </w:tcPr>
                <w:p w14:paraId="7A964A4D">
                  <w:pPr>
                    <w:spacing w:before="0" w:after="0"/>
                  </w:pPr>
                  <w:r>
                    <w:rPr>
                      <w:b w:val="0"/>
                      <w:color w:val="1F2937"/>
                      <w:sz w:val="16"/>
                    </w:rPr>
                    <w:t>Audit of 100 sampled tickets: ≥ 80% have their answer in the current knowledge base.</w:t>
                  </w:r>
                </w:p>
              </w:tc>
              <w:tc>
                <w:tcPr>
                  <w:tcW w:w="2400" w:type="dxa"/>
                  <w:tcBorders>
                    <w:top w:val="single" w:color="B7C7E6" w:sz="4" w:space="0"/>
                    <w:left w:val="single" w:color="B7C7E6" w:sz="4" w:space="0"/>
                    <w:bottom w:val="single" w:color="B7C7E6" w:sz="4" w:space="0"/>
                    <w:right w:val="single" w:color="B7C7E6" w:sz="4" w:space="0"/>
                  </w:tcBorders>
                </w:tcPr>
                <w:p w14:paraId="4FF4949F">
                  <w:pPr>
                    <w:spacing w:before="0" w:after="0"/>
                  </w:pPr>
                  <w:r>
                    <w:rPr>
                      <w:b w:val="0"/>
                      <w:color w:val="1F2937"/>
                      <w:sz w:val="16"/>
                    </w:rPr>
                    <w:t>Fewer than 50% are answerable from documents (knowledge gap, not a retrieval problem).</w:t>
                  </w:r>
                </w:p>
              </w:tc>
            </w:tr>
            <w:tr w14:paraId="2EAD0114">
              <w:tblPrEx>
                <w:tblCellMar>
                  <w:top w:w="30" w:type="dxa"/>
                  <w:left w:w="70" w:type="dxa"/>
                  <w:bottom w:w="30" w:type="dxa"/>
                  <w:right w:w="70" w:type="dxa"/>
                </w:tblCellMar>
              </w:tblPrEx>
              <w:trPr>
                <w:cantSplit/>
              </w:trPr>
              <w:tc>
                <w:tcPr>
                  <w:tcW w:w="2900" w:type="dxa"/>
                  <w:tcBorders>
                    <w:top w:val="single" w:color="B7C7E6" w:sz="4" w:space="0"/>
                    <w:left w:val="single" w:color="B7C7E6" w:sz="4" w:space="0"/>
                    <w:bottom w:val="single" w:color="B7C7E6" w:sz="4" w:space="0"/>
                    <w:right w:val="single" w:color="B7C7E6" w:sz="4" w:space="0"/>
                  </w:tcBorders>
                </w:tcPr>
                <w:p w14:paraId="0B659B77">
                  <w:pPr>
                    <w:spacing w:before="0" w:after="0"/>
                  </w:pPr>
                  <w:r>
                    <w:rPr>
                      <w:b w:val="0"/>
                      <w:color w:val="1F2937"/>
                      <w:sz w:val="16"/>
                    </w:rPr>
                    <w:t>3. The MVP can cut handle time from 14 to 6 min, worth about $3,360 per month.</w:t>
                  </w:r>
                </w:p>
              </w:tc>
              <w:tc>
                <w:tcPr>
                  <w:tcW w:w="1300" w:type="dxa"/>
                  <w:tcBorders>
                    <w:top w:val="single" w:color="B7C7E6" w:sz="4" w:space="0"/>
                    <w:left w:val="single" w:color="B7C7E6" w:sz="4" w:space="0"/>
                    <w:bottom w:val="single" w:color="B7C7E6" w:sz="4" w:space="0"/>
                    <w:right w:val="single" w:color="B7C7E6" w:sz="4" w:space="0"/>
                  </w:tcBorders>
                </w:tcPr>
                <w:p w14:paraId="22B0E776">
                  <w:pPr>
                    <w:spacing w:before="0" w:after="0"/>
                  </w:pPr>
                  <w:r>
                    <w:rPr>
                      <w:b/>
                      <w:color w:val="1F2937"/>
                      <w:sz w:val="16"/>
                    </w:rPr>
                    <w:t>Estimated</w:t>
                  </w:r>
                  <w:r>
                    <w:rPr>
                      <w:b w:val="0"/>
                      <w:color w:val="1F2937"/>
                      <w:sz w:val="16"/>
                    </w:rPr>
                    <w:t xml:space="preserve"> (derived from Assumed inputs)</w:t>
                  </w:r>
                </w:p>
              </w:tc>
              <w:tc>
                <w:tcPr>
                  <w:tcW w:w="2600" w:type="dxa"/>
                  <w:tcBorders>
                    <w:top w:val="single" w:color="B7C7E6" w:sz="4" w:space="0"/>
                    <w:left w:val="single" w:color="B7C7E6" w:sz="4" w:space="0"/>
                    <w:bottom w:val="single" w:color="B7C7E6" w:sz="4" w:space="0"/>
                    <w:right w:val="single" w:color="B7C7E6" w:sz="4" w:space="0"/>
                  </w:tcBorders>
                </w:tcPr>
                <w:p w14:paraId="6DD719E0">
                  <w:pPr>
                    <w:spacing w:before="0" w:after="0"/>
                  </w:pPr>
                  <w:r>
                    <w:rPr>
                      <w:b w:val="0"/>
                      <w:color w:val="1F2937"/>
                      <w:sz w:val="16"/>
                    </w:rPr>
                    <w:t>2-week pilot with 5 agents: median ≤ 6 min, with all Critical criteria passed and ≥ 90% supported answers.</w:t>
                  </w:r>
                </w:p>
              </w:tc>
              <w:tc>
                <w:tcPr>
                  <w:tcW w:w="2400" w:type="dxa"/>
                  <w:tcBorders>
                    <w:top w:val="single" w:color="B7C7E6" w:sz="4" w:space="0"/>
                    <w:left w:val="single" w:color="B7C7E6" w:sz="4" w:space="0"/>
                    <w:bottom w:val="single" w:color="B7C7E6" w:sz="4" w:space="0"/>
                    <w:right w:val="single" w:color="B7C7E6" w:sz="4" w:space="0"/>
                  </w:tcBorders>
                </w:tcPr>
                <w:p w14:paraId="24BC70F5">
                  <w:pPr>
                    <w:spacing w:before="0" w:after="0"/>
                  </w:pPr>
                  <w:r>
                    <w:rPr>
                      <w:b w:val="0"/>
                      <w:color w:val="1F2937"/>
                      <w:sz w:val="16"/>
                    </w:rPr>
                    <w:t>Reduction under 20%, or any Critical criterion fails, or agents do not adopt it.</w:t>
                  </w:r>
                </w:p>
              </w:tc>
            </w:tr>
          </w:tbl>
          <w:p w14:paraId="04DDD454">
            <w:pPr>
              <w:spacing w:before="0" w:after="40" w:line="80" w:lineRule="exact"/>
            </w:pPr>
          </w:p>
        </w:tc>
      </w:tr>
    </w:tbl>
    <w:p w14:paraId="4B17216E">
      <w:pPr>
        <w:spacing w:after="40"/>
        <w:rPr>
          <w:rFonts w:hint="eastAsia"/>
        </w:rPr>
      </w:pPr>
    </w:p>
    <w:tbl>
      <w:tblPr>
        <w:tblStyle w:val="12"/>
        <w:tblW w:w="0" w:type="auto"/>
        <w:jc w:val="center"/>
        <w:tblLayout w:type="fixed"/>
        <w:tblCellMar>
          <w:top w:w="0" w:type="dxa"/>
          <w:left w:w="108" w:type="dxa"/>
          <w:bottom w:w="0" w:type="dxa"/>
          <w:right w:w="108" w:type="dxa"/>
        </w:tblCellMar>
      </w:tblPr>
      <w:tblGrid>
        <w:gridCol w:w="4916"/>
        <w:gridCol w:w="4916"/>
      </w:tblGrid>
      <w:tr w14:paraId="32C9FB75">
        <w:tblPrEx>
          <w:tblCellMar>
            <w:top w:w="0" w:type="dxa"/>
            <w:left w:w="108" w:type="dxa"/>
            <w:bottom w:w="0" w:type="dxa"/>
            <w:right w:w="108" w:type="dxa"/>
          </w:tblCellMar>
        </w:tblPrEx>
        <w:trPr>
          <w:cantSplit/>
          <w:jc w:val="center"/>
        </w:trPr>
        <w:tc>
          <w:tcPr>
            <w:tcW w:w="4916" w:type="dxa"/>
            <w:tcBorders>
              <w:top w:val="single" w:color="D7E0EF" w:sz="4" w:space="0"/>
              <w:left w:val="single" w:color="D7E0EF" w:sz="4" w:space="0"/>
              <w:bottom w:val="single" w:color="D7E0EF" w:sz="4" w:space="0"/>
              <w:right w:val="single" w:color="D7E0EF" w:sz="4" w:space="0"/>
            </w:tcBorders>
            <w:shd w:val="clear" w:color="auto" w:fill="EAF1FB"/>
          </w:tcPr>
          <w:p w14:paraId="516A5100">
            <w:pPr>
              <w:spacing w:after="0"/>
              <w:rPr>
                <w:rFonts w:hint="eastAsia"/>
              </w:rPr>
            </w:pPr>
            <w:r>
              <w:rPr>
                <w:b/>
                <w:color w:val="1F1F1F"/>
                <w:sz w:val="21"/>
              </w:rPr>
              <w:t>Q19. Compare any two official solution tracks. For each, state its most useful baseline, likely capability mix, Minimum Useful MVP, and one critical safety/quality check.</w:t>
            </w:r>
          </w:p>
        </w:tc>
        <w:tc>
          <w:tcPr>
            <w:tcW w:w="4916" w:type="dxa"/>
            <w:tcBorders>
              <w:top w:val="single" w:color="D7E0EF" w:sz="4" w:space="0"/>
              <w:left w:val="single" w:color="D7E0EF" w:sz="4" w:space="0"/>
              <w:bottom w:val="single" w:color="D7E0EF" w:sz="4" w:space="0"/>
              <w:right w:val="single" w:color="D7E0EF" w:sz="4" w:space="0"/>
            </w:tcBorders>
            <w:shd w:val="clear" w:color="auto" w:fill="FFF6DD"/>
          </w:tcPr>
          <w:p w14:paraId="76B2573F">
            <w:pPr>
              <w:spacing w:after="0"/>
              <w:jc w:val="center"/>
              <w:rPr>
                <w:rFonts w:hint="eastAsia"/>
              </w:rPr>
            </w:pPr>
            <w:r>
              <w:rPr>
                <w:b/>
                <w:color w:val="163B82"/>
                <w:sz w:val="18"/>
              </w:rPr>
              <w:t>3 marks</w:t>
            </w:r>
          </w:p>
        </w:tc>
      </w:tr>
    </w:tbl>
    <w:p w14:paraId="09C07CD1">
      <w:pPr>
        <w:spacing w:before="40" w:after="60"/>
        <w:rPr>
          <w:rFonts w:hint="eastAsia"/>
        </w:rPr>
      </w:pPr>
      <w:r>
        <w:rPr>
          <w:b/>
          <w:color w:val="F5A000"/>
          <w:sz w:val="17"/>
        </w:rPr>
        <w:t>Book reference: §3.15, “The Same Canvas Across All Four Solution Tracks,” pp. 257–259</w:t>
      </w:r>
    </w:p>
    <w:tbl>
      <w:tblPr>
        <w:tblStyle w:val="12"/>
        <w:tblW w:w="0" w:type="auto"/>
        <w:jc w:val="center"/>
        <w:tblLayout w:type="fixed"/>
        <w:tblCellMar>
          <w:top w:w="0" w:type="dxa"/>
          <w:left w:w="108" w:type="dxa"/>
          <w:bottom w:w="0" w:type="dxa"/>
          <w:right w:w="108" w:type="dxa"/>
        </w:tblCellMar>
      </w:tblPr>
      <w:tblGrid>
        <w:gridCol w:w="9432"/>
      </w:tblGrid>
      <w:tr w14:paraId="4A9F4CED">
        <w:tblPrEx>
          <w:tblCellMar>
            <w:top w:w="0" w:type="dxa"/>
            <w:left w:w="108" w:type="dxa"/>
            <w:bottom w:w="0" w:type="dxa"/>
            <w:right w:w="108" w:type="dxa"/>
          </w:tblCellMar>
        </w:tblPrEx>
        <w:trPr>
          <w:cantSplit/>
          <w:jc w:val="center"/>
        </w:trPr>
        <w:tc>
          <w:tcPr>
            <w:tcW w:w="9432" w:type="dxa"/>
            <w:tcBorders>
              <w:top w:val="single" w:color="B7C7E6" w:sz="6" w:space="0"/>
              <w:left w:val="single" w:color="B7C7E6" w:sz="6" w:space="0"/>
              <w:bottom w:val="single" w:color="B7C7E6" w:sz="6" w:space="0"/>
              <w:right w:val="single" w:color="B7C7E6" w:sz="6" w:space="0"/>
            </w:tcBorders>
            <w:shd w:val="clear" w:color="auto" w:fill="F9FBFE"/>
          </w:tcPr>
          <w:p w14:paraId="38811214">
            <w:pPr>
              <w:spacing w:before="0" w:after="80"/>
              <w:rPr>
                <w:rFonts w:hint="eastAsia"/>
              </w:rPr>
            </w:pPr>
            <w:r>
              <w:rPr>
                <w:b w:val="0"/>
                <w:color w:val="1F2937"/>
                <w:sz w:val="18"/>
              </w:rPr>
              <w:t xml:space="preserve">Two official tracks compared: </w:t>
            </w:r>
            <w:r>
              <w:rPr>
                <w:b/>
                <w:color w:val="1F2937"/>
                <w:sz w:val="18"/>
              </w:rPr>
              <w:t>Customer Support Assistant</w:t>
            </w:r>
            <w:r>
              <w:rPr>
                <w:b w:val="0"/>
                <w:color w:val="1F2937"/>
                <w:sz w:val="18"/>
              </w:rPr>
              <w:t xml:space="preserve"> and </w:t>
            </w:r>
            <w:r>
              <w:rPr>
                <w:b/>
                <w:color w:val="1F2937"/>
                <w:sz w:val="18"/>
              </w:rPr>
              <w:t>AIOps Log Intelligence</w:t>
            </w:r>
            <w:r>
              <w:rPr>
                <w:b w:val="0"/>
                <w:color w:val="1F2937"/>
                <w:sz w:val="18"/>
              </w:rPr>
              <w:t>.</w:t>
            </w:r>
          </w:p>
          <w:tbl>
            <w:tblPr>
              <w:tblStyle w:val="12"/>
              <w:tblW w:w="9200" w:type="dxa"/>
              <w:tblInd w:w="0" w:type="dxa"/>
              <w:tblLayout w:type="fixed"/>
              <w:tblCellMar>
                <w:top w:w="30" w:type="dxa"/>
                <w:left w:w="70" w:type="dxa"/>
                <w:bottom w:w="30" w:type="dxa"/>
                <w:right w:w="70" w:type="dxa"/>
              </w:tblCellMar>
            </w:tblPr>
            <w:tblGrid>
              <w:gridCol w:w="1700"/>
              <w:gridCol w:w="3800"/>
              <w:gridCol w:w="3700"/>
            </w:tblGrid>
            <w:tr w14:paraId="09F0B6F8">
              <w:tblPrEx>
                <w:tblCellMar>
                  <w:top w:w="30" w:type="dxa"/>
                  <w:left w:w="70" w:type="dxa"/>
                  <w:bottom w:w="30" w:type="dxa"/>
                  <w:right w:w="70" w:type="dxa"/>
                </w:tblCellMar>
              </w:tblPrEx>
              <w:trPr>
                <w:cantSplit/>
                <w:tblHeader/>
              </w:trPr>
              <w:tc>
                <w:tcPr>
                  <w:tcW w:w="1700" w:type="dxa"/>
                  <w:tcBorders>
                    <w:top w:val="single" w:color="B7C7E6" w:sz="4" w:space="0"/>
                    <w:left w:val="single" w:color="B7C7E6" w:sz="4" w:space="0"/>
                    <w:bottom w:val="single" w:color="B7C7E6" w:sz="4" w:space="0"/>
                    <w:right w:val="single" w:color="B7C7E6" w:sz="4" w:space="0"/>
                  </w:tcBorders>
                  <w:shd w:val="clear" w:color="auto" w:fill="EAF1FB"/>
                </w:tcPr>
                <w:p w14:paraId="5AEDB657">
                  <w:pPr>
                    <w:spacing w:before="0" w:after="0"/>
                  </w:pPr>
                  <w:r>
                    <w:rPr>
                      <w:b/>
                      <w:color w:val="163B82"/>
                      <w:sz w:val="16"/>
                    </w:rPr>
                    <w:t>Item</w:t>
                  </w:r>
                </w:p>
              </w:tc>
              <w:tc>
                <w:tcPr>
                  <w:tcW w:w="3800" w:type="dxa"/>
                  <w:tcBorders>
                    <w:top w:val="single" w:color="B7C7E6" w:sz="4" w:space="0"/>
                    <w:left w:val="single" w:color="B7C7E6" w:sz="4" w:space="0"/>
                    <w:bottom w:val="single" w:color="B7C7E6" w:sz="4" w:space="0"/>
                    <w:right w:val="single" w:color="B7C7E6" w:sz="4" w:space="0"/>
                  </w:tcBorders>
                  <w:shd w:val="clear" w:color="auto" w:fill="EAF1FB"/>
                </w:tcPr>
                <w:p w14:paraId="296AC5D4">
                  <w:pPr>
                    <w:spacing w:before="0" w:after="0"/>
                  </w:pPr>
                  <w:r>
                    <w:rPr>
                      <w:b/>
                      <w:color w:val="163B82"/>
                      <w:sz w:val="16"/>
                    </w:rPr>
                    <w:t>Customer Support Assistant</w:t>
                  </w:r>
                </w:p>
              </w:tc>
              <w:tc>
                <w:tcPr>
                  <w:tcW w:w="3700" w:type="dxa"/>
                  <w:tcBorders>
                    <w:top w:val="single" w:color="B7C7E6" w:sz="4" w:space="0"/>
                    <w:left w:val="single" w:color="B7C7E6" w:sz="4" w:space="0"/>
                    <w:bottom w:val="single" w:color="B7C7E6" w:sz="4" w:space="0"/>
                    <w:right w:val="single" w:color="B7C7E6" w:sz="4" w:space="0"/>
                  </w:tcBorders>
                  <w:shd w:val="clear" w:color="auto" w:fill="EAF1FB"/>
                </w:tcPr>
                <w:p w14:paraId="56874461">
                  <w:pPr>
                    <w:spacing w:before="0" w:after="0"/>
                  </w:pPr>
                  <w:r>
                    <w:rPr>
                      <w:b/>
                      <w:color w:val="163B82"/>
                      <w:sz w:val="16"/>
                    </w:rPr>
                    <w:t>AIOps Log Intelligence</w:t>
                  </w:r>
                </w:p>
              </w:tc>
            </w:tr>
            <w:tr w14:paraId="14B097E3">
              <w:tblPrEx>
                <w:tblCellMar>
                  <w:top w:w="30" w:type="dxa"/>
                  <w:left w:w="70" w:type="dxa"/>
                  <w:bottom w:w="30" w:type="dxa"/>
                  <w:right w:w="70" w:type="dxa"/>
                </w:tblCellMar>
              </w:tblPrEx>
              <w:trPr>
                <w:cantSplit/>
              </w:trPr>
              <w:tc>
                <w:tcPr>
                  <w:tcW w:w="1700" w:type="dxa"/>
                  <w:tcBorders>
                    <w:top w:val="single" w:color="B7C7E6" w:sz="4" w:space="0"/>
                    <w:left w:val="single" w:color="B7C7E6" w:sz="4" w:space="0"/>
                    <w:bottom w:val="single" w:color="B7C7E6" w:sz="4" w:space="0"/>
                    <w:right w:val="single" w:color="B7C7E6" w:sz="4" w:space="0"/>
                  </w:tcBorders>
                </w:tcPr>
                <w:p w14:paraId="151466EB">
                  <w:pPr>
                    <w:spacing w:before="0" w:after="0"/>
                  </w:pPr>
                  <w:r>
                    <w:rPr>
                      <w:b/>
                      <w:color w:val="1F2937"/>
                      <w:sz w:val="16"/>
                    </w:rPr>
                    <w:t>Most useful baseline</w:t>
                  </w:r>
                </w:p>
              </w:tc>
              <w:tc>
                <w:tcPr>
                  <w:tcW w:w="3800" w:type="dxa"/>
                  <w:tcBorders>
                    <w:top w:val="single" w:color="B7C7E6" w:sz="4" w:space="0"/>
                    <w:left w:val="single" w:color="B7C7E6" w:sz="4" w:space="0"/>
                    <w:bottom w:val="single" w:color="B7C7E6" w:sz="4" w:space="0"/>
                    <w:right w:val="single" w:color="B7C7E6" w:sz="4" w:space="0"/>
                  </w:tcBorders>
                </w:tcPr>
                <w:p w14:paraId="58BC1C55">
                  <w:pPr>
                    <w:spacing w:before="0" w:after="0"/>
                  </w:pPr>
                  <w:r>
                    <w:rPr>
                      <w:b w:val="0"/>
                      <w:color w:val="1F2937"/>
                      <w:sz w:val="16"/>
                    </w:rPr>
                    <w:t>Average handle time and first-response time per repeated-intent ticket; technical baseline: keyword search over the help center.</w:t>
                  </w:r>
                </w:p>
              </w:tc>
              <w:tc>
                <w:tcPr>
                  <w:tcW w:w="3700" w:type="dxa"/>
                  <w:tcBorders>
                    <w:top w:val="single" w:color="B7C7E6" w:sz="4" w:space="0"/>
                    <w:left w:val="single" w:color="B7C7E6" w:sz="4" w:space="0"/>
                    <w:bottom w:val="single" w:color="B7C7E6" w:sz="4" w:space="0"/>
                    <w:right w:val="single" w:color="B7C7E6" w:sz="4" w:space="0"/>
                  </w:tcBorders>
                </w:tcPr>
                <w:p w14:paraId="10E0D4E4">
                  <w:pPr>
                    <w:spacing w:before="0" w:after="0"/>
                  </w:pPr>
                  <w:r>
                    <w:rPr>
                      <w:b w:val="0"/>
                      <w:color w:val="1F2937"/>
                      <w:sz w:val="16"/>
                    </w:rPr>
                    <w:t>Time to detect and triage an incident, and alert volume, using existing threshold alerts plus manual grep; technical baseline: rule/threshold detection.</w:t>
                  </w:r>
                </w:p>
              </w:tc>
            </w:tr>
            <w:tr w14:paraId="4F9FAE21">
              <w:tblPrEx>
                <w:tblCellMar>
                  <w:top w:w="30" w:type="dxa"/>
                  <w:left w:w="70" w:type="dxa"/>
                  <w:bottom w:w="30" w:type="dxa"/>
                  <w:right w:w="70" w:type="dxa"/>
                </w:tblCellMar>
              </w:tblPrEx>
              <w:trPr>
                <w:cantSplit/>
              </w:trPr>
              <w:tc>
                <w:tcPr>
                  <w:tcW w:w="1700" w:type="dxa"/>
                  <w:tcBorders>
                    <w:top w:val="single" w:color="B7C7E6" w:sz="4" w:space="0"/>
                    <w:left w:val="single" w:color="B7C7E6" w:sz="4" w:space="0"/>
                    <w:bottom w:val="single" w:color="B7C7E6" w:sz="4" w:space="0"/>
                    <w:right w:val="single" w:color="B7C7E6" w:sz="4" w:space="0"/>
                  </w:tcBorders>
                </w:tcPr>
                <w:p w14:paraId="5F1B7D6F">
                  <w:pPr>
                    <w:spacing w:before="0" w:after="0"/>
                  </w:pPr>
                  <w:r>
                    <w:rPr>
                      <w:b/>
                      <w:color w:val="1F2937"/>
                      <w:sz w:val="16"/>
                    </w:rPr>
                    <w:t>Likely capability mix</w:t>
                  </w:r>
                </w:p>
              </w:tc>
              <w:tc>
                <w:tcPr>
                  <w:tcW w:w="3800" w:type="dxa"/>
                  <w:tcBorders>
                    <w:top w:val="single" w:color="B7C7E6" w:sz="4" w:space="0"/>
                    <w:left w:val="single" w:color="B7C7E6" w:sz="4" w:space="0"/>
                    <w:bottom w:val="single" w:color="B7C7E6" w:sz="4" w:space="0"/>
                    <w:right w:val="single" w:color="B7C7E6" w:sz="4" w:space="0"/>
                  </w:tcBorders>
                </w:tcPr>
                <w:p w14:paraId="72026CE1">
                  <w:pPr>
                    <w:spacing w:before="0" w:after="0"/>
                  </w:pPr>
                  <w:r>
                    <w:rPr>
                      <w:b w:val="0"/>
                      <w:color w:val="1F2937"/>
                      <w:sz w:val="16"/>
                    </w:rPr>
                    <w:t>Retrieval + Generation (Action later, with human confirmation).</w:t>
                  </w:r>
                </w:p>
              </w:tc>
              <w:tc>
                <w:tcPr>
                  <w:tcW w:w="3700" w:type="dxa"/>
                  <w:tcBorders>
                    <w:top w:val="single" w:color="B7C7E6" w:sz="4" w:space="0"/>
                    <w:left w:val="single" w:color="B7C7E6" w:sz="4" w:space="0"/>
                    <w:bottom w:val="single" w:color="B7C7E6" w:sz="4" w:space="0"/>
                    <w:right w:val="single" w:color="B7C7E6" w:sz="4" w:space="0"/>
                  </w:tcBorders>
                </w:tcPr>
                <w:p w14:paraId="2EA3433A">
                  <w:pPr>
                    <w:spacing w:before="0" w:after="0"/>
                  </w:pPr>
                  <w:r>
                    <w:rPr>
                      <w:b w:val="0"/>
                      <w:color w:val="1F2937"/>
                      <w:sz w:val="16"/>
                    </w:rPr>
                    <w:t>Prediction (anomaly detection) + Retrieval (similar incidents) + Generation (triage summary).</w:t>
                  </w:r>
                </w:p>
              </w:tc>
            </w:tr>
            <w:tr w14:paraId="45982014">
              <w:tblPrEx>
                <w:tblCellMar>
                  <w:top w:w="30" w:type="dxa"/>
                  <w:left w:w="70" w:type="dxa"/>
                  <w:bottom w:w="30" w:type="dxa"/>
                  <w:right w:w="70" w:type="dxa"/>
                </w:tblCellMar>
              </w:tblPrEx>
              <w:trPr>
                <w:cantSplit/>
              </w:trPr>
              <w:tc>
                <w:tcPr>
                  <w:tcW w:w="1700" w:type="dxa"/>
                  <w:tcBorders>
                    <w:top w:val="single" w:color="B7C7E6" w:sz="4" w:space="0"/>
                    <w:left w:val="single" w:color="B7C7E6" w:sz="4" w:space="0"/>
                    <w:bottom w:val="single" w:color="B7C7E6" w:sz="4" w:space="0"/>
                    <w:right w:val="single" w:color="B7C7E6" w:sz="4" w:space="0"/>
                  </w:tcBorders>
                </w:tcPr>
                <w:p w14:paraId="57C16F83">
                  <w:pPr>
                    <w:spacing w:before="0" w:after="0"/>
                  </w:pPr>
                  <w:r>
                    <w:rPr>
                      <w:b/>
                      <w:color w:val="1F2937"/>
                      <w:sz w:val="16"/>
                    </w:rPr>
                    <w:t>Minimum Useful MVP</w:t>
                  </w:r>
                </w:p>
              </w:tc>
              <w:tc>
                <w:tcPr>
                  <w:tcW w:w="3800" w:type="dxa"/>
                  <w:tcBorders>
                    <w:top w:val="single" w:color="B7C7E6" w:sz="4" w:space="0"/>
                    <w:left w:val="single" w:color="B7C7E6" w:sz="4" w:space="0"/>
                    <w:bottom w:val="single" w:color="B7C7E6" w:sz="4" w:space="0"/>
                    <w:right w:val="single" w:color="B7C7E6" w:sz="4" w:space="0"/>
                  </w:tcBorders>
                </w:tcPr>
                <w:p w14:paraId="1D978198">
                  <w:pPr>
                    <w:spacing w:before="0" w:after="0"/>
                  </w:pPr>
                  <w:r>
                    <w:rPr>
                      <w:b w:val="0"/>
                      <w:color w:val="1F2937"/>
                      <w:sz w:val="16"/>
                    </w:rPr>
                    <w:t>Given an agent’s policy question, retrieve approved passages and draft a cited answer or abstain, for the agent to review.</w:t>
                  </w:r>
                </w:p>
              </w:tc>
              <w:tc>
                <w:tcPr>
                  <w:tcW w:w="3700" w:type="dxa"/>
                  <w:tcBorders>
                    <w:top w:val="single" w:color="B7C7E6" w:sz="4" w:space="0"/>
                    <w:left w:val="single" w:color="B7C7E6" w:sz="4" w:space="0"/>
                    <w:bottom w:val="single" w:color="B7C7E6" w:sz="4" w:space="0"/>
                    <w:right w:val="single" w:color="B7C7E6" w:sz="4" w:space="0"/>
                  </w:tcBorders>
                </w:tcPr>
                <w:p w14:paraId="0F09AB4B">
                  <w:pPr>
                    <w:spacing w:before="0" w:after="0"/>
                  </w:pPr>
                  <w:r>
                    <w:rPr>
                      <w:b w:val="0"/>
                      <w:color w:val="1F2937"/>
                      <w:sz w:val="16"/>
                    </w:rPr>
                    <w:t>Given a log window from one service, flag anomalous events, group them, retrieve similar past incidents and produce an evidence-linked triage summary for the on-call engineer.</w:t>
                  </w:r>
                </w:p>
              </w:tc>
            </w:tr>
            <w:tr w14:paraId="048E0BD6">
              <w:tblPrEx>
                <w:tblCellMar>
                  <w:top w:w="30" w:type="dxa"/>
                  <w:left w:w="70" w:type="dxa"/>
                  <w:bottom w:w="30" w:type="dxa"/>
                  <w:right w:w="70" w:type="dxa"/>
                </w:tblCellMar>
              </w:tblPrEx>
              <w:trPr>
                <w:cantSplit/>
              </w:trPr>
              <w:tc>
                <w:tcPr>
                  <w:tcW w:w="1700" w:type="dxa"/>
                  <w:tcBorders>
                    <w:top w:val="single" w:color="B7C7E6" w:sz="4" w:space="0"/>
                    <w:left w:val="single" w:color="B7C7E6" w:sz="4" w:space="0"/>
                    <w:bottom w:val="single" w:color="B7C7E6" w:sz="4" w:space="0"/>
                    <w:right w:val="single" w:color="B7C7E6" w:sz="4" w:space="0"/>
                  </w:tcBorders>
                </w:tcPr>
                <w:p w14:paraId="759A30DD">
                  <w:pPr>
                    <w:spacing w:before="0" w:after="0"/>
                  </w:pPr>
                  <w:r>
                    <w:rPr>
                      <w:b/>
                      <w:color w:val="1F2937"/>
                      <w:sz w:val="16"/>
                    </w:rPr>
                    <w:t>Critical safety / quality check</w:t>
                  </w:r>
                </w:p>
              </w:tc>
              <w:tc>
                <w:tcPr>
                  <w:tcW w:w="3800" w:type="dxa"/>
                  <w:tcBorders>
                    <w:top w:val="single" w:color="B7C7E6" w:sz="4" w:space="0"/>
                    <w:left w:val="single" w:color="B7C7E6" w:sz="4" w:space="0"/>
                    <w:bottom w:val="single" w:color="B7C7E6" w:sz="4" w:space="0"/>
                    <w:right w:val="single" w:color="B7C7E6" w:sz="4" w:space="0"/>
                  </w:tcBorders>
                </w:tcPr>
                <w:p w14:paraId="2B2AA51A">
                  <w:pPr>
                    <w:spacing w:before="0" w:after="0"/>
                  </w:pPr>
                  <w:r>
                    <w:rPr>
                      <w:b w:val="0"/>
                      <w:color w:val="1F2937"/>
                      <w:sz w:val="16"/>
                    </w:rPr>
                    <w:t>Zero unsupported policy claims on the high-risk set; abstain when evidence is missing; no customer data leakage.</w:t>
                  </w:r>
                </w:p>
              </w:tc>
              <w:tc>
                <w:tcPr>
                  <w:tcW w:w="3700" w:type="dxa"/>
                  <w:tcBorders>
                    <w:top w:val="single" w:color="B7C7E6" w:sz="4" w:space="0"/>
                    <w:left w:val="single" w:color="B7C7E6" w:sz="4" w:space="0"/>
                    <w:bottom w:val="single" w:color="B7C7E6" w:sz="4" w:space="0"/>
                    <w:right w:val="single" w:color="B7C7E6" w:sz="4" w:space="0"/>
                  </w:tcBorders>
                </w:tcPr>
                <w:p w14:paraId="30C74BDA">
                  <w:pPr>
                    <w:spacing w:before="0" w:after="0"/>
                  </w:pPr>
                  <w:r>
                    <w:rPr>
                      <w:b w:val="0"/>
                      <w:color w:val="1F2937"/>
                      <w:sz w:val="16"/>
                    </w:rPr>
                    <w:t>Recall on labelled historical incidents together with an acceptable false-alarm rate; secrets and personal data redacted; no automatic remediation.</w:t>
                  </w:r>
                </w:p>
              </w:tc>
            </w:tr>
          </w:tbl>
          <w:p w14:paraId="72C0D606">
            <w:pPr>
              <w:spacing w:before="0" w:after="40" w:line="80" w:lineRule="exact"/>
            </w:pPr>
          </w:p>
        </w:tc>
      </w:tr>
    </w:tbl>
    <w:p w14:paraId="5C56FAC2">
      <w:pPr>
        <w:spacing w:after="40"/>
        <w:rPr>
          <w:rFonts w:hint="eastAsia"/>
        </w:rPr>
      </w:pPr>
    </w:p>
    <w:p w14:paraId="0FDEDC71">
      <w:pPr>
        <w:spacing w:before="160" w:after="100"/>
        <w:rPr>
          <w:rFonts w:hint="eastAsia"/>
        </w:rPr>
      </w:pPr>
      <w:r>
        <w:rPr>
          <w:b/>
          <w:color w:val="163B82"/>
          <w:sz w:val="30"/>
        </w:rPr>
        <w:t>Section E: Hands-On Engineering Reality (10 marks)</w:t>
      </w:r>
    </w:p>
    <w:p w14:paraId="73BB871B">
      <w:pPr>
        <w:spacing w:after="120"/>
        <w:rPr>
          <w:rFonts w:hint="eastAsia"/>
        </w:rPr>
      </w:pPr>
      <w:r>
        <w:rPr>
          <w:i/>
          <w:color w:val="6B7280"/>
          <w:sz w:val="19"/>
        </w:rPr>
        <w:t>Focus: user evidence, assumptions, failure modes and repository discipline.</w:t>
      </w:r>
    </w:p>
    <w:tbl>
      <w:tblPr>
        <w:tblStyle w:val="12"/>
        <w:tblW w:w="0" w:type="auto"/>
        <w:jc w:val="center"/>
        <w:tblLayout w:type="fixed"/>
        <w:tblCellMar>
          <w:top w:w="0" w:type="dxa"/>
          <w:left w:w="108" w:type="dxa"/>
          <w:bottom w:w="0" w:type="dxa"/>
          <w:right w:w="108" w:type="dxa"/>
        </w:tblCellMar>
      </w:tblPr>
      <w:tblGrid>
        <w:gridCol w:w="4916"/>
        <w:gridCol w:w="4916"/>
      </w:tblGrid>
      <w:tr w14:paraId="26F5581C">
        <w:tblPrEx>
          <w:tblCellMar>
            <w:top w:w="0" w:type="dxa"/>
            <w:left w:w="108" w:type="dxa"/>
            <w:bottom w:w="0" w:type="dxa"/>
            <w:right w:w="108" w:type="dxa"/>
          </w:tblCellMar>
        </w:tblPrEx>
        <w:trPr>
          <w:cantSplit/>
          <w:jc w:val="center"/>
        </w:trPr>
        <w:tc>
          <w:tcPr>
            <w:tcW w:w="4916" w:type="dxa"/>
            <w:tcBorders>
              <w:top w:val="single" w:color="D7E0EF" w:sz="4" w:space="0"/>
              <w:left w:val="single" w:color="D7E0EF" w:sz="4" w:space="0"/>
              <w:bottom w:val="single" w:color="D7E0EF" w:sz="4" w:space="0"/>
              <w:right w:val="single" w:color="D7E0EF" w:sz="4" w:space="0"/>
            </w:tcBorders>
            <w:shd w:val="clear" w:color="auto" w:fill="EAF1FB"/>
          </w:tcPr>
          <w:p w14:paraId="7C3B0F84">
            <w:pPr>
              <w:spacing w:after="0"/>
              <w:rPr>
                <w:rFonts w:hint="eastAsia"/>
              </w:rPr>
            </w:pPr>
            <w:r>
              <w:rPr>
                <w:b/>
                <w:color w:val="1F1F1F"/>
                <w:sz w:val="21"/>
              </w:rPr>
              <w:t>Q20. Write five workflow-interview questions you would ask a real target user without biasing them toward AI. Then name the Week 1 GitHub artifact that should capture the project definition.</w:t>
            </w:r>
          </w:p>
        </w:tc>
        <w:tc>
          <w:tcPr>
            <w:tcW w:w="4916" w:type="dxa"/>
            <w:tcBorders>
              <w:top w:val="single" w:color="D7E0EF" w:sz="4" w:space="0"/>
              <w:left w:val="single" w:color="D7E0EF" w:sz="4" w:space="0"/>
              <w:bottom w:val="single" w:color="D7E0EF" w:sz="4" w:space="0"/>
              <w:right w:val="single" w:color="D7E0EF" w:sz="4" w:space="0"/>
            </w:tcBorders>
            <w:shd w:val="clear" w:color="auto" w:fill="FFF6DD"/>
          </w:tcPr>
          <w:p w14:paraId="00CF2CC6">
            <w:pPr>
              <w:spacing w:after="0"/>
              <w:jc w:val="center"/>
              <w:rPr>
                <w:rFonts w:hint="eastAsia"/>
              </w:rPr>
            </w:pPr>
            <w:r>
              <w:rPr>
                <w:b/>
                <w:color w:val="163B82"/>
                <w:sz w:val="18"/>
              </w:rPr>
              <w:t>3 marks</w:t>
            </w:r>
          </w:p>
        </w:tc>
      </w:tr>
    </w:tbl>
    <w:p w14:paraId="2D41FC25">
      <w:pPr>
        <w:spacing w:before="40" w:after="60"/>
        <w:rPr>
          <w:rFonts w:hint="eastAsia"/>
        </w:rPr>
      </w:pPr>
      <w:r>
        <w:rPr>
          <w:b/>
          <w:color w:val="F5A000"/>
          <w:sz w:val="17"/>
        </w:rPr>
        <w:t>Book reference: §3.16, “Hands-On Week 1 Build,” pp. 260–264</w:t>
      </w:r>
    </w:p>
    <w:tbl>
      <w:tblPr>
        <w:tblStyle w:val="12"/>
        <w:tblW w:w="0" w:type="auto"/>
        <w:jc w:val="center"/>
        <w:tblLayout w:type="fixed"/>
        <w:tblCellMar>
          <w:top w:w="0" w:type="dxa"/>
          <w:left w:w="108" w:type="dxa"/>
          <w:bottom w:w="0" w:type="dxa"/>
          <w:right w:w="108" w:type="dxa"/>
        </w:tblCellMar>
      </w:tblPr>
      <w:tblGrid>
        <w:gridCol w:w="9432"/>
      </w:tblGrid>
      <w:tr w14:paraId="6FB4B7DB">
        <w:tblPrEx>
          <w:tblCellMar>
            <w:top w:w="0" w:type="dxa"/>
            <w:left w:w="108" w:type="dxa"/>
            <w:bottom w:w="0" w:type="dxa"/>
            <w:right w:w="108" w:type="dxa"/>
          </w:tblCellMar>
        </w:tblPrEx>
        <w:trPr>
          <w:cantSplit/>
          <w:jc w:val="center"/>
        </w:trPr>
        <w:tc>
          <w:tcPr>
            <w:tcW w:w="9432" w:type="dxa"/>
            <w:tcBorders>
              <w:top w:val="single" w:color="B7C7E6" w:sz="6" w:space="0"/>
              <w:left w:val="single" w:color="B7C7E6" w:sz="6" w:space="0"/>
              <w:bottom w:val="single" w:color="B7C7E6" w:sz="6" w:space="0"/>
              <w:right w:val="single" w:color="B7C7E6" w:sz="6" w:space="0"/>
            </w:tcBorders>
            <w:shd w:val="clear" w:color="auto" w:fill="F9FBFE"/>
          </w:tcPr>
          <w:p w14:paraId="5772F1D7">
            <w:pPr>
              <w:spacing w:before="0" w:after="80"/>
              <w:rPr>
                <w:rFonts w:hint="eastAsia"/>
              </w:rPr>
            </w:pPr>
            <w:r>
              <w:rPr>
                <w:b w:val="0"/>
                <w:color w:val="1F2937"/>
                <w:sz w:val="18"/>
              </w:rPr>
              <w:t>Five workflow-interview questions for a Tier-1 agent (none mentions AI or a solution):</w:t>
            </w:r>
          </w:p>
          <w:p w14:paraId="4C02794E">
            <w:pPr>
              <w:numPr>
                <w:ilvl w:val="0"/>
                <w:numId w:val="1"/>
              </w:numPr>
              <w:spacing w:before="0" w:after="80"/>
            </w:pPr>
            <w:r>
              <w:rPr>
                <w:b w:val="0"/>
                <w:color w:val="1F2937"/>
                <w:sz w:val="18"/>
              </w:rPr>
              <w:t>“Walk me through the last customer question you handled, from the moment it arrived until you closed it. What did you do at each step?”</w:t>
            </w:r>
          </w:p>
          <w:p w14:paraId="0C7B9AF7">
            <w:pPr>
              <w:numPr>
                <w:ilvl w:val="0"/>
                <w:numId w:val="1"/>
              </w:numPr>
              <w:spacing w:before="0" w:after="80"/>
            </w:pPr>
            <w:r>
              <w:rPr>
                <w:b w:val="0"/>
                <w:color w:val="1F2937"/>
                <w:sz w:val="18"/>
              </w:rPr>
              <w:t>“Which part of that took the most time or effort, and what made it hard?”</w:t>
            </w:r>
          </w:p>
          <w:p w14:paraId="24E726FB">
            <w:pPr>
              <w:numPr>
                <w:ilvl w:val="0"/>
                <w:numId w:val="1"/>
              </w:numPr>
              <w:spacing w:before="0" w:after="80"/>
            </w:pPr>
            <w:r>
              <w:rPr>
                <w:b w:val="0"/>
                <w:color w:val="1F2937"/>
                <w:sz w:val="18"/>
              </w:rPr>
              <w:t>“Where do you look when you need an answer, and what do you do when sources disagree or look out of date?”</w:t>
            </w:r>
          </w:p>
          <w:p w14:paraId="138E6DF4">
            <w:pPr>
              <w:numPr>
                <w:ilvl w:val="0"/>
                <w:numId w:val="1"/>
              </w:numPr>
              <w:spacing w:before="0" w:after="80"/>
            </w:pPr>
            <w:r>
              <w:rPr>
                <w:b w:val="0"/>
                <w:color w:val="1F2937"/>
                <w:sz w:val="18"/>
              </w:rPr>
              <w:t>“How often does the same question come up in a normal day? Can you show me a recent example?”</w:t>
            </w:r>
          </w:p>
          <w:p w14:paraId="4DCBE337">
            <w:pPr>
              <w:numPr>
                <w:ilvl w:val="0"/>
                <w:numId w:val="1"/>
              </w:numPr>
              <w:spacing w:before="0" w:after="80"/>
            </w:pPr>
            <w:r>
              <w:rPr>
                <w:b w:val="0"/>
                <w:color w:val="1F2937"/>
                <w:sz w:val="18"/>
              </w:rPr>
              <w:t>“What happens when an answer is late or wrong, who notices, and what does it cost the team or the customer?”</w:t>
            </w:r>
          </w:p>
          <w:p w14:paraId="3FB5EBC6">
            <w:pPr>
              <w:spacing w:before="0" w:after="80"/>
            </w:pPr>
            <w:r>
              <w:rPr>
                <w:b/>
                <w:color w:val="1F2937"/>
                <w:sz w:val="18"/>
              </w:rPr>
              <w:t>Week 1 GitHub artifact that captures the project definition:</w:t>
            </w:r>
            <w:r>
              <w:rPr>
                <w:b w:val="0"/>
                <w:color w:val="1F2937"/>
                <w:sz w:val="18"/>
              </w:rPr>
              <w:t xml:space="preserve"> </w:t>
            </w:r>
            <w:r>
              <w:rPr>
                <w:rFonts w:ascii="Consolas" w:hAnsi="Consolas"/>
                <w:b w:val="0"/>
                <w:color w:val="1F2937"/>
                <w:sz w:val="18"/>
              </w:rPr>
              <w:t>docs/week01_problem_framing.md</w:t>
            </w:r>
            <w:r>
              <w:rPr>
                <w:b w:val="0"/>
                <w:color w:val="1F2937"/>
                <w:sz w:val="18"/>
              </w:rPr>
              <w:t xml:space="preserve"> (inside the Week 1 folder of the repository).</w:t>
            </w:r>
          </w:p>
        </w:tc>
      </w:tr>
    </w:tbl>
    <w:p w14:paraId="02FE408D">
      <w:pPr>
        <w:spacing w:after="40"/>
        <w:rPr>
          <w:rFonts w:hint="eastAsia"/>
        </w:rPr>
      </w:pPr>
    </w:p>
    <w:tbl>
      <w:tblPr>
        <w:tblStyle w:val="12"/>
        <w:tblW w:w="0" w:type="auto"/>
        <w:jc w:val="center"/>
        <w:tblLayout w:type="fixed"/>
        <w:tblCellMar>
          <w:top w:w="0" w:type="dxa"/>
          <w:left w:w="108" w:type="dxa"/>
          <w:bottom w:w="0" w:type="dxa"/>
          <w:right w:w="108" w:type="dxa"/>
        </w:tblCellMar>
      </w:tblPr>
      <w:tblGrid>
        <w:gridCol w:w="4916"/>
        <w:gridCol w:w="4916"/>
      </w:tblGrid>
      <w:tr w14:paraId="603F196F">
        <w:tblPrEx>
          <w:tblCellMar>
            <w:top w:w="0" w:type="dxa"/>
            <w:left w:w="108" w:type="dxa"/>
            <w:bottom w:w="0" w:type="dxa"/>
            <w:right w:w="108" w:type="dxa"/>
          </w:tblCellMar>
        </w:tblPrEx>
        <w:trPr>
          <w:cantSplit/>
          <w:jc w:val="center"/>
        </w:trPr>
        <w:tc>
          <w:tcPr>
            <w:tcW w:w="4916" w:type="dxa"/>
            <w:tcBorders>
              <w:top w:val="single" w:color="D7E0EF" w:sz="4" w:space="0"/>
              <w:left w:val="single" w:color="D7E0EF" w:sz="4" w:space="0"/>
              <w:bottom w:val="single" w:color="D7E0EF" w:sz="4" w:space="0"/>
              <w:right w:val="single" w:color="D7E0EF" w:sz="4" w:space="0"/>
            </w:tcBorders>
            <w:shd w:val="clear" w:color="auto" w:fill="EAF1FB"/>
          </w:tcPr>
          <w:p w14:paraId="6EFF1B97">
            <w:pPr>
              <w:spacing w:after="0"/>
              <w:rPr>
                <w:rFonts w:hint="eastAsia"/>
              </w:rPr>
            </w:pPr>
            <w:r>
              <w:rPr>
                <w:b/>
                <w:color w:val="1F1F1F"/>
                <w:sz w:val="21"/>
              </w:rPr>
              <w:t>Q21. Create a three-row assumption register with columns: Assumption, Risk, How We Will Test It, and Current Status. Use at least one high-risk assumption.</w:t>
            </w:r>
          </w:p>
        </w:tc>
        <w:tc>
          <w:tcPr>
            <w:tcW w:w="4916" w:type="dxa"/>
            <w:tcBorders>
              <w:top w:val="single" w:color="D7E0EF" w:sz="4" w:space="0"/>
              <w:left w:val="single" w:color="D7E0EF" w:sz="4" w:space="0"/>
              <w:bottom w:val="single" w:color="D7E0EF" w:sz="4" w:space="0"/>
              <w:right w:val="single" w:color="D7E0EF" w:sz="4" w:space="0"/>
            </w:tcBorders>
            <w:shd w:val="clear" w:color="auto" w:fill="FFF6DD"/>
          </w:tcPr>
          <w:p w14:paraId="4BD25CCE">
            <w:pPr>
              <w:spacing w:after="0"/>
              <w:jc w:val="center"/>
              <w:rPr>
                <w:rFonts w:hint="eastAsia"/>
              </w:rPr>
            </w:pPr>
            <w:r>
              <w:rPr>
                <w:b/>
                <w:color w:val="163B82"/>
                <w:sz w:val="18"/>
              </w:rPr>
              <w:t>3 marks</w:t>
            </w:r>
          </w:p>
        </w:tc>
      </w:tr>
    </w:tbl>
    <w:p w14:paraId="6FBFA5EA">
      <w:pPr>
        <w:spacing w:before="40" w:after="60"/>
        <w:rPr>
          <w:rFonts w:hint="eastAsia"/>
        </w:rPr>
      </w:pPr>
      <w:r>
        <w:rPr>
          <w:b/>
          <w:color w:val="F5A000"/>
          <w:sz w:val="17"/>
        </w:rPr>
        <w:t>Book reference: §3.16, “Create an Assumption Register,” pp. 267–268</w:t>
      </w:r>
    </w:p>
    <w:tbl>
      <w:tblPr>
        <w:tblStyle w:val="12"/>
        <w:tblW w:w="0" w:type="auto"/>
        <w:jc w:val="center"/>
        <w:tblLayout w:type="fixed"/>
        <w:tblCellMar>
          <w:top w:w="0" w:type="dxa"/>
          <w:left w:w="108" w:type="dxa"/>
          <w:bottom w:w="0" w:type="dxa"/>
          <w:right w:w="108" w:type="dxa"/>
        </w:tblCellMar>
      </w:tblPr>
      <w:tblGrid>
        <w:gridCol w:w="9432"/>
      </w:tblGrid>
      <w:tr w14:paraId="73F01CA3">
        <w:tblPrEx>
          <w:tblCellMar>
            <w:top w:w="0" w:type="dxa"/>
            <w:left w:w="108" w:type="dxa"/>
            <w:bottom w:w="0" w:type="dxa"/>
            <w:right w:w="108" w:type="dxa"/>
          </w:tblCellMar>
        </w:tblPrEx>
        <w:trPr>
          <w:cantSplit/>
          <w:jc w:val="center"/>
        </w:trPr>
        <w:tc>
          <w:tcPr>
            <w:tcW w:w="9432" w:type="dxa"/>
            <w:tcBorders>
              <w:top w:val="single" w:color="B7C7E6" w:sz="6" w:space="0"/>
              <w:left w:val="single" w:color="B7C7E6" w:sz="6" w:space="0"/>
              <w:bottom w:val="single" w:color="B7C7E6" w:sz="6" w:space="0"/>
              <w:right w:val="single" w:color="B7C7E6" w:sz="6" w:space="0"/>
            </w:tcBorders>
            <w:shd w:val="clear" w:color="auto" w:fill="F9FBFE"/>
          </w:tcPr>
          <w:p w14:paraId="264D061C">
            <w:pPr>
              <w:spacing w:before="0" w:after="0" w:line="20" w:lineRule="exact"/>
              <w:rPr>
                <w:rFonts w:hint="eastAsia"/>
              </w:rPr>
            </w:pPr>
          </w:p>
          <w:tbl>
            <w:tblPr>
              <w:tblStyle w:val="12"/>
              <w:tblW w:w="9200" w:type="dxa"/>
              <w:tblInd w:w="0" w:type="dxa"/>
              <w:tblLayout w:type="fixed"/>
              <w:tblCellMar>
                <w:top w:w="30" w:type="dxa"/>
                <w:left w:w="70" w:type="dxa"/>
                <w:bottom w:w="30" w:type="dxa"/>
                <w:right w:w="70" w:type="dxa"/>
              </w:tblCellMar>
            </w:tblPr>
            <w:tblGrid>
              <w:gridCol w:w="2700"/>
              <w:gridCol w:w="2100"/>
              <w:gridCol w:w="3200"/>
              <w:gridCol w:w="1200"/>
            </w:tblGrid>
            <w:tr w14:paraId="5EE9915F">
              <w:tblPrEx>
                <w:tblCellMar>
                  <w:top w:w="30" w:type="dxa"/>
                  <w:left w:w="70" w:type="dxa"/>
                  <w:bottom w:w="30" w:type="dxa"/>
                  <w:right w:w="70" w:type="dxa"/>
                </w:tblCellMar>
              </w:tblPrEx>
              <w:trPr>
                <w:cantSplit/>
                <w:tblHeader/>
              </w:trPr>
              <w:tc>
                <w:tcPr>
                  <w:tcW w:w="2700" w:type="dxa"/>
                  <w:tcBorders>
                    <w:top w:val="single" w:color="B7C7E6" w:sz="4" w:space="0"/>
                    <w:left w:val="single" w:color="B7C7E6" w:sz="4" w:space="0"/>
                    <w:bottom w:val="single" w:color="B7C7E6" w:sz="4" w:space="0"/>
                    <w:right w:val="single" w:color="B7C7E6" w:sz="4" w:space="0"/>
                  </w:tcBorders>
                  <w:shd w:val="clear" w:color="auto" w:fill="EAF1FB"/>
                </w:tcPr>
                <w:p w14:paraId="12CCFDD2">
                  <w:pPr>
                    <w:spacing w:before="0" w:after="0"/>
                  </w:pPr>
                  <w:r>
                    <w:rPr>
                      <w:b/>
                      <w:color w:val="163B82"/>
                      <w:sz w:val="16"/>
                    </w:rPr>
                    <w:t>Assumption</w:t>
                  </w:r>
                </w:p>
              </w:tc>
              <w:tc>
                <w:tcPr>
                  <w:tcW w:w="2100" w:type="dxa"/>
                  <w:tcBorders>
                    <w:top w:val="single" w:color="B7C7E6" w:sz="4" w:space="0"/>
                    <w:left w:val="single" w:color="B7C7E6" w:sz="4" w:space="0"/>
                    <w:bottom w:val="single" w:color="B7C7E6" w:sz="4" w:space="0"/>
                    <w:right w:val="single" w:color="B7C7E6" w:sz="4" w:space="0"/>
                  </w:tcBorders>
                  <w:shd w:val="clear" w:color="auto" w:fill="EAF1FB"/>
                </w:tcPr>
                <w:p w14:paraId="0274CA12">
                  <w:pPr>
                    <w:spacing w:before="0" w:after="0"/>
                  </w:pPr>
                  <w:r>
                    <w:rPr>
                      <w:b/>
                      <w:color w:val="163B82"/>
                      <w:sz w:val="16"/>
                    </w:rPr>
                    <w:t>Risk</w:t>
                  </w:r>
                </w:p>
              </w:tc>
              <w:tc>
                <w:tcPr>
                  <w:tcW w:w="3200" w:type="dxa"/>
                  <w:tcBorders>
                    <w:top w:val="single" w:color="B7C7E6" w:sz="4" w:space="0"/>
                    <w:left w:val="single" w:color="B7C7E6" w:sz="4" w:space="0"/>
                    <w:bottom w:val="single" w:color="B7C7E6" w:sz="4" w:space="0"/>
                    <w:right w:val="single" w:color="B7C7E6" w:sz="4" w:space="0"/>
                  </w:tcBorders>
                  <w:shd w:val="clear" w:color="auto" w:fill="EAF1FB"/>
                </w:tcPr>
                <w:p w14:paraId="57F763B2">
                  <w:pPr>
                    <w:spacing w:before="0" w:after="0"/>
                  </w:pPr>
                  <w:r>
                    <w:rPr>
                      <w:b/>
                      <w:color w:val="163B82"/>
                      <w:sz w:val="16"/>
                    </w:rPr>
                    <w:t>How We Will Test It</w:t>
                  </w:r>
                </w:p>
              </w:tc>
              <w:tc>
                <w:tcPr>
                  <w:tcW w:w="1200" w:type="dxa"/>
                  <w:tcBorders>
                    <w:top w:val="single" w:color="B7C7E6" w:sz="4" w:space="0"/>
                    <w:left w:val="single" w:color="B7C7E6" w:sz="4" w:space="0"/>
                    <w:bottom w:val="single" w:color="B7C7E6" w:sz="4" w:space="0"/>
                    <w:right w:val="single" w:color="B7C7E6" w:sz="4" w:space="0"/>
                  </w:tcBorders>
                  <w:shd w:val="clear" w:color="auto" w:fill="EAF1FB"/>
                </w:tcPr>
                <w:p w14:paraId="63E5A56B">
                  <w:pPr>
                    <w:spacing w:before="0" w:after="0"/>
                  </w:pPr>
                  <w:r>
                    <w:rPr>
                      <w:b/>
                      <w:color w:val="163B82"/>
                      <w:sz w:val="16"/>
                    </w:rPr>
                    <w:t>Current Status</w:t>
                  </w:r>
                </w:p>
              </w:tc>
            </w:tr>
            <w:tr w14:paraId="3CEC6EA4">
              <w:tblPrEx>
                <w:tblCellMar>
                  <w:top w:w="30" w:type="dxa"/>
                  <w:left w:w="70" w:type="dxa"/>
                  <w:bottom w:w="30" w:type="dxa"/>
                  <w:right w:w="70" w:type="dxa"/>
                </w:tblCellMar>
              </w:tblPrEx>
              <w:trPr>
                <w:cantSplit/>
              </w:trPr>
              <w:tc>
                <w:tcPr>
                  <w:tcW w:w="2700" w:type="dxa"/>
                  <w:tcBorders>
                    <w:top w:val="single" w:color="B7C7E6" w:sz="4" w:space="0"/>
                    <w:left w:val="single" w:color="B7C7E6" w:sz="4" w:space="0"/>
                    <w:bottom w:val="single" w:color="B7C7E6" w:sz="4" w:space="0"/>
                    <w:right w:val="single" w:color="B7C7E6" w:sz="4" w:space="0"/>
                  </w:tcBorders>
                </w:tcPr>
                <w:p w14:paraId="6FB6E52C">
                  <w:pPr>
                    <w:spacing w:before="0" w:after="0"/>
                  </w:pPr>
                  <w:r>
                    <w:rPr>
                      <w:b w:val="0"/>
                      <w:color w:val="1F2937"/>
                      <w:sz w:val="16"/>
                    </w:rPr>
                    <w:t>A1. At least 50% of tickets are repeated questions whose answers exist in approved documents.</w:t>
                  </w:r>
                </w:p>
              </w:tc>
              <w:tc>
                <w:tcPr>
                  <w:tcW w:w="2100" w:type="dxa"/>
                  <w:tcBorders>
                    <w:top w:val="single" w:color="B7C7E6" w:sz="4" w:space="0"/>
                    <w:left w:val="single" w:color="B7C7E6" w:sz="4" w:space="0"/>
                    <w:bottom w:val="single" w:color="B7C7E6" w:sz="4" w:space="0"/>
                    <w:right w:val="single" w:color="B7C7E6" w:sz="4" w:space="0"/>
                  </w:tcBorders>
                </w:tcPr>
                <w:p w14:paraId="2F544155">
                  <w:pPr>
                    <w:spacing w:before="0" w:after="0"/>
                  </w:pPr>
                  <w:r>
                    <w:rPr>
                      <w:b/>
                      <w:color w:val="1F2937"/>
                      <w:sz w:val="16"/>
                    </w:rPr>
                    <w:t>High.</w:t>
                  </w:r>
                  <w:r>
                    <w:rPr>
                      <w:b w:val="0"/>
                      <w:color w:val="1F2937"/>
                      <w:sz w:val="16"/>
                    </w:rPr>
                    <w:t xml:space="preserve"> If false, the value case and the whole MVP direction collapse.</w:t>
                  </w:r>
                </w:p>
              </w:tc>
              <w:tc>
                <w:tcPr>
                  <w:tcW w:w="3200" w:type="dxa"/>
                  <w:tcBorders>
                    <w:top w:val="single" w:color="B7C7E6" w:sz="4" w:space="0"/>
                    <w:left w:val="single" w:color="B7C7E6" w:sz="4" w:space="0"/>
                    <w:bottom w:val="single" w:color="B7C7E6" w:sz="4" w:space="0"/>
                    <w:right w:val="single" w:color="B7C7E6" w:sz="4" w:space="0"/>
                  </w:tcBorders>
                </w:tcPr>
                <w:p w14:paraId="450B96E3">
                  <w:pPr>
                    <w:spacing w:before="0" w:after="0"/>
                  </w:pPr>
                  <w:r>
                    <w:rPr>
                      <w:b w:val="0"/>
                      <w:color w:val="1F2937"/>
                      <w:sz w:val="16"/>
                    </w:rPr>
                    <w:t>Label a sample of 100–200 recent tickets by intent; check for each whether the answer exists in the current knowledge base.</w:t>
                  </w:r>
                </w:p>
              </w:tc>
              <w:tc>
                <w:tcPr>
                  <w:tcW w:w="1200" w:type="dxa"/>
                  <w:tcBorders>
                    <w:top w:val="single" w:color="B7C7E6" w:sz="4" w:space="0"/>
                    <w:left w:val="single" w:color="B7C7E6" w:sz="4" w:space="0"/>
                    <w:bottom w:val="single" w:color="B7C7E6" w:sz="4" w:space="0"/>
                    <w:right w:val="single" w:color="B7C7E6" w:sz="4" w:space="0"/>
                  </w:tcBorders>
                </w:tcPr>
                <w:p w14:paraId="06EFBE32">
                  <w:pPr>
                    <w:spacing w:before="0" w:after="0"/>
                  </w:pPr>
                  <w:r>
                    <w:rPr>
                      <w:b w:val="0"/>
                      <w:color w:val="1F2937"/>
                      <w:sz w:val="16"/>
                    </w:rPr>
                    <w:t>Unknown</w:t>
                  </w:r>
                </w:p>
              </w:tc>
            </w:tr>
            <w:tr w14:paraId="0BC41251">
              <w:tblPrEx>
                <w:tblCellMar>
                  <w:top w:w="30" w:type="dxa"/>
                  <w:left w:w="70" w:type="dxa"/>
                  <w:bottom w:w="30" w:type="dxa"/>
                  <w:right w:w="70" w:type="dxa"/>
                </w:tblCellMar>
              </w:tblPrEx>
              <w:trPr>
                <w:cantSplit/>
              </w:trPr>
              <w:tc>
                <w:tcPr>
                  <w:tcW w:w="2700" w:type="dxa"/>
                  <w:tcBorders>
                    <w:top w:val="single" w:color="B7C7E6" w:sz="4" w:space="0"/>
                    <w:left w:val="single" w:color="B7C7E6" w:sz="4" w:space="0"/>
                    <w:bottom w:val="single" w:color="B7C7E6" w:sz="4" w:space="0"/>
                    <w:right w:val="single" w:color="B7C7E6" w:sz="4" w:space="0"/>
                  </w:tcBorders>
                </w:tcPr>
                <w:p w14:paraId="167F7F1A">
                  <w:pPr>
                    <w:spacing w:before="0" w:after="0"/>
                  </w:pPr>
                  <w:r>
                    <w:rPr>
                      <w:b w:val="0"/>
                      <w:color w:val="1F2937"/>
                      <w:sz w:val="16"/>
                    </w:rPr>
                    <w:t>A2. Repeated tickets take about 14 min, and search/verify is the largest part.</w:t>
                  </w:r>
                </w:p>
              </w:tc>
              <w:tc>
                <w:tcPr>
                  <w:tcW w:w="2100" w:type="dxa"/>
                  <w:tcBorders>
                    <w:top w:val="single" w:color="B7C7E6" w:sz="4" w:space="0"/>
                    <w:left w:val="single" w:color="B7C7E6" w:sz="4" w:space="0"/>
                    <w:bottom w:val="single" w:color="B7C7E6" w:sz="4" w:space="0"/>
                    <w:right w:val="single" w:color="B7C7E6" w:sz="4" w:space="0"/>
                  </w:tcBorders>
                </w:tcPr>
                <w:p w14:paraId="43F913C9">
                  <w:pPr>
                    <w:spacing w:before="0" w:after="0"/>
                  </w:pPr>
                  <w:r>
                    <w:rPr>
                      <w:b/>
                      <w:color w:val="1F2937"/>
                      <w:sz w:val="16"/>
                    </w:rPr>
                    <w:t>Medium.</w:t>
                  </w:r>
                  <w:r>
                    <w:rPr>
                      <w:b w:val="0"/>
                      <w:color w:val="1F2937"/>
                      <w:sz w:val="16"/>
                    </w:rPr>
                    <w:t xml:space="preserve"> Value estimates and the target (6 min) would be wrong.</w:t>
                  </w:r>
                </w:p>
              </w:tc>
              <w:tc>
                <w:tcPr>
                  <w:tcW w:w="3200" w:type="dxa"/>
                  <w:tcBorders>
                    <w:top w:val="single" w:color="B7C7E6" w:sz="4" w:space="0"/>
                    <w:left w:val="single" w:color="B7C7E6" w:sz="4" w:space="0"/>
                    <w:bottom w:val="single" w:color="B7C7E6" w:sz="4" w:space="0"/>
                    <w:right w:val="single" w:color="B7C7E6" w:sz="4" w:space="0"/>
                  </w:tcBorders>
                </w:tcPr>
                <w:p w14:paraId="55002EB0">
                  <w:pPr>
                    <w:spacing w:before="0" w:after="0"/>
                  </w:pPr>
                  <w:r>
                    <w:rPr>
                      <w:b w:val="0"/>
                      <w:color w:val="1F2937"/>
                      <w:sz w:val="16"/>
                    </w:rPr>
                    <w:t>Time-and-motion sample of 50 tickets and 5 shadowing sessions; compute B₀.</w:t>
                  </w:r>
                </w:p>
              </w:tc>
              <w:tc>
                <w:tcPr>
                  <w:tcW w:w="1200" w:type="dxa"/>
                  <w:tcBorders>
                    <w:top w:val="single" w:color="B7C7E6" w:sz="4" w:space="0"/>
                    <w:left w:val="single" w:color="B7C7E6" w:sz="4" w:space="0"/>
                    <w:bottom w:val="single" w:color="B7C7E6" w:sz="4" w:space="0"/>
                    <w:right w:val="single" w:color="B7C7E6" w:sz="4" w:space="0"/>
                  </w:tcBorders>
                </w:tcPr>
                <w:p w14:paraId="21EF0EDA">
                  <w:pPr>
                    <w:spacing w:before="0" w:after="0"/>
                  </w:pPr>
                  <w:r>
                    <w:rPr>
                      <w:b w:val="0"/>
                      <w:color w:val="1F2937"/>
                      <w:sz w:val="16"/>
                    </w:rPr>
                    <w:t>Assumed</w:t>
                  </w:r>
                </w:p>
              </w:tc>
            </w:tr>
            <w:tr w14:paraId="2D237BB9">
              <w:tblPrEx>
                <w:tblCellMar>
                  <w:top w:w="30" w:type="dxa"/>
                  <w:left w:w="70" w:type="dxa"/>
                  <w:bottom w:w="30" w:type="dxa"/>
                  <w:right w:w="70" w:type="dxa"/>
                </w:tblCellMar>
              </w:tblPrEx>
              <w:trPr>
                <w:cantSplit/>
              </w:trPr>
              <w:tc>
                <w:tcPr>
                  <w:tcW w:w="2700" w:type="dxa"/>
                  <w:tcBorders>
                    <w:top w:val="single" w:color="B7C7E6" w:sz="4" w:space="0"/>
                    <w:left w:val="single" w:color="B7C7E6" w:sz="4" w:space="0"/>
                    <w:bottom w:val="single" w:color="B7C7E6" w:sz="4" w:space="0"/>
                    <w:right w:val="single" w:color="B7C7E6" w:sz="4" w:space="0"/>
                  </w:tcBorders>
                </w:tcPr>
                <w:p w14:paraId="0371CA80">
                  <w:pPr>
                    <w:spacing w:before="0" w:after="0"/>
                  </w:pPr>
                  <w:r>
                    <w:rPr>
                      <w:b w:val="0"/>
                      <w:color w:val="1F2937"/>
                      <w:sz w:val="16"/>
                    </w:rPr>
                    <w:t>A3. Agents will trust and use cited drafts instead of searching manually.</w:t>
                  </w:r>
                </w:p>
              </w:tc>
              <w:tc>
                <w:tcPr>
                  <w:tcW w:w="2100" w:type="dxa"/>
                  <w:tcBorders>
                    <w:top w:val="single" w:color="B7C7E6" w:sz="4" w:space="0"/>
                    <w:left w:val="single" w:color="B7C7E6" w:sz="4" w:space="0"/>
                    <w:bottom w:val="single" w:color="B7C7E6" w:sz="4" w:space="0"/>
                    <w:right w:val="single" w:color="B7C7E6" w:sz="4" w:space="0"/>
                  </w:tcBorders>
                </w:tcPr>
                <w:p w14:paraId="44465C51">
                  <w:pPr>
                    <w:spacing w:before="0" w:after="0"/>
                  </w:pPr>
                  <w:r>
                    <w:rPr>
                      <w:b/>
                      <w:color w:val="1F2937"/>
                      <w:sz w:val="16"/>
                    </w:rPr>
                    <w:t>Medium.</w:t>
                  </w:r>
                  <w:r>
                    <w:rPr>
                      <w:b w:val="0"/>
                      <w:color w:val="1F2937"/>
                      <w:sz w:val="16"/>
                    </w:rPr>
                    <w:t xml:space="preserve"> A correct tool that nobody uses delivers no value.</w:t>
                  </w:r>
                </w:p>
              </w:tc>
              <w:tc>
                <w:tcPr>
                  <w:tcW w:w="3200" w:type="dxa"/>
                  <w:tcBorders>
                    <w:top w:val="single" w:color="B7C7E6" w:sz="4" w:space="0"/>
                    <w:left w:val="single" w:color="B7C7E6" w:sz="4" w:space="0"/>
                    <w:bottom w:val="single" w:color="B7C7E6" w:sz="4" w:space="0"/>
                    <w:right w:val="single" w:color="B7C7E6" w:sz="4" w:space="0"/>
                  </w:tcBorders>
                </w:tcPr>
                <w:p w14:paraId="6EF698BA">
                  <w:pPr>
                    <w:spacing w:before="0" w:after="0"/>
                  </w:pPr>
                  <w:r>
                    <w:rPr>
                      <w:b w:val="0"/>
                      <w:color w:val="1F2937"/>
                      <w:sz w:val="16"/>
                    </w:rPr>
                    <w:t>2-week pilot with 5 agents: adoption rate, edit rate of drafts, short interviews.</w:t>
                  </w:r>
                </w:p>
              </w:tc>
              <w:tc>
                <w:tcPr>
                  <w:tcW w:w="1200" w:type="dxa"/>
                  <w:tcBorders>
                    <w:top w:val="single" w:color="B7C7E6" w:sz="4" w:space="0"/>
                    <w:left w:val="single" w:color="B7C7E6" w:sz="4" w:space="0"/>
                    <w:bottom w:val="single" w:color="B7C7E6" w:sz="4" w:space="0"/>
                    <w:right w:val="single" w:color="B7C7E6" w:sz="4" w:space="0"/>
                  </w:tcBorders>
                </w:tcPr>
                <w:p w14:paraId="6D8CCD7F">
                  <w:pPr>
                    <w:spacing w:before="0" w:after="0"/>
                  </w:pPr>
                  <w:r>
                    <w:rPr>
                      <w:b w:val="0"/>
                      <w:color w:val="1F2937"/>
                      <w:sz w:val="16"/>
                    </w:rPr>
                    <w:t>Assumed</w:t>
                  </w:r>
                </w:p>
              </w:tc>
            </w:tr>
          </w:tbl>
          <w:p w14:paraId="0753FF27">
            <w:pPr>
              <w:spacing w:before="0" w:after="40" w:line="80" w:lineRule="exact"/>
            </w:pPr>
          </w:p>
        </w:tc>
      </w:tr>
    </w:tbl>
    <w:p w14:paraId="5D878975">
      <w:pPr>
        <w:spacing w:after="40"/>
        <w:rPr>
          <w:rFonts w:hint="eastAsia"/>
        </w:rPr>
      </w:pPr>
    </w:p>
    <w:tbl>
      <w:tblPr>
        <w:tblStyle w:val="12"/>
        <w:tblW w:w="0" w:type="auto"/>
        <w:jc w:val="center"/>
        <w:tblLayout w:type="fixed"/>
        <w:tblCellMar>
          <w:top w:w="0" w:type="dxa"/>
          <w:left w:w="108" w:type="dxa"/>
          <w:bottom w:w="0" w:type="dxa"/>
          <w:right w:w="108" w:type="dxa"/>
        </w:tblCellMar>
      </w:tblPr>
      <w:tblGrid>
        <w:gridCol w:w="4916"/>
        <w:gridCol w:w="4916"/>
      </w:tblGrid>
      <w:tr w14:paraId="2EEDEB49">
        <w:tblPrEx>
          <w:tblCellMar>
            <w:top w:w="0" w:type="dxa"/>
            <w:left w:w="108" w:type="dxa"/>
            <w:bottom w:w="0" w:type="dxa"/>
            <w:right w:w="108" w:type="dxa"/>
          </w:tblCellMar>
        </w:tblPrEx>
        <w:trPr>
          <w:cantSplit/>
          <w:jc w:val="center"/>
        </w:trPr>
        <w:tc>
          <w:tcPr>
            <w:tcW w:w="4916" w:type="dxa"/>
            <w:tcBorders>
              <w:top w:val="single" w:color="D7E0EF" w:sz="4" w:space="0"/>
              <w:left w:val="single" w:color="D7E0EF" w:sz="4" w:space="0"/>
              <w:bottom w:val="single" w:color="D7E0EF" w:sz="4" w:space="0"/>
              <w:right w:val="single" w:color="D7E0EF" w:sz="4" w:space="0"/>
            </w:tcBorders>
            <w:shd w:val="clear" w:color="auto" w:fill="EAF1FB"/>
          </w:tcPr>
          <w:p w14:paraId="33B12B3E">
            <w:pPr>
              <w:spacing w:after="0"/>
              <w:rPr>
                <w:rFonts w:hint="eastAsia"/>
              </w:rPr>
            </w:pPr>
            <w:r>
              <w:rPr>
                <w:b/>
                <w:color w:val="1F1F1F"/>
                <w:sz w:val="21"/>
              </w:rPr>
              <w:t>Q22. A team proposes: “Build a multi-agent RAG platform for everyone, with web search, memory, dashboards, autonomous actions and cloud deployment.” Identify at least four Week 1 failure modes in this proposal. Then state what must be fixed before the team should begin model building.</w:t>
            </w:r>
          </w:p>
        </w:tc>
        <w:tc>
          <w:tcPr>
            <w:tcW w:w="4916" w:type="dxa"/>
            <w:tcBorders>
              <w:top w:val="single" w:color="D7E0EF" w:sz="4" w:space="0"/>
              <w:left w:val="single" w:color="D7E0EF" w:sz="4" w:space="0"/>
              <w:bottom w:val="single" w:color="D7E0EF" w:sz="4" w:space="0"/>
              <w:right w:val="single" w:color="D7E0EF" w:sz="4" w:space="0"/>
            </w:tcBorders>
            <w:shd w:val="clear" w:color="auto" w:fill="FFF6DD"/>
          </w:tcPr>
          <w:p w14:paraId="2ED4A5EB">
            <w:pPr>
              <w:spacing w:after="0"/>
              <w:jc w:val="center"/>
              <w:rPr>
                <w:rFonts w:hint="eastAsia"/>
              </w:rPr>
            </w:pPr>
            <w:r>
              <w:rPr>
                <w:b/>
                <w:color w:val="163B82"/>
                <w:sz w:val="18"/>
              </w:rPr>
              <w:t>4 marks</w:t>
            </w:r>
          </w:p>
        </w:tc>
      </w:tr>
    </w:tbl>
    <w:p w14:paraId="78680ADC">
      <w:pPr>
        <w:spacing w:before="40" w:after="60"/>
        <w:rPr>
          <w:rFonts w:hint="eastAsia"/>
        </w:rPr>
      </w:pPr>
      <w:r>
        <w:rPr>
          <w:b/>
          <w:color w:val="F5A000"/>
          <w:sz w:val="17"/>
        </w:rPr>
        <w:t>Book reference: §3.18, “Engineering Reality: What Breaks in Week 1,” pp. 270–273; §3.19, “Week 1 Acceptance Review,” pp. 273–274</w:t>
      </w:r>
    </w:p>
    <w:tbl>
      <w:tblPr>
        <w:tblStyle w:val="12"/>
        <w:tblW w:w="0" w:type="auto"/>
        <w:jc w:val="center"/>
        <w:tblLayout w:type="fixed"/>
        <w:tblCellMar>
          <w:top w:w="0" w:type="dxa"/>
          <w:left w:w="108" w:type="dxa"/>
          <w:bottom w:w="0" w:type="dxa"/>
          <w:right w:w="108" w:type="dxa"/>
        </w:tblCellMar>
      </w:tblPr>
      <w:tblGrid>
        <w:gridCol w:w="9432"/>
      </w:tblGrid>
      <w:tr w14:paraId="1BD798B0">
        <w:tblPrEx>
          <w:tblCellMar>
            <w:top w:w="0" w:type="dxa"/>
            <w:left w:w="108" w:type="dxa"/>
            <w:bottom w:w="0" w:type="dxa"/>
            <w:right w:w="108" w:type="dxa"/>
          </w:tblCellMar>
        </w:tblPrEx>
        <w:trPr>
          <w:cantSplit/>
          <w:jc w:val="center"/>
        </w:trPr>
        <w:tc>
          <w:tcPr>
            <w:tcW w:w="9432" w:type="dxa"/>
            <w:tcBorders>
              <w:top w:val="single" w:color="B7C7E6" w:sz="6" w:space="0"/>
              <w:left w:val="single" w:color="B7C7E6" w:sz="6" w:space="0"/>
              <w:bottom w:val="single" w:color="B7C7E6" w:sz="6" w:space="0"/>
              <w:right w:val="single" w:color="B7C7E6" w:sz="6" w:space="0"/>
            </w:tcBorders>
            <w:shd w:val="clear" w:color="auto" w:fill="F9FBFE"/>
          </w:tcPr>
          <w:p w14:paraId="4A7594BB">
            <w:pPr>
              <w:spacing w:before="0" w:after="80"/>
              <w:rPr>
                <w:rFonts w:hint="eastAsia"/>
              </w:rPr>
            </w:pPr>
            <w:r>
              <w:rPr>
                <w:b w:val="0"/>
                <w:color w:val="1F2937"/>
                <w:sz w:val="18"/>
              </w:rPr>
              <w:t>Proposal: “Build a multi-agent RAG platform for everyone, with web search, memory, dashboards, autonomous actions and cloud deployment.”</w:t>
            </w:r>
          </w:p>
          <w:p w14:paraId="5C4783D8">
            <w:pPr>
              <w:spacing w:before="0" w:after="80"/>
            </w:pPr>
            <w:r>
              <w:rPr>
                <w:b/>
                <w:color w:val="1F2937"/>
                <w:sz w:val="18"/>
              </w:rPr>
              <w:t>Week 1 failure modes:</w:t>
            </w:r>
          </w:p>
          <w:p w14:paraId="1E722198">
            <w:pPr>
              <w:numPr>
                <w:ilvl w:val="0"/>
                <w:numId w:val="1"/>
              </w:numPr>
              <w:spacing w:before="0" w:after="80"/>
            </w:pPr>
            <w:r>
              <w:rPr>
                <w:b/>
                <w:color w:val="1F2937"/>
                <w:sz w:val="18"/>
              </w:rPr>
              <w:t>Technology-first:</w:t>
            </w:r>
            <w:r>
              <w:rPr>
                <w:b w:val="0"/>
                <w:color w:val="1F2937"/>
                <w:sz w:val="18"/>
              </w:rPr>
              <w:t xml:space="preserve"> it starts with “multi-agent RAG” and names no business pain, so there is nothing to test.</w:t>
            </w:r>
          </w:p>
          <w:p w14:paraId="7394E631">
            <w:pPr>
              <w:numPr>
                <w:ilvl w:val="0"/>
                <w:numId w:val="1"/>
              </w:numPr>
              <w:spacing w:before="0" w:after="80"/>
            </w:pPr>
            <w:r>
              <w:rPr>
                <w:b/>
                <w:color w:val="1F2937"/>
                <w:sz w:val="18"/>
              </w:rPr>
              <w:t>No primary user or workflow:</w:t>
            </w:r>
            <w:r>
              <w:rPr>
                <w:b w:val="0"/>
                <w:color w:val="1F2937"/>
                <w:sz w:val="18"/>
              </w:rPr>
              <w:t xml:space="preserve"> “everyone” means no one; no current process is mapped.</w:t>
            </w:r>
          </w:p>
          <w:p w14:paraId="2FFE7E26">
            <w:pPr>
              <w:numPr>
                <w:ilvl w:val="0"/>
                <w:numId w:val="1"/>
              </w:numPr>
              <w:spacing w:before="0" w:after="80"/>
            </w:pPr>
            <w:r>
              <w:rPr>
                <w:b/>
                <w:color w:val="1F2937"/>
                <w:sz w:val="18"/>
              </w:rPr>
              <w:t>No baseline, metrics or acceptance criteria:</w:t>
            </w:r>
            <w:r>
              <w:rPr>
                <w:b w:val="0"/>
                <w:color w:val="1F2937"/>
                <w:sz w:val="18"/>
              </w:rPr>
              <w:t xml:space="preserve"> there is no way to say whether it works or is better than today.</w:t>
            </w:r>
          </w:p>
          <w:p w14:paraId="055660B3">
            <w:pPr>
              <w:numPr>
                <w:ilvl w:val="0"/>
                <w:numId w:val="1"/>
              </w:numPr>
              <w:spacing w:before="0" w:after="80"/>
            </w:pPr>
            <w:r>
              <w:rPr>
                <w:b/>
                <w:color w:val="1F2937"/>
                <w:sz w:val="18"/>
              </w:rPr>
              <w:t>Scope explosion, not an MVP:</w:t>
            </w:r>
            <w:r>
              <w:rPr>
                <w:b w:val="0"/>
                <w:color w:val="1F2937"/>
                <w:sz w:val="18"/>
              </w:rPr>
              <w:t xml:space="preserve"> six large capabilities at once, no single end-to-end behavior and no non-goals.</w:t>
            </w:r>
          </w:p>
          <w:p w14:paraId="39C19788">
            <w:pPr>
              <w:numPr>
                <w:ilvl w:val="0"/>
                <w:numId w:val="1"/>
              </w:numPr>
              <w:spacing w:before="0" w:after="80"/>
            </w:pPr>
            <w:r>
              <w:rPr>
                <w:b/>
                <w:color w:val="1F2937"/>
                <w:sz w:val="18"/>
              </w:rPr>
              <w:t>Unjustified capability mix and unmanaged risk:</w:t>
            </w:r>
            <w:r>
              <w:rPr>
                <w:b w:val="0"/>
                <w:color w:val="1F2937"/>
                <w:sz w:val="18"/>
              </w:rPr>
              <w:t xml:space="preserve"> web search, memory and autonomous actions add security, privacy and evaluation risk (e.g., prompt injection, wrong actions) with no risk analysis, and no data or knowledge source is defined.</w:t>
            </w:r>
          </w:p>
          <w:p w14:paraId="6D700812">
            <w:pPr>
              <w:numPr>
                <w:ilvl w:val="0"/>
                <w:numId w:val="1"/>
              </w:numPr>
              <w:spacing w:before="0" w:after="80"/>
            </w:pPr>
            <w:r>
              <w:rPr>
                <w:b/>
                <w:color w:val="1F2937"/>
                <w:sz w:val="18"/>
              </w:rPr>
              <w:t>Premature deployment:</w:t>
            </w:r>
            <w:r>
              <w:rPr>
                <w:b w:val="0"/>
                <w:color w:val="1F2937"/>
                <w:sz w:val="18"/>
              </w:rPr>
              <w:t xml:space="preserve"> cloud deployment is chosen before constraints, cost, latency and value are known.</w:t>
            </w:r>
          </w:p>
          <w:p w14:paraId="028B53AA">
            <w:pPr>
              <w:spacing w:before="0" w:after="80"/>
            </w:pPr>
            <w:r>
              <w:rPr>
                <w:b/>
                <w:color w:val="1F2937"/>
                <w:sz w:val="18"/>
              </w:rPr>
              <w:t>What must be fixed before model building starts:</w:t>
            </w:r>
          </w:p>
          <w:p w14:paraId="2D9267AF">
            <w:pPr>
              <w:numPr>
                <w:ilvl w:val="0"/>
                <w:numId w:val="1"/>
              </w:numPr>
              <w:spacing w:before="0" w:after="80"/>
            </w:pPr>
            <w:r>
              <w:rPr>
                <w:b w:val="0"/>
                <w:color w:val="1F2937"/>
                <w:sz w:val="18"/>
              </w:rPr>
              <w:t>Write a technology-free problem statement, one primary user and the current workflow.</w:t>
            </w:r>
          </w:p>
          <w:p w14:paraId="5715DF02">
            <w:pPr>
              <w:numPr>
                <w:ilvl w:val="0"/>
                <w:numId w:val="1"/>
              </w:numPr>
              <w:spacing w:before="0" w:after="80"/>
            </w:pPr>
            <w:r>
              <w:rPr>
                <w:b w:val="0"/>
                <w:color w:val="1F2937"/>
                <w:sz w:val="18"/>
              </w:rPr>
              <w:t>Record a baseline (or mark it “not yet measured” with a plan) and justify AI suitability and the capability class.</w:t>
            </w:r>
          </w:p>
          <w:p w14:paraId="5AC548EB">
            <w:pPr>
              <w:numPr>
                <w:ilvl w:val="0"/>
                <w:numId w:val="1"/>
              </w:numPr>
              <w:spacing w:before="0" w:after="80"/>
            </w:pPr>
            <w:r>
              <w:rPr>
                <w:b w:val="0"/>
                <w:color w:val="1F2937"/>
                <w:sz w:val="18"/>
              </w:rPr>
              <w:t>Define one Minimum Useful MVP with explicit non-goals (here: no autonomous actions, web search, memory, dashboards or cloud rollout).</w:t>
            </w:r>
          </w:p>
          <w:p w14:paraId="52EB617E">
            <w:pPr>
              <w:numPr>
                <w:ilvl w:val="0"/>
                <w:numId w:val="1"/>
              </w:numPr>
              <w:spacing w:before="0" w:after="80"/>
            </w:pPr>
            <w:r>
              <w:rPr>
                <w:b w:val="0"/>
                <w:color w:val="1F2937"/>
                <w:sz w:val="18"/>
              </w:rPr>
              <w:t>Set user/business, AI-quality and operational metrics with acceptance criteria; list data sources, constraints, risks and an assumption register.</w:t>
            </w:r>
          </w:p>
          <w:p w14:paraId="6C290C44">
            <w:pPr>
              <w:numPr>
                <w:ilvl w:val="0"/>
                <w:numId w:val="1"/>
              </w:numPr>
              <w:spacing w:before="0" w:after="80"/>
            </w:pPr>
            <w:r>
              <w:rPr>
                <w:b w:val="0"/>
                <w:color w:val="1F2937"/>
                <w:sz w:val="18"/>
              </w:rPr>
              <w:t>Complete the Week 1 artifact and pass the Week 1 acceptance review.</w:t>
            </w:r>
          </w:p>
        </w:tc>
      </w:tr>
    </w:tbl>
    <w:p w14:paraId="390947BE">
      <w:pPr>
        <w:spacing w:after="40"/>
        <w:rPr>
          <w:rFonts w:hint="eastAsia"/>
        </w:rPr>
      </w:pPr>
    </w:p>
    <w:p w14:paraId="34121985">
      <w:pPr>
        <w:spacing w:before="160" w:after="100"/>
        <w:rPr>
          <w:rFonts w:hint="eastAsia"/>
        </w:rPr>
      </w:pPr>
      <w:r>
        <w:rPr>
          <w:b/>
          <w:color w:val="163B82"/>
          <w:sz w:val="30"/>
        </w:rPr>
        <w:t>Section F: Quantitative Reasoning and Business Value (10 marks)</w:t>
      </w:r>
    </w:p>
    <w:p w14:paraId="3569C075">
      <w:pPr>
        <w:spacing w:after="120"/>
        <w:rPr>
          <w:rFonts w:hint="eastAsia"/>
        </w:rPr>
      </w:pPr>
      <w:r>
        <w:rPr>
          <w:i/>
          <w:color w:val="6B7280"/>
          <w:sz w:val="19"/>
        </w:rPr>
        <w:t>Show all calculations and interpret the result in engineering terms.</w:t>
      </w:r>
    </w:p>
    <w:tbl>
      <w:tblPr>
        <w:tblStyle w:val="12"/>
        <w:tblW w:w="0" w:type="auto"/>
        <w:jc w:val="center"/>
        <w:tblLayout w:type="fixed"/>
        <w:tblCellMar>
          <w:top w:w="0" w:type="dxa"/>
          <w:left w:w="108" w:type="dxa"/>
          <w:bottom w:w="0" w:type="dxa"/>
          <w:right w:w="108" w:type="dxa"/>
        </w:tblCellMar>
      </w:tblPr>
      <w:tblGrid>
        <w:gridCol w:w="4916"/>
        <w:gridCol w:w="4916"/>
      </w:tblGrid>
      <w:tr w14:paraId="4ED1CFB9">
        <w:tblPrEx>
          <w:tblCellMar>
            <w:top w:w="0" w:type="dxa"/>
            <w:left w:w="108" w:type="dxa"/>
            <w:bottom w:w="0" w:type="dxa"/>
            <w:right w:w="108" w:type="dxa"/>
          </w:tblCellMar>
        </w:tblPrEx>
        <w:trPr>
          <w:cantSplit/>
          <w:jc w:val="center"/>
        </w:trPr>
        <w:tc>
          <w:tcPr>
            <w:tcW w:w="4916" w:type="dxa"/>
            <w:tcBorders>
              <w:top w:val="single" w:color="D7E0EF" w:sz="4" w:space="0"/>
              <w:left w:val="single" w:color="D7E0EF" w:sz="4" w:space="0"/>
              <w:bottom w:val="single" w:color="D7E0EF" w:sz="4" w:space="0"/>
              <w:right w:val="single" w:color="D7E0EF" w:sz="4" w:space="0"/>
            </w:tcBorders>
            <w:shd w:val="clear" w:color="auto" w:fill="EAF1FB"/>
          </w:tcPr>
          <w:p w14:paraId="35092ABC">
            <w:pPr>
              <w:spacing w:after="0"/>
              <w:rPr>
                <w:rFonts w:hint="eastAsia"/>
              </w:rPr>
            </w:pPr>
            <w:r>
              <w:rPr>
                <w:b/>
                <w:color w:val="1F1F1F"/>
                <w:sz w:val="21"/>
              </w:rPr>
              <w:t>Q23. Compute and compare two opportunity scores: A has V=0.70, F=0.95; B has V=0.95, F=0.55. Which would you prioritize for the first MVP under the simple V×F aid, and what important limitation does this scoring approach have?</w:t>
            </w:r>
          </w:p>
        </w:tc>
        <w:tc>
          <w:tcPr>
            <w:tcW w:w="4916" w:type="dxa"/>
            <w:tcBorders>
              <w:top w:val="single" w:color="D7E0EF" w:sz="4" w:space="0"/>
              <w:left w:val="single" w:color="D7E0EF" w:sz="4" w:space="0"/>
              <w:bottom w:val="single" w:color="D7E0EF" w:sz="4" w:space="0"/>
              <w:right w:val="single" w:color="D7E0EF" w:sz="4" w:space="0"/>
            </w:tcBorders>
            <w:shd w:val="clear" w:color="auto" w:fill="FFF6DD"/>
          </w:tcPr>
          <w:p w14:paraId="3BB94D28">
            <w:pPr>
              <w:spacing w:after="0"/>
              <w:jc w:val="center"/>
              <w:rPr>
                <w:rFonts w:hint="eastAsia"/>
              </w:rPr>
            </w:pPr>
            <w:r>
              <w:rPr>
                <w:b/>
                <w:color w:val="163B82"/>
                <w:sz w:val="18"/>
              </w:rPr>
              <w:t>3 marks</w:t>
            </w:r>
          </w:p>
        </w:tc>
      </w:tr>
    </w:tbl>
    <w:p w14:paraId="621ABE07">
      <w:pPr>
        <w:spacing w:before="40" w:after="60"/>
        <w:rPr>
          <w:rFonts w:hint="eastAsia"/>
        </w:rPr>
      </w:pPr>
      <w:r>
        <w:rPr>
          <w:b/>
          <w:color w:val="F5A000"/>
          <w:sz w:val="17"/>
        </w:rPr>
        <w:t>Book reference: §3.7, pp. 223–225</w:t>
      </w:r>
    </w:p>
    <w:tbl>
      <w:tblPr>
        <w:tblStyle w:val="12"/>
        <w:tblW w:w="0" w:type="auto"/>
        <w:jc w:val="center"/>
        <w:tblLayout w:type="fixed"/>
        <w:tblCellMar>
          <w:top w:w="0" w:type="dxa"/>
          <w:left w:w="108" w:type="dxa"/>
          <w:bottom w:w="0" w:type="dxa"/>
          <w:right w:w="108" w:type="dxa"/>
        </w:tblCellMar>
      </w:tblPr>
      <w:tblGrid>
        <w:gridCol w:w="9432"/>
      </w:tblGrid>
      <w:tr w14:paraId="0896A600">
        <w:tblPrEx>
          <w:tblCellMar>
            <w:top w:w="0" w:type="dxa"/>
            <w:left w:w="108" w:type="dxa"/>
            <w:bottom w:w="0" w:type="dxa"/>
            <w:right w:w="108" w:type="dxa"/>
          </w:tblCellMar>
        </w:tblPrEx>
        <w:trPr>
          <w:cantSplit/>
          <w:jc w:val="center"/>
        </w:trPr>
        <w:tc>
          <w:tcPr>
            <w:tcW w:w="9432" w:type="dxa"/>
            <w:tcBorders>
              <w:top w:val="single" w:color="B7C7E6" w:sz="6" w:space="0"/>
              <w:left w:val="single" w:color="B7C7E6" w:sz="6" w:space="0"/>
              <w:bottom w:val="single" w:color="B7C7E6" w:sz="6" w:space="0"/>
              <w:right w:val="single" w:color="B7C7E6" w:sz="6" w:space="0"/>
            </w:tcBorders>
            <w:shd w:val="clear" w:color="auto" w:fill="F9FBFE"/>
          </w:tcPr>
          <w:p w14:paraId="36F8F9DF">
            <w:pPr>
              <w:spacing w:before="0" w:after="80"/>
              <w:rPr>
                <w:rFonts w:hint="eastAsia"/>
              </w:rPr>
            </w:pPr>
            <w:r>
              <w:rPr>
                <w:b/>
                <w:color w:val="1F2937"/>
                <w:sz w:val="18"/>
              </w:rPr>
              <w:t>Calculation (score = V × F):</w:t>
            </w:r>
          </w:p>
          <w:p w14:paraId="5CD148FD">
            <w:pPr>
              <w:numPr>
                <w:ilvl w:val="0"/>
                <w:numId w:val="1"/>
              </w:numPr>
              <w:spacing w:before="0" w:after="80"/>
            </w:pPr>
            <w:r>
              <w:rPr>
                <w:b w:val="0"/>
                <w:color w:val="1F2937"/>
                <w:sz w:val="18"/>
              </w:rPr>
              <w:t xml:space="preserve">Opportunity A: 0.70 × 0.95 = </w:t>
            </w:r>
            <w:r>
              <w:rPr>
                <w:b/>
                <w:color w:val="1F2937"/>
                <w:sz w:val="18"/>
              </w:rPr>
              <w:t>0.665</w:t>
            </w:r>
          </w:p>
          <w:p w14:paraId="31E2D846">
            <w:pPr>
              <w:numPr>
                <w:ilvl w:val="0"/>
                <w:numId w:val="1"/>
              </w:numPr>
              <w:spacing w:before="0" w:after="80"/>
            </w:pPr>
            <w:r>
              <w:rPr>
                <w:b w:val="0"/>
                <w:color w:val="1F2937"/>
                <w:sz w:val="18"/>
              </w:rPr>
              <w:t xml:space="preserve">Opportunity B: 0.95 × 0.55 = </w:t>
            </w:r>
            <w:r>
              <w:rPr>
                <w:b/>
                <w:color w:val="1F2937"/>
                <w:sz w:val="18"/>
              </w:rPr>
              <w:t>0.5225</w:t>
            </w:r>
          </w:p>
          <w:p w14:paraId="5FEF8EF4">
            <w:pPr>
              <w:spacing w:before="0" w:after="80"/>
            </w:pPr>
            <w:r>
              <w:rPr>
                <w:b/>
                <w:color w:val="1F2937"/>
                <w:sz w:val="18"/>
              </w:rPr>
              <w:t>Decision:</w:t>
            </w:r>
            <w:r>
              <w:rPr>
                <w:b w:val="0"/>
                <w:color w:val="1F2937"/>
                <w:sz w:val="18"/>
              </w:rPr>
              <w:t xml:space="preserve"> prioritise </w:t>
            </w:r>
            <w:r>
              <w:rPr>
                <w:b/>
                <w:color w:val="1F2937"/>
                <w:sz w:val="18"/>
              </w:rPr>
              <w:t>Opportunity A</w:t>
            </w:r>
            <w:r>
              <w:rPr>
                <w:b w:val="0"/>
                <w:color w:val="1F2937"/>
                <w:sz w:val="18"/>
              </w:rPr>
              <w:t xml:space="preserve"> for the first MVP under the simple V×F aid (0.665 &gt; 0.5225). It is feasible, so it can reach an evaluated result quickly.</w:t>
            </w:r>
          </w:p>
          <w:p w14:paraId="2FC39432">
            <w:pPr>
              <w:spacing w:before="0" w:after="80"/>
            </w:pPr>
            <w:r>
              <w:rPr>
                <w:b/>
                <w:color w:val="1F2937"/>
                <w:sz w:val="18"/>
              </w:rPr>
              <w:t>Important limitation:</w:t>
            </w:r>
            <w:r>
              <w:rPr>
                <w:b w:val="0"/>
                <w:color w:val="1F2937"/>
                <w:sz w:val="18"/>
              </w:rPr>
              <w:t xml:space="preserve"> the score depends on subjective V and F estimates and shows more precision than the evidence supports; the ordering can reverse with plausible estimation errors (e.g., if A’s feasibility is really 0.75 and B’s is 0.70, then A = 0.525 and B = 0.665). It also ignores effort, cost, risk, dependencies and strategic fit, and it can favour easy, low-value wins over a valuable but harder opportunity (B), which might deserve a small feasibility test. Use it to structure the discussion, not to replace measurement.</w:t>
            </w:r>
          </w:p>
        </w:tc>
      </w:tr>
    </w:tbl>
    <w:p w14:paraId="166AF424">
      <w:pPr>
        <w:spacing w:after="40"/>
        <w:rPr>
          <w:rFonts w:hint="eastAsia"/>
        </w:rPr>
      </w:pPr>
    </w:p>
    <w:tbl>
      <w:tblPr>
        <w:tblStyle w:val="12"/>
        <w:tblW w:w="0" w:type="auto"/>
        <w:jc w:val="center"/>
        <w:tblLayout w:type="fixed"/>
        <w:tblCellMar>
          <w:top w:w="0" w:type="dxa"/>
          <w:left w:w="108" w:type="dxa"/>
          <w:bottom w:w="0" w:type="dxa"/>
          <w:right w:w="108" w:type="dxa"/>
        </w:tblCellMar>
      </w:tblPr>
      <w:tblGrid>
        <w:gridCol w:w="4916"/>
        <w:gridCol w:w="4916"/>
      </w:tblGrid>
      <w:tr w14:paraId="03E9CEE5">
        <w:tblPrEx>
          <w:tblCellMar>
            <w:top w:w="0" w:type="dxa"/>
            <w:left w:w="108" w:type="dxa"/>
            <w:bottom w:w="0" w:type="dxa"/>
            <w:right w:w="108" w:type="dxa"/>
          </w:tblCellMar>
        </w:tblPrEx>
        <w:trPr>
          <w:cantSplit/>
          <w:jc w:val="center"/>
        </w:trPr>
        <w:tc>
          <w:tcPr>
            <w:tcW w:w="4916" w:type="dxa"/>
            <w:tcBorders>
              <w:top w:val="single" w:color="D7E0EF" w:sz="4" w:space="0"/>
              <w:left w:val="single" w:color="D7E0EF" w:sz="4" w:space="0"/>
              <w:bottom w:val="single" w:color="D7E0EF" w:sz="4" w:space="0"/>
              <w:right w:val="single" w:color="D7E0EF" w:sz="4" w:space="0"/>
            </w:tcBorders>
            <w:shd w:val="clear" w:color="auto" w:fill="EAF1FB"/>
          </w:tcPr>
          <w:p w14:paraId="2024CE04">
            <w:pPr>
              <w:spacing w:after="0"/>
              <w:rPr>
                <w:rFonts w:hint="eastAsia"/>
              </w:rPr>
            </w:pPr>
            <w:r>
              <w:rPr>
                <w:b/>
                <w:color w:val="1F1F1F"/>
                <w:sz w:val="21"/>
              </w:rPr>
              <w:t>Q24. A workflow occurs 900 times per month. Current time T₀=14 min/task; proposed MVP time T₁=6 min/task; loaded labor cost Cₕ=$28/hour. Calculate monthly minutes saved, hours saved, and the simple monthly labor-value estimate. Then list two reasons this is not yet full ROI.</w:t>
            </w:r>
          </w:p>
        </w:tc>
        <w:tc>
          <w:tcPr>
            <w:tcW w:w="4916" w:type="dxa"/>
            <w:tcBorders>
              <w:top w:val="single" w:color="D7E0EF" w:sz="4" w:space="0"/>
              <w:left w:val="single" w:color="D7E0EF" w:sz="4" w:space="0"/>
              <w:bottom w:val="single" w:color="D7E0EF" w:sz="4" w:space="0"/>
              <w:right w:val="single" w:color="D7E0EF" w:sz="4" w:space="0"/>
            </w:tcBorders>
            <w:shd w:val="clear" w:color="auto" w:fill="FFF6DD"/>
          </w:tcPr>
          <w:p w14:paraId="3F002720">
            <w:pPr>
              <w:spacing w:after="0"/>
              <w:jc w:val="center"/>
              <w:rPr>
                <w:rFonts w:hint="eastAsia"/>
              </w:rPr>
            </w:pPr>
            <w:r>
              <w:rPr>
                <w:b/>
                <w:color w:val="163B82"/>
                <w:sz w:val="18"/>
              </w:rPr>
              <w:t>4 marks</w:t>
            </w:r>
          </w:p>
        </w:tc>
      </w:tr>
    </w:tbl>
    <w:p w14:paraId="3BB2D99E">
      <w:pPr>
        <w:spacing w:before="40" w:after="60"/>
        <w:rPr>
          <w:rFonts w:hint="eastAsia"/>
        </w:rPr>
      </w:pPr>
      <w:r>
        <w:rPr>
          <w:b/>
          <w:color w:val="F5A000"/>
          <w:sz w:val="17"/>
        </w:rPr>
        <w:t>Book reference: §3.23, “Why the Business Cares,” pp. 282–284</w:t>
      </w:r>
    </w:p>
    <w:tbl>
      <w:tblPr>
        <w:tblStyle w:val="12"/>
        <w:tblW w:w="0" w:type="auto"/>
        <w:jc w:val="center"/>
        <w:tblLayout w:type="fixed"/>
        <w:tblCellMar>
          <w:top w:w="0" w:type="dxa"/>
          <w:left w:w="108" w:type="dxa"/>
          <w:bottom w:w="0" w:type="dxa"/>
          <w:right w:w="108" w:type="dxa"/>
        </w:tblCellMar>
      </w:tblPr>
      <w:tblGrid>
        <w:gridCol w:w="9432"/>
      </w:tblGrid>
      <w:tr w14:paraId="356DB1AB">
        <w:tblPrEx>
          <w:tblCellMar>
            <w:top w:w="0" w:type="dxa"/>
            <w:left w:w="108" w:type="dxa"/>
            <w:bottom w:w="0" w:type="dxa"/>
            <w:right w:w="108" w:type="dxa"/>
          </w:tblCellMar>
        </w:tblPrEx>
        <w:trPr>
          <w:cantSplit/>
          <w:jc w:val="center"/>
        </w:trPr>
        <w:tc>
          <w:tcPr>
            <w:tcW w:w="9432" w:type="dxa"/>
            <w:tcBorders>
              <w:top w:val="single" w:color="B7C7E6" w:sz="6" w:space="0"/>
              <w:left w:val="single" w:color="B7C7E6" w:sz="6" w:space="0"/>
              <w:bottom w:val="single" w:color="B7C7E6" w:sz="6" w:space="0"/>
              <w:right w:val="single" w:color="B7C7E6" w:sz="6" w:space="0"/>
            </w:tcBorders>
            <w:shd w:val="clear" w:color="auto" w:fill="F9FBFE"/>
          </w:tcPr>
          <w:p w14:paraId="5753659A">
            <w:pPr>
              <w:spacing w:before="0" w:after="80"/>
              <w:rPr>
                <w:rFonts w:hint="eastAsia"/>
              </w:rPr>
            </w:pPr>
            <w:r>
              <w:rPr>
                <w:b w:val="0"/>
                <w:color w:val="1F2937"/>
                <w:sz w:val="18"/>
              </w:rPr>
              <w:t>Given (Assumed inputs): N = 900 tasks/month, T₀ = 14 min, T₁ = 6 min, Cₕ = $28/hour.</w:t>
            </w:r>
          </w:p>
          <w:p w14:paraId="46D34400">
            <w:pPr>
              <w:numPr>
                <w:ilvl w:val="0"/>
                <w:numId w:val="1"/>
              </w:numPr>
              <w:spacing w:before="0" w:after="80"/>
            </w:pPr>
            <w:r>
              <w:rPr>
                <w:b w:val="0"/>
                <w:color w:val="1F2937"/>
                <w:sz w:val="18"/>
              </w:rPr>
              <w:t>Minutes saved per task = T₀ − T₁ = 14 − 6 = 8 min (a 57% reduction, since 8 ÷ 14 ≈ 0.571)</w:t>
            </w:r>
          </w:p>
          <w:p w14:paraId="563619DD">
            <w:pPr>
              <w:numPr>
                <w:ilvl w:val="0"/>
                <w:numId w:val="1"/>
              </w:numPr>
              <w:spacing w:before="0" w:after="80"/>
            </w:pPr>
            <w:r>
              <w:rPr>
                <w:b/>
                <w:color w:val="1F2937"/>
                <w:sz w:val="18"/>
              </w:rPr>
              <w:t>Monthly minutes saved</w:t>
            </w:r>
            <w:r>
              <w:rPr>
                <w:b w:val="0"/>
                <w:color w:val="1F2937"/>
                <w:sz w:val="18"/>
              </w:rPr>
              <w:t xml:space="preserve"> = N × (T₀ − T₁) = 900 × 8 = </w:t>
            </w:r>
            <w:r>
              <w:rPr>
                <w:b/>
                <w:color w:val="1F2937"/>
                <w:sz w:val="18"/>
              </w:rPr>
              <w:t>7,200 min</w:t>
            </w:r>
          </w:p>
          <w:p w14:paraId="7D475CF2">
            <w:pPr>
              <w:numPr>
                <w:ilvl w:val="0"/>
                <w:numId w:val="1"/>
              </w:numPr>
              <w:spacing w:before="0" w:after="80"/>
            </w:pPr>
            <w:r>
              <w:rPr>
                <w:b/>
                <w:color w:val="1F2937"/>
                <w:sz w:val="18"/>
              </w:rPr>
              <w:t>Hours saved</w:t>
            </w:r>
            <w:r>
              <w:rPr>
                <w:b w:val="0"/>
                <w:color w:val="1F2937"/>
                <w:sz w:val="18"/>
              </w:rPr>
              <w:t xml:space="preserve"> = 7,200 ÷ 60 = </w:t>
            </w:r>
            <w:r>
              <w:rPr>
                <w:b/>
                <w:color w:val="1F2937"/>
                <w:sz w:val="18"/>
              </w:rPr>
              <w:t>120 hours/month</w:t>
            </w:r>
          </w:p>
          <w:p w14:paraId="1127E3DF">
            <w:pPr>
              <w:numPr>
                <w:ilvl w:val="0"/>
                <w:numId w:val="1"/>
              </w:numPr>
              <w:spacing w:before="0" w:after="80"/>
            </w:pPr>
            <w:r>
              <w:rPr>
                <w:b/>
                <w:color w:val="1F2937"/>
                <w:sz w:val="18"/>
              </w:rPr>
              <w:t>Simple monthly labor-value estimate</w:t>
            </w:r>
            <w:r>
              <w:rPr>
                <w:b w:val="0"/>
                <w:color w:val="1F2937"/>
                <w:sz w:val="18"/>
              </w:rPr>
              <w:t xml:space="preserve"> = 120 × $28 = </w:t>
            </w:r>
            <w:r>
              <w:rPr>
                <w:b/>
                <w:color w:val="1F2937"/>
                <w:sz w:val="18"/>
              </w:rPr>
              <w:t>$3,360/month</w:t>
            </w:r>
            <w:r>
              <w:rPr>
                <w:b w:val="0"/>
                <w:color w:val="1F2937"/>
                <w:sz w:val="18"/>
              </w:rPr>
              <w:t xml:space="preserve"> (about $40,320/year if volume and results stay constant)</w:t>
            </w:r>
          </w:p>
          <w:p w14:paraId="5C5A69C7">
            <w:pPr>
              <w:spacing w:before="0" w:after="80"/>
            </w:pPr>
            <w:r>
              <w:rPr>
                <w:b/>
                <w:color w:val="1F2937"/>
                <w:sz w:val="18"/>
              </w:rPr>
              <w:t>Why this is not yet full ROI:</w:t>
            </w:r>
          </w:p>
          <w:p w14:paraId="4DAD55F9">
            <w:pPr>
              <w:numPr>
                <w:ilvl w:val="0"/>
                <w:numId w:val="1"/>
              </w:numPr>
              <w:spacing w:before="0" w:after="80"/>
            </w:pPr>
            <w:r>
              <w:rPr>
                <w:b w:val="0"/>
                <w:color w:val="1F2937"/>
                <w:sz w:val="18"/>
              </w:rPr>
              <w:t>It ignores costs: building, model/inference usage, hosting, evaluation, maintenance and training all have to be subtracted; ROI compares net benefit to total cost.</w:t>
            </w:r>
          </w:p>
          <w:p w14:paraId="59F4383B">
            <w:pPr>
              <w:numPr>
                <w:ilvl w:val="0"/>
                <w:numId w:val="1"/>
              </w:numPr>
              <w:spacing w:before="0" w:after="80"/>
            </w:pPr>
            <w:r>
              <w:rPr>
                <w:b w:val="0"/>
                <w:color w:val="1F2937"/>
                <w:sz w:val="18"/>
              </w:rPr>
              <w:t>Saved minutes are not cash unless the capacity is actually redeployed or costs are cut; the result also assumes T₁ = 6 min, full adoption and that all 900 tasks are eligible, which are unproven. Rework from wrong answers and ramp-up time are also excluded.</w:t>
            </w:r>
          </w:p>
        </w:tc>
      </w:tr>
    </w:tbl>
    <w:p w14:paraId="4C45B61A">
      <w:pPr>
        <w:spacing w:after="40"/>
        <w:rPr>
          <w:rFonts w:hint="eastAsia"/>
        </w:rPr>
      </w:pPr>
    </w:p>
    <w:tbl>
      <w:tblPr>
        <w:tblStyle w:val="12"/>
        <w:tblW w:w="0" w:type="auto"/>
        <w:jc w:val="center"/>
        <w:tblLayout w:type="fixed"/>
        <w:tblCellMar>
          <w:top w:w="0" w:type="dxa"/>
          <w:left w:w="108" w:type="dxa"/>
          <w:bottom w:w="0" w:type="dxa"/>
          <w:right w:w="108" w:type="dxa"/>
        </w:tblCellMar>
      </w:tblPr>
      <w:tblGrid>
        <w:gridCol w:w="4916"/>
        <w:gridCol w:w="4916"/>
      </w:tblGrid>
      <w:tr w14:paraId="75A9D0C8">
        <w:tblPrEx>
          <w:tblCellMar>
            <w:top w:w="0" w:type="dxa"/>
            <w:left w:w="108" w:type="dxa"/>
            <w:bottom w:w="0" w:type="dxa"/>
            <w:right w:w="108" w:type="dxa"/>
          </w:tblCellMar>
        </w:tblPrEx>
        <w:trPr>
          <w:cantSplit/>
          <w:jc w:val="center"/>
        </w:trPr>
        <w:tc>
          <w:tcPr>
            <w:tcW w:w="4916" w:type="dxa"/>
            <w:tcBorders>
              <w:top w:val="single" w:color="D7E0EF" w:sz="4" w:space="0"/>
              <w:left w:val="single" w:color="D7E0EF" w:sz="4" w:space="0"/>
              <w:bottom w:val="single" w:color="D7E0EF" w:sz="4" w:space="0"/>
              <w:right w:val="single" w:color="D7E0EF" w:sz="4" w:space="0"/>
            </w:tcBorders>
            <w:shd w:val="clear" w:color="auto" w:fill="EAF1FB"/>
          </w:tcPr>
          <w:p w14:paraId="2967DA24">
            <w:pPr>
              <w:spacing w:after="0"/>
              <w:rPr>
                <w:rFonts w:hint="eastAsia"/>
              </w:rPr>
            </w:pPr>
            <w:r>
              <w:rPr>
                <w:b/>
                <w:color w:val="1F1F1F"/>
                <w:sz w:val="21"/>
              </w:rPr>
              <w:t>Q25. Use R=P×I to compare: Risk A has P=0.6, I=0.5; Risk B has P=0.2, I=1.0. Calculate both scores. Which deserves greater attention under this simple score? Explain why risk numbers should not imply false precision.</w:t>
            </w:r>
          </w:p>
        </w:tc>
        <w:tc>
          <w:tcPr>
            <w:tcW w:w="4916" w:type="dxa"/>
            <w:tcBorders>
              <w:top w:val="single" w:color="D7E0EF" w:sz="4" w:space="0"/>
              <w:left w:val="single" w:color="D7E0EF" w:sz="4" w:space="0"/>
              <w:bottom w:val="single" w:color="D7E0EF" w:sz="4" w:space="0"/>
              <w:right w:val="single" w:color="D7E0EF" w:sz="4" w:space="0"/>
            </w:tcBorders>
            <w:shd w:val="clear" w:color="auto" w:fill="FFF6DD"/>
          </w:tcPr>
          <w:p w14:paraId="102850A0">
            <w:pPr>
              <w:spacing w:after="0"/>
              <w:jc w:val="center"/>
              <w:rPr>
                <w:rFonts w:hint="eastAsia"/>
              </w:rPr>
            </w:pPr>
            <w:r>
              <w:rPr>
                <w:b/>
                <w:color w:val="163B82"/>
                <w:sz w:val="18"/>
              </w:rPr>
              <w:t>3 marks</w:t>
            </w:r>
          </w:p>
        </w:tc>
      </w:tr>
    </w:tbl>
    <w:p w14:paraId="0EBB6D83">
      <w:pPr>
        <w:spacing w:before="40" w:after="60"/>
        <w:rPr>
          <w:rFonts w:hint="eastAsia"/>
        </w:rPr>
      </w:pPr>
      <w:r>
        <w:rPr>
          <w:b/>
          <w:color w:val="F5A000"/>
          <w:sz w:val="17"/>
        </w:rPr>
        <w:t>Book reference: §3.12, “Risks,” p. 238</w:t>
      </w:r>
    </w:p>
    <w:tbl>
      <w:tblPr>
        <w:tblStyle w:val="12"/>
        <w:tblW w:w="0" w:type="auto"/>
        <w:jc w:val="center"/>
        <w:tblLayout w:type="fixed"/>
        <w:tblCellMar>
          <w:top w:w="0" w:type="dxa"/>
          <w:left w:w="108" w:type="dxa"/>
          <w:bottom w:w="0" w:type="dxa"/>
          <w:right w:w="108" w:type="dxa"/>
        </w:tblCellMar>
      </w:tblPr>
      <w:tblGrid>
        <w:gridCol w:w="9432"/>
      </w:tblGrid>
      <w:tr w14:paraId="08E23343">
        <w:tblPrEx>
          <w:tblCellMar>
            <w:top w:w="0" w:type="dxa"/>
            <w:left w:w="108" w:type="dxa"/>
            <w:bottom w:w="0" w:type="dxa"/>
            <w:right w:w="108" w:type="dxa"/>
          </w:tblCellMar>
        </w:tblPrEx>
        <w:trPr>
          <w:cantSplit/>
          <w:jc w:val="center"/>
        </w:trPr>
        <w:tc>
          <w:tcPr>
            <w:tcW w:w="9432" w:type="dxa"/>
            <w:tcBorders>
              <w:top w:val="single" w:color="B7C7E6" w:sz="6" w:space="0"/>
              <w:left w:val="single" w:color="B7C7E6" w:sz="6" w:space="0"/>
              <w:bottom w:val="single" w:color="B7C7E6" w:sz="6" w:space="0"/>
              <w:right w:val="single" w:color="B7C7E6" w:sz="6" w:space="0"/>
            </w:tcBorders>
            <w:shd w:val="clear" w:color="auto" w:fill="F9FBFE"/>
          </w:tcPr>
          <w:p w14:paraId="476500F3">
            <w:pPr>
              <w:spacing w:before="0" w:after="80"/>
              <w:rPr>
                <w:rFonts w:hint="eastAsia"/>
              </w:rPr>
            </w:pPr>
            <w:r>
              <w:rPr>
                <w:b/>
                <w:color w:val="1F2937"/>
                <w:sz w:val="18"/>
              </w:rPr>
              <w:t>Calculation (R = P × I):</w:t>
            </w:r>
          </w:p>
          <w:p w14:paraId="1A75137E">
            <w:pPr>
              <w:numPr>
                <w:ilvl w:val="0"/>
                <w:numId w:val="1"/>
              </w:numPr>
              <w:spacing w:before="0" w:after="80"/>
            </w:pPr>
            <w:r>
              <w:rPr>
                <w:b w:val="0"/>
                <w:color w:val="1F2937"/>
                <w:sz w:val="18"/>
              </w:rPr>
              <w:t xml:space="preserve">Risk A: 0.6 × 0.5 = </w:t>
            </w:r>
            <w:r>
              <w:rPr>
                <w:b/>
                <w:color w:val="1F2937"/>
                <w:sz w:val="18"/>
              </w:rPr>
              <w:t>0.30</w:t>
            </w:r>
          </w:p>
          <w:p w14:paraId="0662AF9B">
            <w:pPr>
              <w:numPr>
                <w:ilvl w:val="0"/>
                <w:numId w:val="1"/>
              </w:numPr>
              <w:spacing w:before="0" w:after="80"/>
            </w:pPr>
            <w:r>
              <w:rPr>
                <w:b w:val="0"/>
                <w:color w:val="1F2937"/>
                <w:sz w:val="18"/>
              </w:rPr>
              <w:t xml:space="preserve">Risk B: 0.2 × 1.0 = </w:t>
            </w:r>
            <w:r>
              <w:rPr>
                <w:b/>
                <w:color w:val="1F2937"/>
                <w:sz w:val="18"/>
              </w:rPr>
              <w:t>0.20</w:t>
            </w:r>
          </w:p>
          <w:p w14:paraId="0314F27F">
            <w:pPr>
              <w:spacing w:before="0" w:after="80"/>
            </w:pPr>
            <w:r>
              <w:rPr>
                <w:b/>
                <w:color w:val="1F2937"/>
                <w:sz w:val="18"/>
              </w:rPr>
              <w:t>Under this simple score Risk A deserves greater attention</w:t>
            </w:r>
            <w:r>
              <w:rPr>
                <w:b w:val="0"/>
                <w:color w:val="1F2937"/>
                <w:sz w:val="18"/>
              </w:rPr>
              <w:t xml:space="preserve"> (0.30 &gt; 0.20): it is likely and moderately harmful. Risk B should not be ignored, because its impact is the maximum (I = 1.0); a low-probability, catastrophic risk needs at least a defined mitigation or contingency plan, whatever its score.</w:t>
            </w:r>
          </w:p>
          <w:p w14:paraId="2954031B">
            <w:pPr>
              <w:spacing w:before="0" w:after="80"/>
            </w:pPr>
            <w:r>
              <w:rPr>
                <w:b/>
                <w:color w:val="1F2937"/>
                <w:sz w:val="18"/>
              </w:rPr>
              <w:t>Why the numbers must not imply false precision:</w:t>
            </w:r>
            <w:r>
              <w:rPr>
                <w:b w:val="0"/>
                <w:color w:val="1F2937"/>
                <w:sz w:val="18"/>
              </w:rPr>
              <w:t xml:space="preserve"> P and I are judgments made with limited evidence, not measured values. A difference of 0.10 lies well within the uncertainty of the inputs, and multiplying hides the difference between “likely but small” and “rare but severe”. It is safer to use ranges or Low/Medium/High bands, record the evidence status of each estimate, and re-score when new evidence arrives.</w:t>
            </w:r>
          </w:p>
        </w:tc>
      </w:tr>
    </w:tbl>
    <w:p w14:paraId="68D541AB">
      <w:pPr>
        <w:spacing w:after="40"/>
        <w:rPr>
          <w:rFonts w:hint="eastAsia"/>
        </w:rPr>
      </w:pPr>
    </w:p>
    <w:p w14:paraId="58451D07">
      <w:pPr>
        <w:spacing w:before="160" w:after="100"/>
        <w:rPr>
          <w:rFonts w:hint="eastAsia"/>
        </w:rPr>
      </w:pPr>
      <w:r>
        <w:rPr>
          <w:b/>
          <w:color w:val="163B82"/>
          <w:sz w:val="30"/>
        </w:rPr>
        <w:t>Mandatory Final Integration Checklist</w:t>
      </w:r>
      <w:bookmarkStart w:id="0" w:name="_GoBack"/>
      <w:bookmarkEnd w:id="0"/>
    </w:p>
    <w:p w14:paraId="6E778290">
      <w:pPr>
        <w:spacing w:after="120"/>
        <w:rPr>
          <w:rFonts w:hint="eastAsia"/>
        </w:rPr>
      </w:pPr>
      <w:r>
        <w:rPr>
          <w:i/>
          <w:color w:val="6B7280"/>
          <w:sz w:val="19"/>
        </w:rPr>
        <w:t>Use this before submitting. This checklist is required but not separately marked.</w:t>
      </w:r>
    </w:p>
    <w:tbl>
      <w:tblPr>
        <w:tblStyle w:val="12"/>
        <w:tblW w:w="0" w:type="auto"/>
        <w:jc w:val="center"/>
        <w:tblLayout w:type="fixed"/>
        <w:tblCellMar>
          <w:top w:w="0" w:type="dxa"/>
          <w:left w:w="108" w:type="dxa"/>
          <w:bottom w:w="0" w:type="dxa"/>
          <w:right w:w="108" w:type="dxa"/>
        </w:tblCellMar>
      </w:tblPr>
      <w:tblGrid>
        <w:gridCol w:w="3277"/>
        <w:gridCol w:w="3277"/>
        <w:gridCol w:w="3277"/>
      </w:tblGrid>
      <w:tr w14:paraId="284DBDD3">
        <w:tblPrEx>
          <w:tblCellMar>
            <w:top w:w="0" w:type="dxa"/>
            <w:left w:w="108" w:type="dxa"/>
            <w:bottom w:w="0" w:type="dxa"/>
            <w:right w:w="108" w:type="dxa"/>
          </w:tblCellMar>
        </w:tblPrEx>
        <w:trPr>
          <w:cantSplit/>
          <w:jc w:val="center"/>
        </w:trPr>
        <w:tc>
          <w:tcPr>
            <w:tcW w:w="3277" w:type="dxa"/>
            <w:shd w:val="clear" w:color="auto" w:fill="163B82"/>
          </w:tcPr>
          <w:p w14:paraId="79D8B32A">
            <w:pPr>
              <w:rPr>
                <w:rFonts w:hint="eastAsia"/>
              </w:rPr>
            </w:pPr>
            <w:r>
              <w:rPr>
                <w:b/>
                <w:color w:val="FFFFFF"/>
                <w:sz w:val="17"/>
              </w:rPr>
              <w:t>Done</w:t>
            </w:r>
          </w:p>
        </w:tc>
        <w:tc>
          <w:tcPr>
            <w:tcW w:w="3277" w:type="dxa"/>
            <w:shd w:val="clear" w:color="auto" w:fill="163B82"/>
          </w:tcPr>
          <w:p w14:paraId="095E3EFC">
            <w:pPr>
              <w:rPr>
                <w:rFonts w:hint="eastAsia"/>
              </w:rPr>
            </w:pPr>
            <w:r>
              <w:rPr>
                <w:b/>
                <w:color w:val="FFFFFF"/>
                <w:sz w:val="17"/>
              </w:rPr>
              <w:t>Submission Check</w:t>
            </w:r>
          </w:p>
        </w:tc>
        <w:tc>
          <w:tcPr>
            <w:tcW w:w="3277" w:type="dxa"/>
            <w:shd w:val="clear" w:color="auto" w:fill="163B82"/>
          </w:tcPr>
          <w:p w14:paraId="7FA2EC3C">
            <w:pPr>
              <w:rPr>
                <w:rFonts w:hint="eastAsia"/>
              </w:rPr>
            </w:pPr>
            <w:r>
              <w:rPr>
                <w:b/>
                <w:color w:val="FFFFFF"/>
                <w:sz w:val="17"/>
              </w:rPr>
              <w:t>Book Reference</w:t>
            </w:r>
          </w:p>
        </w:tc>
      </w:tr>
      <w:tr w14:paraId="6642B0EC">
        <w:tblPrEx>
          <w:tblCellMar>
            <w:top w:w="0" w:type="dxa"/>
            <w:left w:w="108" w:type="dxa"/>
            <w:bottom w:w="0" w:type="dxa"/>
            <w:right w:w="108" w:type="dxa"/>
          </w:tblCellMar>
        </w:tblPrEx>
        <w:trPr>
          <w:cantSplit/>
          <w:jc w:val="center"/>
        </w:trPr>
        <w:tc>
          <w:tcPr>
            <w:tcW w:w="3277" w:type="dxa"/>
            <w:tcBorders>
              <w:top w:val="single" w:color="CCD7E8" w:sz="4" w:space="0"/>
              <w:left w:val="single" w:color="CCD7E8" w:sz="4" w:space="0"/>
              <w:bottom w:val="single" w:color="CCD7E8" w:sz="4" w:space="0"/>
              <w:right w:val="single" w:color="CCD7E8" w:sz="4" w:space="0"/>
            </w:tcBorders>
          </w:tcPr>
          <w:p w14:paraId="4977FD3A">
            <w:pPr>
              <w:jc w:val="center"/>
              <w:rPr>
                <w:rFonts w:hint="eastAsia"/>
              </w:rPr>
            </w:pPr>
            <w:r>
              <w:rPr>
                <w:color w:val="163B82"/>
                <w:sz w:val="22"/>
              </w:rPr>
              <w:t>☑</w:t>
            </w:r>
          </w:p>
        </w:tc>
        <w:tc>
          <w:tcPr>
            <w:tcW w:w="3277" w:type="dxa"/>
            <w:tcBorders>
              <w:top w:val="single" w:color="CCD7E8" w:sz="4" w:space="0"/>
              <w:left w:val="single" w:color="CCD7E8" w:sz="4" w:space="0"/>
              <w:bottom w:val="single" w:color="CCD7E8" w:sz="4" w:space="0"/>
              <w:right w:val="single" w:color="CCD7E8" w:sz="4" w:space="0"/>
            </w:tcBorders>
          </w:tcPr>
          <w:p w14:paraId="1B3A6F0B">
            <w:pPr>
              <w:rPr>
                <w:rFonts w:hint="eastAsia"/>
              </w:rPr>
            </w:pPr>
            <w:r>
              <w:rPr>
                <w:sz w:val="17"/>
              </w:rPr>
              <w:t>Problem definition is specific and does not depend on technology names.</w:t>
            </w:r>
          </w:p>
        </w:tc>
        <w:tc>
          <w:tcPr>
            <w:tcW w:w="3277" w:type="dxa"/>
            <w:tcBorders>
              <w:top w:val="single" w:color="CCD7E8" w:sz="4" w:space="0"/>
              <w:left w:val="single" w:color="CCD7E8" w:sz="4" w:space="0"/>
              <w:bottom w:val="single" w:color="CCD7E8" w:sz="4" w:space="0"/>
              <w:right w:val="single" w:color="CCD7E8" w:sz="4" w:space="0"/>
            </w:tcBorders>
          </w:tcPr>
          <w:p w14:paraId="2BC2ABB9">
            <w:pPr>
              <w:rPr>
                <w:rFonts w:hint="eastAsia"/>
              </w:rPr>
            </w:pPr>
            <w:r>
              <w:rPr>
                <w:b/>
                <w:color w:val="F5A000"/>
                <w:sz w:val="16"/>
              </w:rPr>
              <w:t>§3.19, pp. 273–274</w:t>
            </w:r>
          </w:p>
        </w:tc>
      </w:tr>
      <w:tr w14:paraId="767DE008">
        <w:tblPrEx>
          <w:tblCellMar>
            <w:top w:w="0" w:type="dxa"/>
            <w:left w:w="108" w:type="dxa"/>
            <w:bottom w:w="0" w:type="dxa"/>
            <w:right w:w="108" w:type="dxa"/>
          </w:tblCellMar>
        </w:tblPrEx>
        <w:trPr>
          <w:cantSplit/>
          <w:jc w:val="center"/>
        </w:trPr>
        <w:tc>
          <w:tcPr>
            <w:tcW w:w="3277" w:type="dxa"/>
            <w:tcBorders>
              <w:top w:val="single" w:color="CCD7E8" w:sz="4" w:space="0"/>
              <w:left w:val="single" w:color="CCD7E8" w:sz="4" w:space="0"/>
              <w:bottom w:val="single" w:color="CCD7E8" w:sz="4" w:space="0"/>
              <w:right w:val="single" w:color="CCD7E8" w:sz="4" w:space="0"/>
            </w:tcBorders>
          </w:tcPr>
          <w:p w14:paraId="278A29F9">
            <w:pPr>
              <w:jc w:val="center"/>
              <w:rPr>
                <w:rFonts w:hint="eastAsia"/>
              </w:rPr>
            </w:pPr>
            <w:r>
              <w:rPr>
                <w:color w:val="163B82"/>
                <w:sz w:val="22"/>
              </w:rPr>
              <w:t>☑</w:t>
            </w:r>
          </w:p>
        </w:tc>
        <w:tc>
          <w:tcPr>
            <w:tcW w:w="3277" w:type="dxa"/>
            <w:tcBorders>
              <w:top w:val="single" w:color="CCD7E8" w:sz="4" w:space="0"/>
              <w:left w:val="single" w:color="CCD7E8" w:sz="4" w:space="0"/>
              <w:bottom w:val="single" w:color="CCD7E8" w:sz="4" w:space="0"/>
              <w:right w:val="single" w:color="CCD7E8" w:sz="4" w:space="0"/>
            </w:tcBorders>
          </w:tcPr>
          <w:p w14:paraId="7A78FFEF">
            <w:pPr>
              <w:rPr>
                <w:rFonts w:hint="eastAsia"/>
              </w:rPr>
            </w:pPr>
            <w:r>
              <w:rPr>
                <w:sz w:val="17"/>
              </w:rPr>
              <w:t>One primary user and current workflow are clear.</w:t>
            </w:r>
          </w:p>
        </w:tc>
        <w:tc>
          <w:tcPr>
            <w:tcW w:w="3277" w:type="dxa"/>
            <w:tcBorders>
              <w:top w:val="single" w:color="CCD7E8" w:sz="4" w:space="0"/>
              <w:left w:val="single" w:color="CCD7E8" w:sz="4" w:space="0"/>
              <w:bottom w:val="single" w:color="CCD7E8" w:sz="4" w:space="0"/>
              <w:right w:val="single" w:color="CCD7E8" w:sz="4" w:space="0"/>
            </w:tcBorders>
          </w:tcPr>
          <w:p w14:paraId="0EFF62CC">
            <w:pPr>
              <w:rPr>
                <w:rFonts w:hint="eastAsia"/>
              </w:rPr>
            </w:pPr>
            <w:r>
              <w:rPr>
                <w:b/>
                <w:color w:val="F5A000"/>
                <w:sz w:val="16"/>
              </w:rPr>
              <w:t>§3.19, pp. 273–274</w:t>
            </w:r>
          </w:p>
        </w:tc>
      </w:tr>
      <w:tr w14:paraId="77923E5F">
        <w:tblPrEx>
          <w:tblCellMar>
            <w:top w:w="0" w:type="dxa"/>
            <w:left w:w="108" w:type="dxa"/>
            <w:bottom w:w="0" w:type="dxa"/>
            <w:right w:w="108" w:type="dxa"/>
          </w:tblCellMar>
        </w:tblPrEx>
        <w:trPr>
          <w:cantSplit/>
          <w:jc w:val="center"/>
        </w:trPr>
        <w:tc>
          <w:tcPr>
            <w:tcW w:w="3277" w:type="dxa"/>
            <w:tcBorders>
              <w:top w:val="single" w:color="CCD7E8" w:sz="4" w:space="0"/>
              <w:left w:val="single" w:color="CCD7E8" w:sz="4" w:space="0"/>
              <w:bottom w:val="single" w:color="CCD7E8" w:sz="4" w:space="0"/>
              <w:right w:val="single" w:color="CCD7E8" w:sz="4" w:space="0"/>
            </w:tcBorders>
          </w:tcPr>
          <w:p w14:paraId="56088E63">
            <w:pPr>
              <w:jc w:val="center"/>
              <w:rPr>
                <w:rFonts w:hint="eastAsia"/>
              </w:rPr>
            </w:pPr>
            <w:r>
              <w:rPr>
                <w:color w:val="163B82"/>
                <w:sz w:val="22"/>
              </w:rPr>
              <w:t>☑</w:t>
            </w:r>
          </w:p>
        </w:tc>
        <w:tc>
          <w:tcPr>
            <w:tcW w:w="3277" w:type="dxa"/>
            <w:tcBorders>
              <w:top w:val="single" w:color="CCD7E8" w:sz="4" w:space="0"/>
              <w:left w:val="single" w:color="CCD7E8" w:sz="4" w:space="0"/>
              <w:bottom w:val="single" w:color="CCD7E8" w:sz="4" w:space="0"/>
              <w:right w:val="single" w:color="CCD7E8" w:sz="4" w:space="0"/>
            </w:tcBorders>
          </w:tcPr>
          <w:p w14:paraId="214B52FE">
            <w:pPr>
              <w:rPr>
                <w:rFonts w:hint="eastAsia"/>
              </w:rPr>
            </w:pPr>
            <w:r>
              <w:rPr>
                <w:sz w:val="17"/>
              </w:rPr>
              <w:t>At least one baseline is recorded or explicitly marked “not yet measured.”</w:t>
            </w:r>
          </w:p>
        </w:tc>
        <w:tc>
          <w:tcPr>
            <w:tcW w:w="3277" w:type="dxa"/>
            <w:tcBorders>
              <w:top w:val="single" w:color="CCD7E8" w:sz="4" w:space="0"/>
              <w:left w:val="single" w:color="CCD7E8" w:sz="4" w:space="0"/>
              <w:bottom w:val="single" w:color="CCD7E8" w:sz="4" w:space="0"/>
              <w:right w:val="single" w:color="CCD7E8" w:sz="4" w:space="0"/>
            </w:tcBorders>
          </w:tcPr>
          <w:p w14:paraId="61BBAABF">
            <w:pPr>
              <w:rPr>
                <w:rFonts w:hint="eastAsia"/>
              </w:rPr>
            </w:pPr>
            <w:r>
              <w:rPr>
                <w:b/>
                <w:color w:val="F5A000"/>
                <w:sz w:val="16"/>
              </w:rPr>
              <w:t>§3.19, pp. 273–274</w:t>
            </w:r>
          </w:p>
        </w:tc>
      </w:tr>
      <w:tr w14:paraId="1F2E548D">
        <w:tblPrEx>
          <w:tblCellMar>
            <w:top w:w="0" w:type="dxa"/>
            <w:left w:w="108" w:type="dxa"/>
            <w:bottom w:w="0" w:type="dxa"/>
            <w:right w:w="108" w:type="dxa"/>
          </w:tblCellMar>
        </w:tblPrEx>
        <w:trPr>
          <w:cantSplit/>
          <w:jc w:val="center"/>
        </w:trPr>
        <w:tc>
          <w:tcPr>
            <w:tcW w:w="3277" w:type="dxa"/>
            <w:tcBorders>
              <w:top w:val="single" w:color="CCD7E8" w:sz="4" w:space="0"/>
              <w:left w:val="single" w:color="CCD7E8" w:sz="4" w:space="0"/>
              <w:bottom w:val="single" w:color="CCD7E8" w:sz="4" w:space="0"/>
              <w:right w:val="single" w:color="CCD7E8" w:sz="4" w:space="0"/>
            </w:tcBorders>
          </w:tcPr>
          <w:p w14:paraId="406FAC50">
            <w:pPr>
              <w:jc w:val="center"/>
              <w:rPr>
                <w:rFonts w:hint="eastAsia"/>
              </w:rPr>
            </w:pPr>
            <w:r>
              <w:rPr>
                <w:color w:val="163B82"/>
                <w:sz w:val="22"/>
              </w:rPr>
              <w:t>☑</w:t>
            </w:r>
          </w:p>
        </w:tc>
        <w:tc>
          <w:tcPr>
            <w:tcW w:w="3277" w:type="dxa"/>
            <w:tcBorders>
              <w:top w:val="single" w:color="CCD7E8" w:sz="4" w:space="0"/>
              <w:left w:val="single" w:color="CCD7E8" w:sz="4" w:space="0"/>
              <w:bottom w:val="single" w:color="CCD7E8" w:sz="4" w:space="0"/>
              <w:right w:val="single" w:color="CCD7E8" w:sz="4" w:space="0"/>
            </w:tcBorders>
          </w:tcPr>
          <w:p w14:paraId="17323ED3">
            <w:pPr>
              <w:rPr>
                <w:rFonts w:hint="eastAsia"/>
              </w:rPr>
            </w:pPr>
            <w:r>
              <w:rPr>
                <w:sz w:val="17"/>
              </w:rPr>
              <w:t>AI suitability and capability class are justified.</w:t>
            </w:r>
          </w:p>
        </w:tc>
        <w:tc>
          <w:tcPr>
            <w:tcW w:w="3277" w:type="dxa"/>
            <w:tcBorders>
              <w:top w:val="single" w:color="CCD7E8" w:sz="4" w:space="0"/>
              <w:left w:val="single" w:color="CCD7E8" w:sz="4" w:space="0"/>
              <w:bottom w:val="single" w:color="CCD7E8" w:sz="4" w:space="0"/>
              <w:right w:val="single" w:color="CCD7E8" w:sz="4" w:space="0"/>
            </w:tcBorders>
          </w:tcPr>
          <w:p w14:paraId="7DA0DC3F">
            <w:pPr>
              <w:rPr>
                <w:rFonts w:hint="eastAsia"/>
              </w:rPr>
            </w:pPr>
            <w:r>
              <w:rPr>
                <w:b/>
                <w:color w:val="F5A000"/>
                <w:sz w:val="16"/>
              </w:rPr>
              <w:t>§3.8–3.9, pp. 225–230</w:t>
            </w:r>
          </w:p>
        </w:tc>
      </w:tr>
      <w:tr w14:paraId="22AEF79D">
        <w:tblPrEx>
          <w:tblCellMar>
            <w:top w:w="0" w:type="dxa"/>
            <w:left w:w="108" w:type="dxa"/>
            <w:bottom w:w="0" w:type="dxa"/>
            <w:right w:w="108" w:type="dxa"/>
          </w:tblCellMar>
        </w:tblPrEx>
        <w:trPr>
          <w:cantSplit/>
          <w:jc w:val="center"/>
        </w:trPr>
        <w:tc>
          <w:tcPr>
            <w:tcW w:w="3277" w:type="dxa"/>
            <w:tcBorders>
              <w:top w:val="single" w:color="CCD7E8" w:sz="4" w:space="0"/>
              <w:left w:val="single" w:color="CCD7E8" w:sz="4" w:space="0"/>
              <w:bottom w:val="single" w:color="CCD7E8" w:sz="4" w:space="0"/>
              <w:right w:val="single" w:color="CCD7E8" w:sz="4" w:space="0"/>
            </w:tcBorders>
          </w:tcPr>
          <w:p w14:paraId="4F6E5BD8">
            <w:pPr>
              <w:jc w:val="center"/>
              <w:rPr>
                <w:rFonts w:hint="eastAsia"/>
              </w:rPr>
            </w:pPr>
            <w:r>
              <w:rPr>
                <w:color w:val="163B82"/>
                <w:sz w:val="22"/>
              </w:rPr>
              <w:t>☑</w:t>
            </w:r>
          </w:p>
        </w:tc>
        <w:tc>
          <w:tcPr>
            <w:tcW w:w="3277" w:type="dxa"/>
            <w:tcBorders>
              <w:top w:val="single" w:color="CCD7E8" w:sz="4" w:space="0"/>
              <w:left w:val="single" w:color="CCD7E8" w:sz="4" w:space="0"/>
              <w:bottom w:val="single" w:color="CCD7E8" w:sz="4" w:space="0"/>
              <w:right w:val="single" w:color="CCD7E8" w:sz="4" w:space="0"/>
            </w:tcBorders>
          </w:tcPr>
          <w:p w14:paraId="57C65744">
            <w:pPr>
              <w:rPr>
                <w:rFonts w:hint="eastAsia"/>
              </w:rPr>
            </w:pPr>
            <w:r>
              <w:rPr>
                <w:sz w:val="17"/>
              </w:rPr>
              <w:t>MVP is one useful end-to-end behavior with explicit non-goals.</w:t>
            </w:r>
          </w:p>
        </w:tc>
        <w:tc>
          <w:tcPr>
            <w:tcW w:w="3277" w:type="dxa"/>
            <w:tcBorders>
              <w:top w:val="single" w:color="CCD7E8" w:sz="4" w:space="0"/>
              <w:left w:val="single" w:color="CCD7E8" w:sz="4" w:space="0"/>
              <w:bottom w:val="single" w:color="CCD7E8" w:sz="4" w:space="0"/>
              <w:right w:val="single" w:color="CCD7E8" w:sz="4" w:space="0"/>
            </w:tcBorders>
          </w:tcPr>
          <w:p w14:paraId="6F0EB7D2">
            <w:pPr>
              <w:rPr>
                <w:rFonts w:hint="eastAsia"/>
              </w:rPr>
            </w:pPr>
            <w:r>
              <w:rPr>
                <w:b/>
                <w:color w:val="F5A000"/>
                <w:sz w:val="16"/>
              </w:rPr>
              <w:t>§3.10–3.12, pp. 230–239</w:t>
            </w:r>
          </w:p>
        </w:tc>
      </w:tr>
      <w:tr w14:paraId="4707B044">
        <w:tblPrEx>
          <w:tblCellMar>
            <w:top w:w="0" w:type="dxa"/>
            <w:left w:w="108" w:type="dxa"/>
            <w:bottom w:w="0" w:type="dxa"/>
            <w:right w:w="108" w:type="dxa"/>
          </w:tblCellMar>
        </w:tblPrEx>
        <w:trPr>
          <w:cantSplit/>
          <w:jc w:val="center"/>
        </w:trPr>
        <w:tc>
          <w:tcPr>
            <w:tcW w:w="3277" w:type="dxa"/>
            <w:tcBorders>
              <w:top w:val="single" w:color="CCD7E8" w:sz="4" w:space="0"/>
              <w:left w:val="single" w:color="CCD7E8" w:sz="4" w:space="0"/>
              <w:bottom w:val="single" w:color="CCD7E8" w:sz="4" w:space="0"/>
              <w:right w:val="single" w:color="CCD7E8" w:sz="4" w:space="0"/>
            </w:tcBorders>
          </w:tcPr>
          <w:p w14:paraId="2D5E137C">
            <w:pPr>
              <w:jc w:val="center"/>
              <w:rPr>
                <w:rFonts w:hint="eastAsia"/>
              </w:rPr>
            </w:pPr>
            <w:r>
              <w:rPr>
                <w:color w:val="163B82"/>
                <w:sz w:val="22"/>
              </w:rPr>
              <w:t>☑</w:t>
            </w:r>
          </w:p>
        </w:tc>
        <w:tc>
          <w:tcPr>
            <w:tcW w:w="3277" w:type="dxa"/>
            <w:tcBorders>
              <w:top w:val="single" w:color="CCD7E8" w:sz="4" w:space="0"/>
              <w:left w:val="single" w:color="CCD7E8" w:sz="4" w:space="0"/>
              <w:bottom w:val="single" w:color="CCD7E8" w:sz="4" w:space="0"/>
              <w:right w:val="single" w:color="CCD7E8" w:sz="4" w:space="0"/>
            </w:tcBorders>
          </w:tcPr>
          <w:p w14:paraId="0D1E4089">
            <w:pPr>
              <w:rPr>
                <w:rFonts w:hint="eastAsia"/>
              </w:rPr>
            </w:pPr>
            <w:r>
              <w:rPr>
                <w:sz w:val="17"/>
              </w:rPr>
              <w:t>User/business, AI-quality, and operational metrics are included.</w:t>
            </w:r>
          </w:p>
        </w:tc>
        <w:tc>
          <w:tcPr>
            <w:tcW w:w="3277" w:type="dxa"/>
            <w:tcBorders>
              <w:top w:val="single" w:color="CCD7E8" w:sz="4" w:space="0"/>
              <w:left w:val="single" w:color="CCD7E8" w:sz="4" w:space="0"/>
              <w:bottom w:val="single" w:color="CCD7E8" w:sz="4" w:space="0"/>
              <w:right w:val="single" w:color="CCD7E8" w:sz="4" w:space="0"/>
            </w:tcBorders>
          </w:tcPr>
          <w:p w14:paraId="5C9E7BFE">
            <w:pPr>
              <w:rPr>
                <w:rFonts w:hint="eastAsia"/>
              </w:rPr>
            </w:pPr>
            <w:r>
              <w:rPr>
                <w:b/>
                <w:color w:val="F5A000"/>
                <w:sz w:val="16"/>
              </w:rPr>
              <w:t>§3.11, pp. 233–237</w:t>
            </w:r>
          </w:p>
        </w:tc>
      </w:tr>
      <w:tr w14:paraId="1666EF65">
        <w:tblPrEx>
          <w:tblCellMar>
            <w:top w:w="0" w:type="dxa"/>
            <w:left w:w="108" w:type="dxa"/>
            <w:bottom w:w="0" w:type="dxa"/>
            <w:right w:w="108" w:type="dxa"/>
          </w:tblCellMar>
        </w:tblPrEx>
        <w:trPr>
          <w:cantSplit/>
          <w:jc w:val="center"/>
        </w:trPr>
        <w:tc>
          <w:tcPr>
            <w:tcW w:w="3277" w:type="dxa"/>
            <w:tcBorders>
              <w:top w:val="single" w:color="CCD7E8" w:sz="4" w:space="0"/>
              <w:left w:val="single" w:color="CCD7E8" w:sz="4" w:space="0"/>
              <w:bottom w:val="single" w:color="CCD7E8" w:sz="4" w:space="0"/>
              <w:right w:val="single" w:color="CCD7E8" w:sz="4" w:space="0"/>
            </w:tcBorders>
          </w:tcPr>
          <w:p w14:paraId="0D01F740">
            <w:pPr>
              <w:jc w:val="center"/>
              <w:rPr>
                <w:rFonts w:hint="eastAsia"/>
              </w:rPr>
            </w:pPr>
            <w:r>
              <w:rPr>
                <w:color w:val="163B82"/>
                <w:sz w:val="22"/>
              </w:rPr>
              <w:t>☑</w:t>
            </w:r>
          </w:p>
        </w:tc>
        <w:tc>
          <w:tcPr>
            <w:tcW w:w="3277" w:type="dxa"/>
            <w:tcBorders>
              <w:top w:val="single" w:color="CCD7E8" w:sz="4" w:space="0"/>
              <w:left w:val="single" w:color="CCD7E8" w:sz="4" w:space="0"/>
              <w:bottom w:val="single" w:color="CCD7E8" w:sz="4" w:space="0"/>
              <w:right w:val="single" w:color="CCD7E8" w:sz="4" w:space="0"/>
            </w:tcBorders>
          </w:tcPr>
          <w:p w14:paraId="1F76FDDC">
            <w:pPr>
              <w:rPr>
                <w:rFonts w:hint="eastAsia"/>
              </w:rPr>
            </w:pPr>
            <w:r>
              <w:rPr>
                <w:sz w:val="17"/>
              </w:rPr>
              <w:t>Week 1 artifact is ready: docs/week01_problem_framing.md</w:t>
            </w:r>
          </w:p>
        </w:tc>
        <w:tc>
          <w:tcPr>
            <w:tcW w:w="3277" w:type="dxa"/>
            <w:tcBorders>
              <w:top w:val="single" w:color="CCD7E8" w:sz="4" w:space="0"/>
              <w:left w:val="single" w:color="CCD7E8" w:sz="4" w:space="0"/>
              <w:bottom w:val="single" w:color="CCD7E8" w:sz="4" w:space="0"/>
              <w:right w:val="single" w:color="CCD7E8" w:sz="4" w:space="0"/>
            </w:tcBorders>
          </w:tcPr>
          <w:p w14:paraId="32F5AFD3">
            <w:pPr>
              <w:rPr>
                <w:rFonts w:hint="eastAsia"/>
              </w:rPr>
            </w:pPr>
            <w:r>
              <w:rPr>
                <w:b/>
                <w:color w:val="F5A000"/>
                <w:sz w:val="16"/>
              </w:rPr>
              <w:t>§3.22, p. 281</w:t>
            </w:r>
          </w:p>
        </w:tc>
      </w:tr>
      <w:tr w14:paraId="2938E732">
        <w:tblPrEx>
          <w:tblCellMar>
            <w:top w:w="0" w:type="dxa"/>
            <w:left w:w="108" w:type="dxa"/>
            <w:bottom w:w="0" w:type="dxa"/>
            <w:right w:w="108" w:type="dxa"/>
          </w:tblCellMar>
        </w:tblPrEx>
        <w:trPr>
          <w:cantSplit/>
          <w:jc w:val="center"/>
        </w:trPr>
        <w:tc>
          <w:tcPr>
            <w:tcW w:w="3277" w:type="dxa"/>
            <w:tcBorders>
              <w:top w:val="single" w:color="CCD7E8" w:sz="4" w:space="0"/>
              <w:left w:val="single" w:color="CCD7E8" w:sz="4" w:space="0"/>
              <w:bottom w:val="single" w:color="CCD7E8" w:sz="4" w:space="0"/>
              <w:right w:val="single" w:color="CCD7E8" w:sz="4" w:space="0"/>
            </w:tcBorders>
          </w:tcPr>
          <w:p w14:paraId="05FAC2F2">
            <w:pPr>
              <w:jc w:val="center"/>
              <w:rPr>
                <w:rFonts w:hint="eastAsia"/>
              </w:rPr>
            </w:pPr>
            <w:r>
              <w:rPr>
                <w:color w:val="163B82"/>
                <w:sz w:val="22"/>
              </w:rPr>
              <w:t>☐</w:t>
            </w:r>
          </w:p>
        </w:tc>
        <w:tc>
          <w:tcPr>
            <w:tcW w:w="3277" w:type="dxa"/>
            <w:tcBorders>
              <w:top w:val="single" w:color="CCD7E8" w:sz="4" w:space="0"/>
              <w:left w:val="single" w:color="CCD7E8" w:sz="4" w:space="0"/>
              <w:bottom w:val="single" w:color="CCD7E8" w:sz="4" w:space="0"/>
              <w:right w:val="single" w:color="CCD7E8" w:sz="4" w:space="0"/>
            </w:tcBorders>
          </w:tcPr>
          <w:p w14:paraId="00157BCF">
            <w:pPr>
              <w:rPr>
                <w:rFonts w:hint="eastAsia"/>
              </w:rPr>
            </w:pPr>
            <w:r>
              <w:rPr>
                <w:sz w:val="17"/>
              </w:rPr>
              <w:t>You can explain the chain: Pain → User → Workflow → Baseline → AI Opportunity → MVP → Measure → Value.</w:t>
            </w:r>
          </w:p>
        </w:tc>
        <w:tc>
          <w:tcPr>
            <w:tcW w:w="3277" w:type="dxa"/>
            <w:tcBorders>
              <w:top w:val="single" w:color="CCD7E8" w:sz="4" w:space="0"/>
              <w:left w:val="single" w:color="CCD7E8" w:sz="4" w:space="0"/>
              <w:bottom w:val="single" w:color="CCD7E8" w:sz="4" w:space="0"/>
              <w:right w:val="single" w:color="CCD7E8" w:sz="4" w:space="0"/>
            </w:tcBorders>
          </w:tcPr>
          <w:p w14:paraId="533B6906">
            <w:pPr>
              <w:rPr>
                <w:rFonts w:hint="eastAsia"/>
              </w:rPr>
            </w:pPr>
            <w:r>
              <w:rPr>
                <w:b/>
                <w:color w:val="F5A000"/>
                <w:sz w:val="16"/>
              </w:rPr>
              <w:t>§3.24, pp. 284–286</w:t>
            </w:r>
          </w:p>
        </w:tc>
      </w:tr>
    </w:tbl>
    <w:p w14:paraId="070A2C61">
      <w:pPr>
        <w:spacing w:before="160" w:after="100"/>
        <w:rPr>
          <w:rFonts w:hint="eastAsia"/>
        </w:rPr>
      </w:pPr>
      <w:r>
        <w:rPr>
          <w:b/>
          <w:color w:val="163B82"/>
          <w:sz w:val="30"/>
        </w:rPr>
        <w:t>Marking Summary</w:t>
      </w:r>
    </w:p>
    <w:tbl>
      <w:tblPr>
        <w:tblStyle w:val="12"/>
        <w:tblW w:w="0" w:type="auto"/>
        <w:jc w:val="center"/>
        <w:tblLayout w:type="fixed"/>
        <w:tblCellMar>
          <w:top w:w="0" w:type="dxa"/>
          <w:left w:w="108" w:type="dxa"/>
          <w:bottom w:w="0" w:type="dxa"/>
          <w:right w:w="108" w:type="dxa"/>
        </w:tblCellMar>
      </w:tblPr>
      <w:tblGrid>
        <w:gridCol w:w="3277"/>
        <w:gridCol w:w="3277"/>
        <w:gridCol w:w="3277"/>
      </w:tblGrid>
      <w:tr w14:paraId="278C5814">
        <w:tblPrEx>
          <w:tblCellMar>
            <w:top w:w="0" w:type="dxa"/>
            <w:left w:w="108" w:type="dxa"/>
            <w:bottom w:w="0" w:type="dxa"/>
            <w:right w:w="108" w:type="dxa"/>
          </w:tblCellMar>
        </w:tblPrEx>
        <w:trPr>
          <w:cantSplit/>
          <w:jc w:val="center"/>
        </w:trPr>
        <w:tc>
          <w:tcPr>
            <w:tcW w:w="3277" w:type="dxa"/>
            <w:shd w:val="clear" w:color="auto" w:fill="163B82"/>
          </w:tcPr>
          <w:p w14:paraId="2C553618">
            <w:pPr>
              <w:rPr>
                <w:rFonts w:hint="eastAsia"/>
              </w:rPr>
            </w:pPr>
            <w:r>
              <w:rPr>
                <w:b/>
                <w:color w:val="FFFFFF"/>
                <w:sz w:val="18"/>
              </w:rPr>
              <w:t>Section</w:t>
            </w:r>
          </w:p>
        </w:tc>
        <w:tc>
          <w:tcPr>
            <w:tcW w:w="3277" w:type="dxa"/>
            <w:shd w:val="clear" w:color="auto" w:fill="163B82"/>
          </w:tcPr>
          <w:p w14:paraId="5C08FAAD">
            <w:pPr>
              <w:rPr>
                <w:rFonts w:hint="eastAsia"/>
              </w:rPr>
            </w:pPr>
            <w:r>
              <w:rPr>
                <w:b/>
                <w:color w:val="FFFFFF"/>
                <w:sz w:val="18"/>
              </w:rPr>
              <w:t>Focus</w:t>
            </w:r>
          </w:p>
        </w:tc>
        <w:tc>
          <w:tcPr>
            <w:tcW w:w="3277" w:type="dxa"/>
            <w:shd w:val="clear" w:color="auto" w:fill="163B82"/>
          </w:tcPr>
          <w:p w14:paraId="5F85B562">
            <w:pPr>
              <w:rPr>
                <w:rFonts w:hint="eastAsia"/>
              </w:rPr>
            </w:pPr>
            <w:r>
              <w:rPr>
                <w:b/>
                <w:color w:val="FFFFFF"/>
                <w:sz w:val="18"/>
              </w:rPr>
              <w:t>Marks</w:t>
            </w:r>
          </w:p>
        </w:tc>
      </w:tr>
      <w:tr w14:paraId="30C9A91C">
        <w:tblPrEx>
          <w:tblCellMar>
            <w:top w:w="0" w:type="dxa"/>
            <w:left w:w="108" w:type="dxa"/>
            <w:bottom w:w="0" w:type="dxa"/>
            <w:right w:w="108" w:type="dxa"/>
          </w:tblCellMar>
        </w:tblPrEx>
        <w:trPr>
          <w:cantSplit/>
          <w:jc w:val="center"/>
        </w:trPr>
        <w:tc>
          <w:tcPr>
            <w:tcW w:w="3277" w:type="dxa"/>
            <w:tcBorders>
              <w:top w:val="single" w:color="CCD7E8" w:sz="4" w:space="0"/>
              <w:left w:val="single" w:color="CCD7E8" w:sz="4" w:space="0"/>
              <w:bottom w:val="single" w:color="CCD7E8" w:sz="4" w:space="0"/>
              <w:right w:val="single" w:color="CCD7E8" w:sz="4" w:space="0"/>
            </w:tcBorders>
          </w:tcPr>
          <w:p w14:paraId="4E1BCB2F">
            <w:pPr>
              <w:rPr>
                <w:rFonts w:hint="eastAsia"/>
              </w:rPr>
            </w:pPr>
            <w:r>
              <w:rPr>
                <w:b/>
                <w:color w:val="163B82"/>
                <w:sz w:val="18"/>
              </w:rPr>
              <w:t>A</w:t>
            </w:r>
          </w:p>
        </w:tc>
        <w:tc>
          <w:tcPr>
            <w:tcW w:w="3277" w:type="dxa"/>
            <w:tcBorders>
              <w:top w:val="single" w:color="CCD7E8" w:sz="4" w:space="0"/>
              <w:left w:val="single" w:color="CCD7E8" w:sz="4" w:space="0"/>
              <w:bottom w:val="single" w:color="CCD7E8" w:sz="4" w:space="0"/>
              <w:right w:val="single" w:color="CCD7E8" w:sz="4" w:space="0"/>
            </w:tcBorders>
          </w:tcPr>
          <w:p w14:paraId="1B4EB4B3">
            <w:pPr>
              <w:rPr>
                <w:rFonts w:hint="eastAsia"/>
              </w:rPr>
            </w:pPr>
            <w:r>
              <w:rPr>
                <w:color w:val="1F1F1F"/>
                <w:sz w:val="18"/>
              </w:rPr>
              <w:t>Problem Framing Foundations</w:t>
            </w:r>
          </w:p>
        </w:tc>
        <w:tc>
          <w:tcPr>
            <w:tcW w:w="3277" w:type="dxa"/>
            <w:tcBorders>
              <w:top w:val="single" w:color="CCD7E8" w:sz="4" w:space="0"/>
              <w:left w:val="single" w:color="CCD7E8" w:sz="4" w:space="0"/>
              <w:bottom w:val="single" w:color="CCD7E8" w:sz="4" w:space="0"/>
              <w:right w:val="single" w:color="CCD7E8" w:sz="4" w:space="0"/>
            </w:tcBorders>
          </w:tcPr>
          <w:p w14:paraId="3576FCB6">
            <w:pPr>
              <w:jc w:val="center"/>
              <w:rPr>
                <w:rFonts w:hint="eastAsia"/>
              </w:rPr>
            </w:pPr>
            <w:r>
              <w:rPr>
                <w:color w:val="1F1F1F"/>
                <w:sz w:val="18"/>
              </w:rPr>
              <w:t>20</w:t>
            </w:r>
          </w:p>
        </w:tc>
      </w:tr>
      <w:tr w14:paraId="0E694CB3">
        <w:tblPrEx>
          <w:tblCellMar>
            <w:top w:w="0" w:type="dxa"/>
            <w:left w:w="108" w:type="dxa"/>
            <w:bottom w:w="0" w:type="dxa"/>
            <w:right w:w="108" w:type="dxa"/>
          </w:tblCellMar>
        </w:tblPrEx>
        <w:trPr>
          <w:cantSplit/>
          <w:jc w:val="center"/>
        </w:trPr>
        <w:tc>
          <w:tcPr>
            <w:tcW w:w="3277" w:type="dxa"/>
            <w:tcBorders>
              <w:top w:val="single" w:color="CCD7E8" w:sz="4" w:space="0"/>
              <w:left w:val="single" w:color="CCD7E8" w:sz="4" w:space="0"/>
              <w:bottom w:val="single" w:color="CCD7E8" w:sz="4" w:space="0"/>
              <w:right w:val="single" w:color="CCD7E8" w:sz="4" w:space="0"/>
            </w:tcBorders>
          </w:tcPr>
          <w:p w14:paraId="43696C97">
            <w:pPr>
              <w:rPr>
                <w:rFonts w:hint="eastAsia"/>
              </w:rPr>
            </w:pPr>
            <w:r>
              <w:rPr>
                <w:b/>
                <w:color w:val="163B82"/>
                <w:sz w:val="18"/>
              </w:rPr>
              <w:t>B</w:t>
            </w:r>
          </w:p>
        </w:tc>
        <w:tc>
          <w:tcPr>
            <w:tcW w:w="3277" w:type="dxa"/>
            <w:tcBorders>
              <w:top w:val="single" w:color="CCD7E8" w:sz="4" w:space="0"/>
              <w:left w:val="single" w:color="CCD7E8" w:sz="4" w:space="0"/>
              <w:bottom w:val="single" w:color="CCD7E8" w:sz="4" w:space="0"/>
              <w:right w:val="single" w:color="CCD7E8" w:sz="4" w:space="0"/>
            </w:tcBorders>
          </w:tcPr>
          <w:p w14:paraId="3E77B964">
            <w:pPr>
              <w:rPr>
                <w:rFonts w:hint="eastAsia"/>
              </w:rPr>
            </w:pPr>
            <w:r>
              <w:rPr>
                <w:color w:val="1F1F1F"/>
                <w:sz w:val="18"/>
              </w:rPr>
              <w:t>AI Opportunity, Suitability and Capability</w:t>
            </w:r>
          </w:p>
        </w:tc>
        <w:tc>
          <w:tcPr>
            <w:tcW w:w="3277" w:type="dxa"/>
            <w:tcBorders>
              <w:top w:val="single" w:color="CCD7E8" w:sz="4" w:space="0"/>
              <w:left w:val="single" w:color="CCD7E8" w:sz="4" w:space="0"/>
              <w:bottom w:val="single" w:color="CCD7E8" w:sz="4" w:space="0"/>
              <w:right w:val="single" w:color="CCD7E8" w:sz="4" w:space="0"/>
            </w:tcBorders>
          </w:tcPr>
          <w:p w14:paraId="121017AF">
            <w:pPr>
              <w:jc w:val="center"/>
              <w:rPr>
                <w:rFonts w:hint="eastAsia"/>
              </w:rPr>
            </w:pPr>
            <w:r>
              <w:rPr>
                <w:color w:val="1F1F1F"/>
                <w:sz w:val="18"/>
              </w:rPr>
              <w:t>20</w:t>
            </w:r>
          </w:p>
        </w:tc>
      </w:tr>
      <w:tr w14:paraId="1B5C6510">
        <w:tblPrEx>
          <w:tblCellMar>
            <w:top w:w="0" w:type="dxa"/>
            <w:left w:w="108" w:type="dxa"/>
            <w:bottom w:w="0" w:type="dxa"/>
            <w:right w:w="108" w:type="dxa"/>
          </w:tblCellMar>
        </w:tblPrEx>
        <w:trPr>
          <w:cantSplit/>
          <w:jc w:val="center"/>
        </w:trPr>
        <w:tc>
          <w:tcPr>
            <w:tcW w:w="3277" w:type="dxa"/>
            <w:tcBorders>
              <w:top w:val="single" w:color="CCD7E8" w:sz="4" w:space="0"/>
              <w:left w:val="single" w:color="CCD7E8" w:sz="4" w:space="0"/>
              <w:bottom w:val="single" w:color="CCD7E8" w:sz="4" w:space="0"/>
              <w:right w:val="single" w:color="CCD7E8" w:sz="4" w:space="0"/>
            </w:tcBorders>
          </w:tcPr>
          <w:p w14:paraId="78B02460">
            <w:pPr>
              <w:rPr>
                <w:rFonts w:hint="eastAsia"/>
              </w:rPr>
            </w:pPr>
            <w:r>
              <w:rPr>
                <w:b/>
                <w:color w:val="163B82"/>
                <w:sz w:val="18"/>
              </w:rPr>
              <w:t>C</w:t>
            </w:r>
          </w:p>
        </w:tc>
        <w:tc>
          <w:tcPr>
            <w:tcW w:w="3277" w:type="dxa"/>
            <w:tcBorders>
              <w:top w:val="single" w:color="CCD7E8" w:sz="4" w:space="0"/>
              <w:left w:val="single" w:color="CCD7E8" w:sz="4" w:space="0"/>
              <w:bottom w:val="single" w:color="CCD7E8" w:sz="4" w:space="0"/>
              <w:right w:val="single" w:color="CCD7E8" w:sz="4" w:space="0"/>
            </w:tcBorders>
          </w:tcPr>
          <w:p w14:paraId="18705D4E">
            <w:pPr>
              <w:rPr>
                <w:rFonts w:hint="eastAsia"/>
              </w:rPr>
            </w:pPr>
            <w:r>
              <w:rPr>
                <w:color w:val="1F1F1F"/>
                <w:sz w:val="18"/>
              </w:rPr>
              <w:t>MVP, Measurement, Acceptance and Risk</w:t>
            </w:r>
          </w:p>
        </w:tc>
        <w:tc>
          <w:tcPr>
            <w:tcW w:w="3277" w:type="dxa"/>
            <w:tcBorders>
              <w:top w:val="single" w:color="CCD7E8" w:sz="4" w:space="0"/>
              <w:left w:val="single" w:color="CCD7E8" w:sz="4" w:space="0"/>
              <w:bottom w:val="single" w:color="CCD7E8" w:sz="4" w:space="0"/>
              <w:right w:val="single" w:color="CCD7E8" w:sz="4" w:space="0"/>
            </w:tcBorders>
          </w:tcPr>
          <w:p w14:paraId="29B83881">
            <w:pPr>
              <w:jc w:val="center"/>
              <w:rPr>
                <w:rFonts w:hint="eastAsia"/>
              </w:rPr>
            </w:pPr>
            <w:r>
              <w:rPr>
                <w:color w:val="1F1F1F"/>
                <w:sz w:val="18"/>
              </w:rPr>
              <w:t>20</w:t>
            </w:r>
          </w:p>
        </w:tc>
      </w:tr>
      <w:tr w14:paraId="2176F6F9">
        <w:tblPrEx>
          <w:tblCellMar>
            <w:top w:w="0" w:type="dxa"/>
            <w:left w:w="108" w:type="dxa"/>
            <w:bottom w:w="0" w:type="dxa"/>
            <w:right w:w="108" w:type="dxa"/>
          </w:tblCellMar>
        </w:tblPrEx>
        <w:trPr>
          <w:cantSplit/>
          <w:jc w:val="center"/>
        </w:trPr>
        <w:tc>
          <w:tcPr>
            <w:tcW w:w="3277" w:type="dxa"/>
            <w:tcBorders>
              <w:top w:val="single" w:color="CCD7E8" w:sz="4" w:space="0"/>
              <w:left w:val="single" w:color="CCD7E8" w:sz="4" w:space="0"/>
              <w:bottom w:val="single" w:color="CCD7E8" w:sz="4" w:space="0"/>
              <w:right w:val="single" w:color="CCD7E8" w:sz="4" w:space="0"/>
            </w:tcBorders>
          </w:tcPr>
          <w:p w14:paraId="429DD321">
            <w:pPr>
              <w:rPr>
                <w:rFonts w:hint="eastAsia"/>
              </w:rPr>
            </w:pPr>
            <w:r>
              <w:rPr>
                <w:b/>
                <w:color w:val="163B82"/>
                <w:sz w:val="18"/>
              </w:rPr>
              <w:t>D</w:t>
            </w:r>
          </w:p>
        </w:tc>
        <w:tc>
          <w:tcPr>
            <w:tcW w:w="3277" w:type="dxa"/>
            <w:tcBorders>
              <w:top w:val="single" w:color="CCD7E8" w:sz="4" w:space="0"/>
              <w:left w:val="single" w:color="CCD7E8" w:sz="4" w:space="0"/>
              <w:bottom w:val="single" w:color="CCD7E8" w:sz="4" w:space="0"/>
              <w:right w:val="single" w:color="CCD7E8" w:sz="4" w:space="0"/>
            </w:tcBorders>
          </w:tcPr>
          <w:p w14:paraId="3BB97B4B">
            <w:pPr>
              <w:rPr>
                <w:rFonts w:hint="eastAsia"/>
              </w:rPr>
            </w:pPr>
            <w:r>
              <w:rPr>
                <w:color w:val="1F1F1F"/>
                <w:sz w:val="18"/>
              </w:rPr>
              <w:t>QuanSkill Solution Track Canvas</w:t>
            </w:r>
          </w:p>
        </w:tc>
        <w:tc>
          <w:tcPr>
            <w:tcW w:w="3277" w:type="dxa"/>
            <w:tcBorders>
              <w:top w:val="single" w:color="CCD7E8" w:sz="4" w:space="0"/>
              <w:left w:val="single" w:color="CCD7E8" w:sz="4" w:space="0"/>
              <w:bottom w:val="single" w:color="CCD7E8" w:sz="4" w:space="0"/>
              <w:right w:val="single" w:color="CCD7E8" w:sz="4" w:space="0"/>
            </w:tcBorders>
          </w:tcPr>
          <w:p w14:paraId="55BBD213">
            <w:pPr>
              <w:jc w:val="center"/>
              <w:rPr>
                <w:rFonts w:hint="eastAsia"/>
              </w:rPr>
            </w:pPr>
            <w:r>
              <w:rPr>
                <w:color w:val="1F1F1F"/>
                <w:sz w:val="18"/>
              </w:rPr>
              <w:t>20</w:t>
            </w:r>
          </w:p>
        </w:tc>
      </w:tr>
      <w:tr w14:paraId="1A885068">
        <w:tblPrEx>
          <w:tblCellMar>
            <w:top w:w="0" w:type="dxa"/>
            <w:left w:w="108" w:type="dxa"/>
            <w:bottom w:w="0" w:type="dxa"/>
            <w:right w:w="108" w:type="dxa"/>
          </w:tblCellMar>
        </w:tblPrEx>
        <w:trPr>
          <w:cantSplit/>
          <w:jc w:val="center"/>
        </w:trPr>
        <w:tc>
          <w:tcPr>
            <w:tcW w:w="3277" w:type="dxa"/>
            <w:tcBorders>
              <w:top w:val="single" w:color="CCD7E8" w:sz="4" w:space="0"/>
              <w:left w:val="single" w:color="CCD7E8" w:sz="4" w:space="0"/>
              <w:bottom w:val="single" w:color="CCD7E8" w:sz="4" w:space="0"/>
              <w:right w:val="single" w:color="CCD7E8" w:sz="4" w:space="0"/>
            </w:tcBorders>
          </w:tcPr>
          <w:p w14:paraId="6BED80A7">
            <w:pPr>
              <w:rPr>
                <w:rFonts w:hint="eastAsia"/>
              </w:rPr>
            </w:pPr>
            <w:r>
              <w:rPr>
                <w:b/>
                <w:color w:val="163B82"/>
                <w:sz w:val="18"/>
              </w:rPr>
              <w:t>E</w:t>
            </w:r>
          </w:p>
        </w:tc>
        <w:tc>
          <w:tcPr>
            <w:tcW w:w="3277" w:type="dxa"/>
            <w:tcBorders>
              <w:top w:val="single" w:color="CCD7E8" w:sz="4" w:space="0"/>
              <w:left w:val="single" w:color="CCD7E8" w:sz="4" w:space="0"/>
              <w:bottom w:val="single" w:color="CCD7E8" w:sz="4" w:space="0"/>
              <w:right w:val="single" w:color="CCD7E8" w:sz="4" w:space="0"/>
            </w:tcBorders>
          </w:tcPr>
          <w:p w14:paraId="116D6A7A">
            <w:pPr>
              <w:rPr>
                <w:rFonts w:hint="eastAsia"/>
              </w:rPr>
            </w:pPr>
            <w:r>
              <w:rPr>
                <w:color w:val="1F1F1F"/>
                <w:sz w:val="18"/>
              </w:rPr>
              <w:t>Hands-On Engineering Reality</w:t>
            </w:r>
          </w:p>
        </w:tc>
        <w:tc>
          <w:tcPr>
            <w:tcW w:w="3277" w:type="dxa"/>
            <w:tcBorders>
              <w:top w:val="single" w:color="CCD7E8" w:sz="4" w:space="0"/>
              <w:left w:val="single" w:color="CCD7E8" w:sz="4" w:space="0"/>
              <w:bottom w:val="single" w:color="CCD7E8" w:sz="4" w:space="0"/>
              <w:right w:val="single" w:color="CCD7E8" w:sz="4" w:space="0"/>
            </w:tcBorders>
          </w:tcPr>
          <w:p w14:paraId="2D9A7BB3">
            <w:pPr>
              <w:jc w:val="center"/>
              <w:rPr>
                <w:rFonts w:hint="eastAsia"/>
              </w:rPr>
            </w:pPr>
            <w:r>
              <w:rPr>
                <w:color w:val="1F1F1F"/>
                <w:sz w:val="18"/>
              </w:rPr>
              <w:t>10</w:t>
            </w:r>
          </w:p>
        </w:tc>
      </w:tr>
      <w:tr w14:paraId="6B3CE97B">
        <w:tblPrEx>
          <w:tblCellMar>
            <w:top w:w="0" w:type="dxa"/>
            <w:left w:w="108" w:type="dxa"/>
            <w:bottom w:w="0" w:type="dxa"/>
            <w:right w:w="108" w:type="dxa"/>
          </w:tblCellMar>
        </w:tblPrEx>
        <w:trPr>
          <w:cantSplit/>
          <w:jc w:val="center"/>
        </w:trPr>
        <w:tc>
          <w:tcPr>
            <w:tcW w:w="3277" w:type="dxa"/>
            <w:tcBorders>
              <w:top w:val="single" w:color="CCD7E8" w:sz="4" w:space="0"/>
              <w:left w:val="single" w:color="CCD7E8" w:sz="4" w:space="0"/>
              <w:bottom w:val="single" w:color="CCD7E8" w:sz="4" w:space="0"/>
              <w:right w:val="single" w:color="CCD7E8" w:sz="4" w:space="0"/>
            </w:tcBorders>
          </w:tcPr>
          <w:p w14:paraId="7A81591B">
            <w:pPr>
              <w:rPr>
                <w:rFonts w:hint="eastAsia"/>
              </w:rPr>
            </w:pPr>
            <w:r>
              <w:rPr>
                <w:b/>
                <w:color w:val="163B82"/>
                <w:sz w:val="18"/>
              </w:rPr>
              <w:t>F</w:t>
            </w:r>
          </w:p>
        </w:tc>
        <w:tc>
          <w:tcPr>
            <w:tcW w:w="3277" w:type="dxa"/>
            <w:tcBorders>
              <w:top w:val="single" w:color="CCD7E8" w:sz="4" w:space="0"/>
              <w:left w:val="single" w:color="CCD7E8" w:sz="4" w:space="0"/>
              <w:bottom w:val="single" w:color="CCD7E8" w:sz="4" w:space="0"/>
              <w:right w:val="single" w:color="CCD7E8" w:sz="4" w:space="0"/>
            </w:tcBorders>
          </w:tcPr>
          <w:p w14:paraId="4F444AE8">
            <w:pPr>
              <w:rPr>
                <w:rFonts w:hint="eastAsia"/>
              </w:rPr>
            </w:pPr>
            <w:r>
              <w:rPr>
                <w:color w:val="1F1F1F"/>
                <w:sz w:val="18"/>
              </w:rPr>
              <w:t>Quantitative Reasoning and Business Value</w:t>
            </w:r>
          </w:p>
        </w:tc>
        <w:tc>
          <w:tcPr>
            <w:tcW w:w="3277" w:type="dxa"/>
            <w:tcBorders>
              <w:top w:val="single" w:color="CCD7E8" w:sz="4" w:space="0"/>
              <w:left w:val="single" w:color="CCD7E8" w:sz="4" w:space="0"/>
              <w:bottom w:val="single" w:color="CCD7E8" w:sz="4" w:space="0"/>
              <w:right w:val="single" w:color="CCD7E8" w:sz="4" w:space="0"/>
            </w:tcBorders>
          </w:tcPr>
          <w:p w14:paraId="09FA87EB">
            <w:pPr>
              <w:jc w:val="center"/>
              <w:rPr>
                <w:rFonts w:hint="eastAsia"/>
              </w:rPr>
            </w:pPr>
            <w:r>
              <w:rPr>
                <w:color w:val="1F1F1F"/>
                <w:sz w:val="18"/>
              </w:rPr>
              <w:t>10</w:t>
            </w:r>
          </w:p>
        </w:tc>
      </w:tr>
      <w:tr w14:paraId="5C3EEDDD">
        <w:tblPrEx>
          <w:tblCellMar>
            <w:top w:w="0" w:type="dxa"/>
            <w:left w:w="108" w:type="dxa"/>
            <w:bottom w:w="0" w:type="dxa"/>
            <w:right w:w="108" w:type="dxa"/>
          </w:tblCellMar>
        </w:tblPrEx>
        <w:trPr>
          <w:cantSplit/>
          <w:jc w:val="center"/>
        </w:trPr>
        <w:tc>
          <w:tcPr>
            <w:tcW w:w="3277" w:type="dxa"/>
            <w:tcBorders>
              <w:top w:val="single" w:color="CCD7E8" w:sz="4" w:space="0"/>
              <w:left w:val="single" w:color="CCD7E8" w:sz="4" w:space="0"/>
              <w:bottom w:val="single" w:color="CCD7E8" w:sz="4" w:space="0"/>
              <w:right w:val="single" w:color="CCD7E8" w:sz="4" w:space="0"/>
            </w:tcBorders>
            <w:shd w:val="clear" w:color="auto" w:fill="FFF6DD"/>
          </w:tcPr>
          <w:p w14:paraId="1AD60CD8">
            <w:pPr>
              <w:rPr>
                <w:rFonts w:hint="eastAsia"/>
              </w:rPr>
            </w:pPr>
            <w:r>
              <w:rPr>
                <w:b/>
                <w:color w:val="163B82"/>
                <w:sz w:val="18"/>
              </w:rPr>
              <w:t>TOTAL</w:t>
            </w:r>
          </w:p>
        </w:tc>
        <w:tc>
          <w:tcPr>
            <w:tcW w:w="3277" w:type="dxa"/>
            <w:tcBorders>
              <w:top w:val="single" w:color="CCD7E8" w:sz="4" w:space="0"/>
              <w:left w:val="single" w:color="CCD7E8" w:sz="4" w:space="0"/>
              <w:bottom w:val="single" w:color="CCD7E8" w:sz="4" w:space="0"/>
              <w:right w:val="single" w:color="CCD7E8" w:sz="4" w:space="0"/>
            </w:tcBorders>
            <w:shd w:val="clear" w:color="auto" w:fill="FFF6DD"/>
          </w:tcPr>
          <w:p w14:paraId="20B7895F">
            <w:pPr>
              <w:rPr>
                <w:rFonts w:hint="eastAsia"/>
              </w:rPr>
            </w:pPr>
          </w:p>
        </w:tc>
        <w:tc>
          <w:tcPr>
            <w:tcW w:w="3277" w:type="dxa"/>
            <w:tcBorders>
              <w:top w:val="single" w:color="CCD7E8" w:sz="4" w:space="0"/>
              <w:left w:val="single" w:color="CCD7E8" w:sz="4" w:space="0"/>
              <w:bottom w:val="single" w:color="CCD7E8" w:sz="4" w:space="0"/>
              <w:right w:val="single" w:color="CCD7E8" w:sz="4" w:space="0"/>
            </w:tcBorders>
            <w:shd w:val="clear" w:color="auto" w:fill="FFF6DD"/>
          </w:tcPr>
          <w:p w14:paraId="3C1DBF41">
            <w:pPr>
              <w:jc w:val="center"/>
              <w:rPr>
                <w:rFonts w:hint="eastAsia"/>
              </w:rPr>
            </w:pPr>
            <w:r>
              <w:rPr>
                <w:b/>
                <w:color w:val="163B82"/>
                <w:sz w:val="18"/>
              </w:rPr>
              <w:t>100</w:t>
            </w:r>
          </w:p>
        </w:tc>
      </w:tr>
    </w:tbl>
    <w:p w14:paraId="75381B89">
      <w:pPr>
        <w:spacing w:before="240"/>
        <w:jc w:val="center"/>
        <w:rPr>
          <w:rFonts w:hint="eastAsia"/>
        </w:rPr>
      </w:pPr>
      <w:r>
        <w:rPr>
          <w:b/>
          <w:color w:val="F5A000"/>
        </w:rPr>
        <w:t>Week 1 principle: Do not begin with the model. Begin with the problem, the user, the workflow, and the evidence.</w:t>
      </w:r>
    </w:p>
    <w:sectPr>
      <w:headerReference r:id="rId5" w:type="default"/>
      <w:footerReference r:id="rId6" w:type="default"/>
      <w:pgSz w:w="11906" w:h="16838"/>
      <w:pgMar w:top="792" w:right="1037" w:bottom="792" w:left="1037" w:header="288" w:footer="36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Aptos">
    <w:altName w:val="Cambria"/>
    <w:panose1 w:val="00000000000000000000"/>
    <w:charset w:val="00"/>
    <w:family w:val="roman"/>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BAA50">
    <w:pPr>
      <w:pStyle w:val="18"/>
      <w:jc w:val="center"/>
      <w:rPr>
        <w:rFonts w:hint="eastAsia"/>
      </w:rPr>
    </w:pPr>
    <w:r>
      <w:rPr>
        <w:color w:val="6B7280"/>
        <w:sz w:val="16"/>
      </w:rPr>
      <w:t xml:space="preserve">QuanSkill  |  Chapter 3 Homework  |  </w:t>
    </w:r>
    <w:r>
      <w:t xml:space="preserve">Page </w:t>
    </w:r>
    <w:r>
      <w:fldChar w:fldCharType="begin"/>
    </w:r>
    <w:r>
      <w:instrText xml:space="preserve"> PAGE </w:instrText>
    </w:r>
    <w:r>
      <w:rPr>
        <w:rFonts w:hint="eastAsia"/>
      </w:rPr>
      <w:fldChar w:fldCharType="separate"/>
    </w:r>
    <w:r>
      <w:rPr>
        <w:rFonts w:hint="eastAsia"/>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716462">
    <w:pPr>
      <w:pStyle w:val="19"/>
      <w:rPr>
        <w:rFonts w:hint="eastAsia"/>
      </w:rPr>
    </w:pPr>
    <w:r>
      <w:drawing>
        <wp:inline distT="0" distB="0" distL="0" distR="0">
          <wp:extent cx="1389380" cy="449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1389888" cy="449906"/>
                  </a:xfrm>
                  <a:prstGeom prst="rect">
                    <a:avLst/>
                  </a:prstGeom>
                </pic:spPr>
              </pic:pic>
            </a:graphicData>
          </a:graphic>
        </wp:inline>
      </w:drawing>
    </w:r>
    <w:r>
      <w:tab/>
    </w:r>
    <w:r>
      <w:rPr>
        <w:b/>
        <w:color w:val="163B82"/>
        <w:sz w:val="17"/>
      </w:rPr>
      <w:t>AI Engineering &amp; Deployment  |  Week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1565"/>
    <w:rsid w:val="00246BD2"/>
    <w:rsid w:val="0029639D"/>
    <w:rsid w:val="00326F90"/>
    <w:rsid w:val="007C6815"/>
    <w:rsid w:val="00A1425A"/>
    <w:rsid w:val="00A93C6F"/>
    <w:rsid w:val="00AA1D8D"/>
    <w:rsid w:val="00B47730"/>
    <w:rsid w:val="00CB0664"/>
    <w:rsid w:val="00FC693F"/>
    <w:rsid w:val="62A174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Aptos" w:hAnsi="Aptos" w:eastAsiaTheme="minorEastAsia" w:cstheme="minorBidi"/>
      <w:sz w:val="20"/>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163B82"/>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163B82"/>
      <w:sz w:val="26"/>
      <w:szCs w:val="26"/>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163B82"/>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unhideWhenUsed/>
    <w:uiPriority w:val="99"/>
    <w:rPr>
      <w:color w:val="0000FF" w:themeColor="hyperlink"/>
      <w:u w:val="single"/>
      <w14:textFill>
        <w14:solidFill>
          <w14:schemeClr w14:val="hlink"/>
        </w14:solidFill>
      </w14:textFill>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63B82"/>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character" w:customStyle="1" w:styleId="165">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14</Pages>
  <Words>6204</Words>
  <Characters>33120</Characters>
  <Lines>87</Lines>
  <Paragraphs>24</Paragraphs>
  <TotalTime>10</TotalTime>
  <ScaleCrop>false</ScaleCrop>
  <LinksUpToDate>false</LinksUpToDate>
  <CharactersWithSpaces>38812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2026-09-15T14:17:00Z</dcterms:created>
  <dc:creator>QuanSkill</dc:creator>
  <dc:description>generated by python-docx</dc:description>
  <cp:lastModifiedBy>settd</cp:lastModifiedBy>
  <dcterms:modified xsi:type="dcterms:W3CDTF">2026-09-19T13:23:28Z</dcterms:modified>
  <dc:subject>AI Engineering &amp; Deployment - Problem Framing Homework</dc:subject>
  <dc:title>QuanSkill Week 1 Homework - Chapter 3: From Business Pain to AI Opportunity</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eyJoZGlkIjoiZjc1MmQ0OTFjMGM2YmNhNjdhMGI2Nzg5ZmIyYmZlZDEifQ==</vt:lpwstr>
  </property>
  <property fmtid="{D5CDD505-2E9C-101B-9397-08002B2CF9AE}" pid="3" name="KSOProductBuildVer">
    <vt:lpwstr>1033-12.1.0.28485</vt:lpwstr>
  </property>
  <property fmtid="{D5CDD505-2E9C-101B-9397-08002B2CF9AE}" pid="4" name="ICV">
    <vt:lpwstr>B20B72DB80C04E48A743501F2258D0D6_12</vt:lpwstr>
  </property>
</Properties>
</file>