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D338" w14:textId="77777777" w:rsidR="00CB6A6B" w:rsidRDefault="00000000">
      <w:pPr>
        <w:pStyle w:val="papertitle"/>
        <w:spacing w:before="100" w:beforeAutospacing="1" w:after="100" w:afterAutospacing="1"/>
      </w:pPr>
      <w:r>
        <w:t>Predictive Power Management in IoT Devices Using Low-Complexity Machine Learning and Dynamic Scheduling</w:t>
      </w:r>
    </w:p>
    <w:p w14:paraId="01DFC21F" w14:textId="77777777" w:rsidR="00CB6A6B" w:rsidRDefault="00000000">
      <w:pPr>
        <w:pStyle w:val="Author"/>
        <w:spacing w:before="100" w:beforeAutospacing="1" w:after="100" w:afterAutospacing="1"/>
      </w:pPr>
      <w:r>
        <w:t>Rishabh Yadav</w:t>
      </w:r>
      <w:r>
        <w:br/>
      </w:r>
      <w:r>
        <w:rPr>
          <w:i/>
        </w:rPr>
        <w:t>School of Electronic Engineering</w:t>
      </w:r>
      <w:r>
        <w:rPr>
          <w:i/>
        </w:rPr>
        <w:br/>
        <w:t>Dublin City University, Dublin, Ireland</w:t>
      </w:r>
      <w:r>
        <w:rPr>
          <w:i/>
        </w:rPr>
        <w:br/>
      </w:r>
      <w:r>
        <w:t>rishabh.yadav2@mail.dcu.ie</w:t>
      </w:r>
    </w:p>
    <w:p w14:paraId="0026CA46" w14:textId="77777777" w:rsidR="00CB6A6B" w:rsidRDefault="00CB6A6B">
      <w:pPr>
        <w:sectPr w:rsidR="00CB6A6B">
          <w:type w:val="continuous"/>
          <w:pgSz w:w="11906" w:h="16838" w:code="9"/>
          <w:pgMar w:top="540" w:right="893" w:bottom="1440" w:left="893" w:header="720" w:footer="720" w:gutter="0"/>
          <w:cols w:space="720"/>
          <w:titlePg/>
          <w:docGrid w:linePitch="360"/>
        </w:sectPr>
      </w:pPr>
    </w:p>
    <w:p w14:paraId="6B2A9CF2" w14:textId="741E548E" w:rsidR="00CB6A6B" w:rsidRDefault="00000000">
      <w:pPr>
        <w:pStyle w:val="Abstract"/>
      </w:pPr>
      <w:r>
        <w:rPr>
          <w:i/>
        </w:rPr>
        <w:lastRenderedPageBreak/>
        <w:t>Abstract</w:t>
      </w:r>
      <w:r w:rsidR="000F11A5">
        <w:t>-</w:t>
      </w:r>
      <w:r>
        <w:t>IoT sensor nodes deployed in occupancy-aware applications consume significant energy when operating continuously. Existing static duty-cycling approaches reduce energy consumption but sacrifice detection reliability in direct proportion to energy saved, with no mechanism to distinguish occupied from unoccupied periods. This paper presents a three-state predictive power management system for IoT devices, in which a low-complexity Logistic Regression classifier trained on environmental sensor data estimates next-step room occupancy probability and maps it to one of three hardware power states. Evaluated on the UCI Occupancy Detection dataset, the system achieves an 80.0% energy saving over an always-active baseline, extending projected battery life from 12.5 to 62.4 days. The advantage over an energy-matched static duty-cycle baseline is statistically confirmed by a Wilcoxon signed-rank test (p = 0.0078).</w:t>
      </w:r>
    </w:p>
    <w:p w14:paraId="5CD3E59F" w14:textId="4B3A5CC0" w:rsidR="00CB6A6B" w:rsidRDefault="00000000">
      <w:pPr>
        <w:pStyle w:val="Keywords"/>
      </w:pPr>
      <w:r>
        <w:t>Keywords</w:t>
      </w:r>
      <w:r w:rsidR="000F11A5">
        <w:t>--</w:t>
      </w:r>
      <w:r>
        <w:t>IoT power management, dynamic scheduling, occupancy prediction, Logistic Regression, duty cycling, energy efficiency, TinyML</w:t>
      </w:r>
    </w:p>
    <w:p w14:paraId="481CDC34" w14:textId="77777777" w:rsidR="00CB6A6B" w:rsidRDefault="00000000" w:rsidP="000F11A5">
      <w:pPr>
        <w:pStyle w:val="Heading1"/>
        <w:numPr>
          <w:ilvl w:val="0"/>
          <w:numId w:val="0"/>
        </w:numPr>
      </w:pPr>
      <w:r>
        <w:t>I. Introduction</w:t>
      </w:r>
    </w:p>
    <w:p w14:paraId="16388FC2" w14:textId="77777777" w:rsidR="00CB6A6B" w:rsidRDefault="00000000">
      <w:pPr>
        <w:pStyle w:val="BodyText"/>
        <w:ind w:firstLine="709"/>
      </w:pPr>
      <w:r>
        <w:t>The rapid proliferation of IoT sensor nodes in smart-building applications has created a persistent tension between data-collection fidelity and energy autonomy. Nodes deployed for occupancy detection, environmental monitoring, or access control must operate for months or years on small battery cells, yet the sensing and wireless-transmission functions that make them useful are also their dominant power consumers [1]. A device that samples and transmits continuously provides complete temporal coverage but exhausts a representative 1,000 mAh coin-cell battery in approximately 12 days under typical active-mode power draw.</w:t>
      </w:r>
    </w:p>
    <w:p w14:paraId="12EFC94A" w14:textId="77777777" w:rsidR="00CB6A6B" w:rsidRDefault="00000000">
      <w:pPr>
        <w:pStyle w:val="BodyText"/>
        <w:ind w:firstLine="709"/>
      </w:pPr>
      <w:r>
        <w:t>The significance of this problem extends beyond battery replacement logistics. In deployments where nodes are physically inaccessible or where manual servicing is costly, short battery life renders an otherwise capable system impractical. Energy harvesting partially addresses this constraint but remains unreliable in many indoor environments where ambient light and vibration are inconsistent. Reducing the fraction of time a node spends in its highest-power state is therefore the most broadly applicable route to extended autonomous operation.</w:t>
      </w:r>
    </w:p>
    <w:p w14:paraId="1409DE1F" w14:textId="77777777" w:rsidR="00CB6A6B" w:rsidRDefault="00000000">
      <w:pPr>
        <w:pStyle w:val="BodyText"/>
        <w:ind w:firstLine="709"/>
      </w:pPr>
      <w:r>
        <w:t>Existing approaches fall into two broad categories. Static duty-cycling wakes the device on a fixed timer irrespective of environmental conditions, and represents the current standard in deployed low-power sensor systems [2]. Adaptive and predictive methods attempt to align wake events with actual activity, but the most capable of these either operate at the network or MAC-protocol layer rather than the single-device level [3], or do not account for the energy cost of running a classifier on resource-constrained hardware [4]. No existing work combines occupancy-specific next-step prediction, single-device three-state power scheduling, and an explicit per-inference energy charge grounded in real microcontroller datasheet figures [5].</w:t>
      </w:r>
    </w:p>
    <w:p w14:paraId="599B149E" w14:textId="77777777" w:rsidR="00CB6A6B" w:rsidRDefault="00000000">
      <w:pPr>
        <w:pStyle w:val="BodyText"/>
        <w:ind w:firstLine="709"/>
      </w:pPr>
      <w:r>
        <w:t xml:space="preserve">This paper addresses that gap with a complete, end-to-end predictive power management pipeline for a single IoT sensor node. A Logistic Regression classifier is trained on the UCI Occupancy Detection dataset [1] to estimate the probability that a room will be occupied in the next time step. That probability is compared against two learned thresholds to select one of three hardware power states. A realistic operational simulation models the data-continuity challenge </w:t>
      </w:r>
      <w:r>
        <w:t>that arises when a sleeping device wakes with a stale sensor reading, and energy is quantified using STM32L476 datasheet power figures [5]. The scheduler's advantage over a static duty-cycle baseline is confirmed by non-parametric significance testing across ten independent test blocks, as described in Section IV.</w:t>
      </w:r>
    </w:p>
    <w:p w14:paraId="2D72C492" w14:textId="77777777" w:rsidR="00CB6A6B" w:rsidRDefault="00000000" w:rsidP="000F11A5">
      <w:pPr>
        <w:pStyle w:val="Heading1"/>
        <w:numPr>
          <w:ilvl w:val="0"/>
          <w:numId w:val="0"/>
        </w:numPr>
      </w:pPr>
      <w:r>
        <w:t>II. Related Work in IoT Power Management</w:t>
      </w:r>
    </w:p>
    <w:p w14:paraId="26EBE058" w14:textId="77777777" w:rsidR="00CB6A6B" w:rsidRDefault="00000000">
      <w:pPr>
        <w:pStyle w:val="BodyText"/>
        <w:ind w:firstLine="709"/>
      </w:pPr>
      <w:r>
        <w:t>Candanedo and Feldheim [1] demonstrated that environmental sensors—temperature, humidity, CO2, light, and humidity ratio—can predict binary room occupancy with high accuracy using supervised classifiers, establishing the foundational result on which this work's predictive model is built. Their UCI Occupancy Detection dataset provides a temporally dense, publicly available benchmark well suited to evaluating next-step prediction in a building-automation context.</w:t>
      </w:r>
    </w:p>
    <w:p w14:paraId="420A5880" w14:textId="77777777" w:rsidR="00CB6A6B" w:rsidRDefault="00000000">
      <w:pPr>
        <w:pStyle w:val="BodyText"/>
        <w:ind w:firstLine="709"/>
      </w:pPr>
      <w:r>
        <w:t>Wan et al. [2] proposed an adaptive scheduling scheme for wireless sensor networks that modulates wake-up frequency based on the similarity between successive sensor readings. While operating at the device level, their approach is reactive rather than predictive: scheduling decisions depend on what was just observed rather than on a forward estimate of the next state. This type of reactive duty-cycling serves as the primary comparison baseline in Section IV of this paper.</w:t>
      </w:r>
    </w:p>
    <w:p w14:paraId="21F1F9BF" w14:textId="77777777" w:rsidR="00CB6A6B" w:rsidRDefault="00000000">
      <w:pPr>
        <w:pStyle w:val="BodyText"/>
        <w:ind w:firstLine="709"/>
      </w:pPr>
      <w:r>
        <w:t>Al-Masri et al. [3] report approximately 45% energy saving from a predictive resource-allocation framework applied in an IoT edge context. However, the comparison lacks a matched-energy baseline, uses no hardware-grounded power figures, and operates at the network resource-allocation layer rather than the individual device power-state level. The 80.0% saving reported in this paper is achieved at the single-device level, uses real microcontroller power figures, and is compared against a duty-cycle baseline under an equivalent energy budget.</w:t>
      </w:r>
    </w:p>
    <w:p w14:paraId="5B06E6A8" w14:textId="77777777" w:rsidR="00CB6A6B" w:rsidRDefault="00000000">
      <w:pPr>
        <w:pStyle w:val="BodyText"/>
        <w:ind w:firstLine="709"/>
      </w:pPr>
      <w:r>
        <w:t>Warden and Situnayake [4] provide practical benchmarks for deploying trained classifiers on microcontroller-class hardware, covering model size, inference latency, and energy consumption. Their figures justify the choice of Logistic Regression in this work: at approximately 0.86 KB model footprint and 146 μs inference time on a Cortex-M4 core, it satisfies the resource constraints of a typical IoT sensor node and supports a defensible per-inference energy charge of 0.5 mJ in the energy model.</w:t>
      </w:r>
    </w:p>
    <w:p w14:paraId="32CBA5CE" w14:textId="77777777" w:rsidR="00CB6A6B" w:rsidRDefault="00000000">
      <w:pPr>
        <w:pStyle w:val="BodyText"/>
        <w:ind w:firstLine="709"/>
      </w:pPr>
      <w:r>
        <w:t>The STM32L476 datasheet [5] provides the hardware foundation for the energy model. Current consumption at 3 V supply translates to 10 mW in run mode, 1 mW in sleep mode, and 0.01 mW in Stop 2 mode with only the real-time clock active. These three values directly define the Active, Light Sleep, and Deep Sleep power states of the scheduler described in Section III.</w:t>
      </w:r>
    </w:p>
    <w:p w14:paraId="49A4A375" w14:textId="77777777" w:rsidR="00CB6A6B" w:rsidRDefault="00000000" w:rsidP="000F11A5">
      <w:pPr>
        <w:pStyle w:val="Heading1"/>
        <w:numPr>
          <w:ilvl w:val="0"/>
          <w:numId w:val="0"/>
        </w:numPr>
      </w:pPr>
      <w:r>
        <w:t>III. System Design and Methodology</w:t>
      </w:r>
    </w:p>
    <w:p w14:paraId="4C1F8E41" w14:textId="77777777" w:rsidR="00CB6A6B" w:rsidRDefault="00000000" w:rsidP="000F6259">
      <w:pPr>
        <w:pStyle w:val="Heading2"/>
        <w:numPr>
          <w:ilvl w:val="0"/>
          <w:numId w:val="0"/>
        </w:numPr>
      </w:pPr>
      <w:r>
        <w:t>A. Dataset and Feature Engineering</w:t>
      </w:r>
    </w:p>
    <w:p w14:paraId="71A129C7" w14:textId="77777777" w:rsidR="00CB6A6B" w:rsidRDefault="00000000">
      <w:pPr>
        <w:pStyle w:val="BodyText"/>
        <w:ind w:firstLine="709"/>
      </w:pPr>
      <w:r>
        <w:t xml:space="preserve">The UCI Occupancy Detection dataset [1] records minute-resolution environmental measurements from a single office room across three separate time windows. The training partition comprises 8,144 observations; the primary test partition (datatest2) provides 9,752 observations spanning a longer period that includes weekends, offering a more varied temporal distribution for evaluation. Each observation contains Temperature (°C), Relative Humidity (%), </w:t>
      </w:r>
      <w:r>
        <w:lastRenderedPageBreak/>
        <w:t>Illuminance (Lux), CO2 concentration (ppm), and Humidity Ratio (kg water/kg air), together with a binary ground-truth occupancy label.</w:t>
      </w:r>
    </w:p>
    <w:p w14:paraId="4ECCB326" w14:textId="77777777" w:rsidR="00CB6A6B" w:rsidRDefault="00000000">
      <w:pPr>
        <w:pStyle w:val="BodyText"/>
        <w:ind w:firstLine="709"/>
      </w:pPr>
      <w:r>
        <w:t>The prediction target is next-step occupancy: given the sensor readings at time t, the model predicts whether the room will be occupied at time t+1. Sixteen features are derived from the five raw channels. Hour of day, minute of day, and a binary work-hours flag encode temporal context. One-step lag values for light, CO2, and temperature (Light_lag1, CO2_lag1, Temp_lag1) provide short-term environmental memory. First-order differences (Light_delta, CO2_delta, Temp_delta) capture the direction and magnitude of recent change. Three-step rolling means for light and CO2 (Light_roll3, CO2_roll3) smooth transient sensor noise. All features are standardised to zero mean and unit variance using statistics estimated from the training partition only, ensuring no information from the test set influences the model.</w:t>
      </w:r>
    </w:p>
    <w:p w14:paraId="1E019C63" w14:textId="77777777" w:rsidR="00CB6A6B" w:rsidRDefault="00000000" w:rsidP="000F11A5">
      <w:pPr>
        <w:pStyle w:val="Heading2"/>
        <w:numPr>
          <w:ilvl w:val="0"/>
          <w:numId w:val="0"/>
        </w:numPr>
      </w:pPr>
      <w:r>
        <w:t>B. Predictive Model and Probability Estimation</w:t>
      </w:r>
    </w:p>
    <w:p w14:paraId="3ED944CD" w14:textId="77777777" w:rsidR="00CB6A6B" w:rsidRDefault="00000000">
      <w:pPr>
        <w:pStyle w:val="BodyText"/>
        <w:ind w:firstLine="709"/>
      </w:pPr>
      <w:r>
        <w:t>A Logistic Regression classifier is trained on the 16-feature vector to produce a probability estimate P = P(Occupancy(t+1) = 1). Logistic Regression models this probability directly through its sigmoid output, making the prediction interpretable as a confidence level rather than a hard binary decision. This probabilistic output is essential to the scheduler: a hard binary classifier could only distinguish occupied from unoccupied, whereas a probability allows the system to discriminate between high-confidence predictions (which justify a long sleep) and uncertain ones (which warrant a shorter sleep or remaining active).</w:t>
      </w:r>
    </w:p>
    <w:p w14:paraId="30314736" w14:textId="77777777" w:rsidR="00CB6A6B" w:rsidRDefault="00000000">
      <w:pPr>
        <w:pStyle w:val="BodyText"/>
        <w:ind w:firstLine="709"/>
      </w:pPr>
      <w:r>
        <w:t>Logistic Regression is selected over more complex alternatives on resource grounds. At approximately 0.86 KB model footprint and 146 μs inference time on a Cortex-M4 core [4], it is deployable on a microcontroller-class device without dedicated ML accelerator hardware. The model is trained with L2 regularisation (C = 1.0) and up to 1,000 conjugate-gradient iterations. Five-fold stratified cross-validation on the combined dataset confirms that accuracy and AUC-ROC are stable across folds (0.990 ± 0.001 and 0.995 ± 0.001 respectively), confirming the results are not an artefact of the specific train–test split.</w:t>
      </w:r>
    </w:p>
    <w:p w14:paraId="6D85BB2E" w14:textId="77777777" w:rsidR="00CB6A6B" w:rsidRDefault="00000000" w:rsidP="000F11A5">
      <w:pPr>
        <w:pStyle w:val="Heading2"/>
        <w:numPr>
          <w:ilvl w:val="0"/>
          <w:numId w:val="0"/>
        </w:numPr>
      </w:pPr>
      <w:r>
        <w:t>C. Probability-to-Power-State Mapping and Threshold Selection</w:t>
      </w:r>
    </w:p>
    <w:p w14:paraId="3E6AC860" w14:textId="77777777" w:rsidR="00CB6A6B" w:rsidRDefault="00000000">
      <w:pPr>
        <w:pStyle w:val="BodyText"/>
        <w:ind w:firstLine="709"/>
      </w:pPr>
      <w:r>
        <w:t>The scheduler maps the estimated occupancy probability P to one of three hardware power states using a two-threshold rule. When P ≥ P_high, the model is sufficiently confident that the room will be occupied, and the device remains or enters Active state—keeping all sensors and the radio interface powered for continuous monitoring. When P_low ≤ P &lt; P_high, confidence is intermediate, and the device enters Light Sleep—retaining peripheral state for a fast wake but reducing power draw substantially. When P &lt; P_low, the model is confident the room will remain unoccupied, and the device enters Deep Sleep—shutting down all non-essential hardware and retaining only the real-time clock for timed wake-up.</w:t>
      </w:r>
    </w:p>
    <w:p w14:paraId="2195DDAC" w14:textId="77777777" w:rsidR="00CB6A6B" w:rsidRDefault="00000000">
      <w:pPr>
        <w:pStyle w:val="BodyText"/>
        <w:ind w:firstLine="709"/>
      </w:pPr>
      <w:r>
        <w:t xml:space="preserve">The threshold pair (P_high, P_low) is determined by a systematic sensitivity sweep rather than set arbitrarily. Twelve configurations spanning the range 0.3 to 0.7 are evaluated, and the pair that maximises energy saving subject to a 10% missed-activity ceiling is selected. The 10% ceiling reflects a practical upper bound for an occupancy-triggered application such as lighting or HVAC control, beyond which </w:t>
      </w:r>
      <w:r>
        <w:t>missed events become perceptible to occupants. This sweep yields P_high = 0.5 and P_low = 0.4. A notable finding from the sweep is that energy saving varies by only 4 percentage points across all twelve configurations tested, while the missed-activity rate spans from under 1% to nearly 19%. The practical implication is that threshold choice has a much larger effect on reliability than on energy savings, and the system can be tuned to a required reliability target without sacrificing the majority of the achievable energy reduction.</w:t>
      </w:r>
    </w:p>
    <w:p w14:paraId="0D65DE50" w14:textId="77777777" w:rsidR="00CB6A6B" w:rsidRDefault="00000000" w:rsidP="000F11A5">
      <w:pPr>
        <w:pStyle w:val="Heading2"/>
        <w:numPr>
          <w:ilvl w:val="0"/>
          <w:numId w:val="0"/>
        </w:numPr>
      </w:pPr>
      <w:r>
        <w:t>D. Wake–Read–Predict–Sleep Operational Loop</w:t>
      </w:r>
    </w:p>
    <w:p w14:paraId="180E59D6" w14:textId="77777777" w:rsidR="00CB6A6B" w:rsidRDefault="00000000">
      <w:pPr>
        <w:pStyle w:val="BodyText"/>
        <w:ind w:firstLine="709"/>
      </w:pPr>
      <w:r>
        <w:t>A critical but often overlooked assumption in prior IoT scheduling work is that fresh sensor data are available at every decision point, regardless of power state. In practice, a device in Deep Sleep cannot sample its sensors, so it wakes with readings that may be several minutes stale. Without correction, this creates distorted lag and delta features: a change in CO2 that accumulated over an extended sleep period is treated as if it occurred in a single minute, inflating the apparent rate of change and potentially misleading the classifier.</w:t>
      </w:r>
    </w:p>
    <w:p w14:paraId="7999381C" w14:textId="77777777" w:rsidR="00CB6A6B" w:rsidRDefault="00000000">
      <w:pPr>
        <w:pStyle w:val="BodyText"/>
        <w:ind w:firstLine="709"/>
      </w:pPr>
      <w:r>
        <w:t>This work addresses the issue explicitly through a gap-aware feature normalisation scheme embedded in the operational loop. At each wake event, the device takes a single sensor reading and computes the elapsed gap since the previous reading. Lag features are derived from the last observed reading as before, but delta features are normalised by the true elapsed gap in minutes, ensuring they continue to represent per-minute rates of change regardless of how long the device has been asleep. Following feature construction, the device runs inference, maps the resulting probability to a power state via the threshold rule, and enters that state until the next scheduled wake event. The deeper the sleep state, the less frequently the device wakes to re-evaluate, which is what produces the energy saving.</w:t>
      </w:r>
    </w:p>
    <w:p w14:paraId="060A946B" w14:textId="77777777" w:rsidR="00CB6A6B" w:rsidRDefault="00000000" w:rsidP="000F11A5">
      <w:pPr>
        <w:pStyle w:val="Heading2"/>
        <w:numPr>
          <w:ilvl w:val="0"/>
          <w:numId w:val="0"/>
        </w:numPr>
      </w:pPr>
      <w:r>
        <w:t>E. Energy Model</w:t>
      </w:r>
    </w:p>
    <w:p w14:paraId="5EEC854A" w14:textId="77777777" w:rsidR="00CB6A6B" w:rsidRDefault="00000000">
      <w:pPr>
        <w:pStyle w:val="BodyText"/>
        <w:ind w:firstLine="709"/>
      </w:pPr>
      <w:r>
        <w:t>Energy is accumulated across all operational cycles over the test set. Each cycle contributes three components: a fixed wake-up cost that depends on which sleep state is being exited (larger for deeper sleep states due to hardware re-initialisation), a per-inference cost of 0.5 mJ derived from the model footprint and active-mode power draw [4], and the idle-state power draw over the sleep interval prior to the next wake event. Power values are taken directly from the STM32L476 datasheet [5]: 10 mW in Active state, 1 mW in Light Sleep, and 0.01 mW in Deep Sleep. Battery life is projected by dividing a representative 1,000 mAh at 3 V coin-cell capacity (10,800 J total) by the average daily energy consumption computed over the test period.</w:t>
      </w:r>
    </w:p>
    <w:p w14:paraId="32C25F78" w14:textId="77777777" w:rsidR="00CB6A6B" w:rsidRDefault="00000000" w:rsidP="000F11A5">
      <w:pPr>
        <w:pStyle w:val="Heading1"/>
        <w:numPr>
          <w:ilvl w:val="0"/>
          <w:numId w:val="0"/>
        </w:numPr>
      </w:pPr>
      <w:r>
        <w:t>IV. Experimental Results</w:t>
      </w:r>
    </w:p>
    <w:p w14:paraId="65D55489" w14:textId="77777777" w:rsidR="00CB6A6B" w:rsidRDefault="00000000" w:rsidP="000F11A5">
      <w:pPr>
        <w:pStyle w:val="Heading2"/>
        <w:numPr>
          <w:ilvl w:val="0"/>
          <w:numId w:val="0"/>
        </w:numPr>
      </w:pPr>
      <w:r>
        <w:t>A. Predictive Model Performance</w:t>
      </w:r>
    </w:p>
    <w:p w14:paraId="4418F2B9" w14:textId="77777777" w:rsidR="00CB6A6B" w:rsidRDefault="00000000">
      <w:pPr>
        <w:pStyle w:val="BodyText"/>
        <w:ind w:firstLine="709"/>
      </w:pPr>
      <w:r>
        <w:t>The Logistic Regression model achieves a test-set accuracy of 0.978 and AUC-ROC of 0.995, confirming that the engineered environmental features provide strong predictive signal for next-step occupancy. AUC-ROC is treated as the primary metric throughout because the UCI dataset is imbalanced toward the unoccupied class (approximately 21% positive in the training set), and AUC-ROC is more robust to this imbalance than raw accuracy. Cross-validated performance is consistent with these figures (Table I), demonstrating stability across the dataset's day–night and weekday–weekend variation.</w:t>
      </w:r>
    </w:p>
    <w:p w14:paraId="0C246CB7" w14:textId="77777777" w:rsidR="00CB6A6B" w:rsidRDefault="00000000" w:rsidP="009D6108">
      <w:pPr>
        <w:pStyle w:val="tablehead"/>
        <w:numPr>
          <w:ilvl w:val="0"/>
          <w:numId w:val="0"/>
        </w:numPr>
      </w:pPr>
      <w:r>
        <w:lastRenderedPageBreak/>
        <w:t>TABLE I Model Performance Summary</w:t>
      </w:r>
    </w:p>
    <w:tbl>
      <w:tblPr>
        <w:tblW w:w="6000" w:type="dxa"/>
        <w:jc w:val="center"/>
        <w:tblBorders>
          <w:top w:val="single" w:sz="4" w:space="0" w:color="auto"/>
          <w:bottom w:val="single" w:sz="4" w:space="0" w:color="auto"/>
          <w:insideH w:val="single" w:sz="2" w:space="0" w:color="AAAAAA"/>
        </w:tblBorders>
        <w:tblLook w:val="04A0" w:firstRow="1" w:lastRow="0" w:firstColumn="1" w:lastColumn="0" w:noHBand="0" w:noVBand="1"/>
      </w:tblPr>
      <w:tblGrid>
        <w:gridCol w:w="1628"/>
        <w:gridCol w:w="1279"/>
        <w:gridCol w:w="3093"/>
      </w:tblGrid>
      <w:tr w:rsidR="00CB6A6B" w14:paraId="5AF9B2FF"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6C6B6339" w14:textId="77777777" w:rsidR="00CB6A6B" w:rsidRDefault="00000000">
            <w:pPr>
              <w:pStyle w:val="tablecopy"/>
              <w:jc w:val="center"/>
            </w:pPr>
            <w:r>
              <w:rPr>
                <w:b/>
              </w:rPr>
              <w:t>Metric</w:t>
            </w:r>
          </w:p>
        </w:tc>
        <w:tc>
          <w:tcPr>
            <w:tcW w:w="0" w:type="auto"/>
            <w:tcBorders>
              <w:top w:val="single" w:sz="2" w:space="0" w:color="auto"/>
              <w:left w:val="single" w:sz="2" w:space="0" w:color="auto"/>
              <w:bottom w:val="single" w:sz="2" w:space="0" w:color="auto"/>
              <w:right w:val="single" w:sz="2" w:space="0" w:color="auto"/>
            </w:tcBorders>
          </w:tcPr>
          <w:p w14:paraId="6ECA6B21" w14:textId="77777777" w:rsidR="00CB6A6B" w:rsidRDefault="00000000">
            <w:pPr>
              <w:pStyle w:val="tablecopy"/>
              <w:jc w:val="center"/>
            </w:pPr>
            <w:r>
              <w:rPr>
                <w:b/>
              </w:rPr>
              <w:t>Test set</w:t>
            </w:r>
          </w:p>
        </w:tc>
        <w:tc>
          <w:tcPr>
            <w:tcW w:w="0" w:type="auto"/>
            <w:tcBorders>
              <w:top w:val="single" w:sz="2" w:space="0" w:color="auto"/>
              <w:left w:val="single" w:sz="2" w:space="0" w:color="auto"/>
              <w:bottom w:val="single" w:sz="2" w:space="0" w:color="auto"/>
              <w:right w:val="single" w:sz="2" w:space="0" w:color="auto"/>
            </w:tcBorders>
          </w:tcPr>
          <w:p w14:paraId="667CC0B4" w14:textId="77777777" w:rsidR="00CB6A6B" w:rsidRDefault="00000000">
            <w:pPr>
              <w:pStyle w:val="tablecopy"/>
              <w:jc w:val="center"/>
            </w:pPr>
            <w:r>
              <w:rPr>
                <w:b/>
              </w:rPr>
              <w:t>5-fold CV (mean ± std)</w:t>
            </w:r>
          </w:p>
        </w:tc>
      </w:tr>
      <w:tr w:rsidR="00CB6A6B" w14:paraId="5796F352"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3854D946" w14:textId="77777777" w:rsidR="00CB6A6B" w:rsidRDefault="00000000">
            <w:pPr>
              <w:pStyle w:val="tablecopy"/>
              <w:jc w:val="center"/>
            </w:pPr>
            <w:r>
              <w:t>Accuracy</w:t>
            </w:r>
          </w:p>
        </w:tc>
        <w:tc>
          <w:tcPr>
            <w:tcW w:w="0" w:type="auto"/>
            <w:tcBorders>
              <w:top w:val="single" w:sz="2" w:space="0" w:color="auto"/>
              <w:left w:val="single" w:sz="2" w:space="0" w:color="auto"/>
              <w:bottom w:val="single" w:sz="2" w:space="0" w:color="auto"/>
              <w:right w:val="single" w:sz="2" w:space="0" w:color="auto"/>
            </w:tcBorders>
          </w:tcPr>
          <w:p w14:paraId="2A2016D7" w14:textId="77777777" w:rsidR="00CB6A6B" w:rsidRDefault="00000000">
            <w:pPr>
              <w:pStyle w:val="tablecopy"/>
              <w:jc w:val="center"/>
            </w:pPr>
            <w:r>
              <w:t>0.978</w:t>
            </w:r>
          </w:p>
        </w:tc>
        <w:tc>
          <w:tcPr>
            <w:tcW w:w="0" w:type="auto"/>
            <w:tcBorders>
              <w:top w:val="single" w:sz="2" w:space="0" w:color="auto"/>
              <w:left w:val="single" w:sz="2" w:space="0" w:color="auto"/>
              <w:bottom w:val="single" w:sz="2" w:space="0" w:color="auto"/>
              <w:right w:val="single" w:sz="2" w:space="0" w:color="auto"/>
            </w:tcBorders>
          </w:tcPr>
          <w:p w14:paraId="2C1909BA" w14:textId="77777777" w:rsidR="00CB6A6B" w:rsidRDefault="00000000">
            <w:pPr>
              <w:pStyle w:val="tablecopy"/>
              <w:jc w:val="center"/>
            </w:pPr>
            <w:r>
              <w:t>0.990 ± 0.001</w:t>
            </w:r>
          </w:p>
        </w:tc>
      </w:tr>
      <w:tr w:rsidR="00CB6A6B" w14:paraId="6799BECF"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550166F5" w14:textId="77777777" w:rsidR="00CB6A6B" w:rsidRDefault="00000000">
            <w:pPr>
              <w:pStyle w:val="tablecopy"/>
              <w:jc w:val="center"/>
            </w:pPr>
            <w:r>
              <w:t>AUC-ROC</w:t>
            </w:r>
          </w:p>
        </w:tc>
        <w:tc>
          <w:tcPr>
            <w:tcW w:w="0" w:type="auto"/>
            <w:tcBorders>
              <w:top w:val="single" w:sz="2" w:space="0" w:color="auto"/>
              <w:left w:val="single" w:sz="2" w:space="0" w:color="auto"/>
              <w:bottom w:val="single" w:sz="2" w:space="0" w:color="auto"/>
              <w:right w:val="single" w:sz="2" w:space="0" w:color="auto"/>
            </w:tcBorders>
          </w:tcPr>
          <w:p w14:paraId="31D79A80" w14:textId="77777777" w:rsidR="00CB6A6B" w:rsidRDefault="00000000">
            <w:pPr>
              <w:pStyle w:val="tablecopy"/>
              <w:jc w:val="center"/>
            </w:pPr>
            <w:r>
              <w:t>0.995</w:t>
            </w:r>
          </w:p>
        </w:tc>
        <w:tc>
          <w:tcPr>
            <w:tcW w:w="0" w:type="auto"/>
            <w:tcBorders>
              <w:top w:val="single" w:sz="2" w:space="0" w:color="auto"/>
              <w:left w:val="single" w:sz="2" w:space="0" w:color="auto"/>
              <w:bottom w:val="single" w:sz="2" w:space="0" w:color="auto"/>
              <w:right w:val="single" w:sz="2" w:space="0" w:color="auto"/>
            </w:tcBorders>
          </w:tcPr>
          <w:p w14:paraId="374EDDA4" w14:textId="77777777" w:rsidR="00CB6A6B" w:rsidRDefault="00000000">
            <w:pPr>
              <w:pStyle w:val="tablecopy"/>
              <w:jc w:val="center"/>
            </w:pPr>
            <w:r>
              <w:t>0.995 ± 0.001</w:t>
            </w:r>
          </w:p>
        </w:tc>
      </w:tr>
    </w:tbl>
    <w:p w14:paraId="1039EA10" w14:textId="77777777" w:rsidR="00CB6A6B" w:rsidRDefault="00000000" w:rsidP="000F11A5">
      <w:pPr>
        <w:pStyle w:val="Heading2"/>
        <w:numPr>
          <w:ilvl w:val="0"/>
          <w:numId w:val="0"/>
        </w:numPr>
      </w:pPr>
      <w:r>
        <w:t>B. Energy Savings and Battery Life</w:t>
      </w:r>
    </w:p>
    <w:p w14:paraId="18D519A4" w14:textId="77777777" w:rsidR="00CB6A6B" w:rsidRDefault="00000000">
      <w:pPr>
        <w:pStyle w:val="BodyText"/>
        <w:ind w:firstLine="709"/>
      </w:pPr>
      <w:r>
        <w:t>At the recommended thresholds (P_high = 0.5, P_low = 0.4), the operational simulation achieves an 80.0% reduction in total energy consumption relative to an always-active baseline over the 9,752-minute test set. Projected battery life on a 1,000 mAh at 3 V coin cell increases from 12.5 to 62.4 days, a 5.0× improvement. Table II summarises the headline results. The Deep Sleep state is selected for approximately 78% of operational cycles, reflecting the dataset's predominantly unoccupied baseline; Active-mode energy is incurred only during the roughly 18% of time steps where occupancy is predicted with high confidence.</w:t>
      </w:r>
    </w:p>
    <w:p w14:paraId="42457A66" w14:textId="77777777" w:rsidR="00CB6A6B" w:rsidRDefault="00000000" w:rsidP="009D6108">
      <w:pPr>
        <w:pStyle w:val="tablehead"/>
        <w:numPr>
          <w:ilvl w:val="0"/>
          <w:numId w:val="0"/>
        </w:numPr>
      </w:pPr>
      <w:r>
        <w:t>TABLE II Key Results at Recommended Thresholds (P_high = 0.5, P_low = 0.4)</w:t>
      </w:r>
    </w:p>
    <w:tbl>
      <w:tblPr>
        <w:tblW w:w="5700" w:type="dxa"/>
        <w:jc w:val="center"/>
        <w:tblBorders>
          <w:top w:val="single" w:sz="4" w:space="0" w:color="auto"/>
          <w:bottom w:val="single" w:sz="4" w:space="0" w:color="auto"/>
          <w:insideH w:val="single" w:sz="2" w:space="0" w:color="AAAAAA"/>
        </w:tblBorders>
        <w:tblLook w:val="04A0" w:firstRow="1" w:lastRow="0" w:firstColumn="1" w:lastColumn="0" w:noHBand="0" w:noVBand="1"/>
      </w:tblPr>
      <w:tblGrid>
        <w:gridCol w:w="4131"/>
        <w:gridCol w:w="1569"/>
      </w:tblGrid>
      <w:tr w:rsidR="00CB6A6B" w14:paraId="10B7DA26"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7E758261" w14:textId="77777777" w:rsidR="00CB6A6B" w:rsidRDefault="00000000">
            <w:pPr>
              <w:pStyle w:val="tablecopy"/>
              <w:jc w:val="center"/>
            </w:pPr>
            <w:r>
              <w:rPr>
                <w:b/>
              </w:rPr>
              <w:t>Metric</w:t>
            </w:r>
          </w:p>
        </w:tc>
        <w:tc>
          <w:tcPr>
            <w:tcW w:w="0" w:type="auto"/>
            <w:tcBorders>
              <w:top w:val="single" w:sz="2" w:space="0" w:color="auto"/>
              <w:left w:val="single" w:sz="2" w:space="0" w:color="auto"/>
              <w:bottom w:val="single" w:sz="2" w:space="0" w:color="auto"/>
              <w:right w:val="single" w:sz="2" w:space="0" w:color="auto"/>
            </w:tcBorders>
          </w:tcPr>
          <w:p w14:paraId="7D17AF95" w14:textId="77777777" w:rsidR="00CB6A6B" w:rsidRDefault="00000000">
            <w:pPr>
              <w:pStyle w:val="tablecopy"/>
              <w:jc w:val="center"/>
            </w:pPr>
            <w:r>
              <w:rPr>
                <w:b/>
              </w:rPr>
              <w:t>Value</w:t>
            </w:r>
          </w:p>
        </w:tc>
      </w:tr>
      <w:tr w:rsidR="00CB6A6B" w14:paraId="275D6E9E"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78389062" w14:textId="77777777" w:rsidR="00CB6A6B" w:rsidRDefault="00000000">
            <w:pPr>
              <w:pStyle w:val="tablecopy"/>
              <w:jc w:val="center"/>
            </w:pPr>
            <w:r>
              <w:t>Energy saving vs always-active</w:t>
            </w:r>
          </w:p>
        </w:tc>
        <w:tc>
          <w:tcPr>
            <w:tcW w:w="0" w:type="auto"/>
            <w:tcBorders>
              <w:top w:val="single" w:sz="2" w:space="0" w:color="auto"/>
              <w:left w:val="single" w:sz="2" w:space="0" w:color="auto"/>
              <w:bottom w:val="single" w:sz="2" w:space="0" w:color="auto"/>
              <w:right w:val="single" w:sz="2" w:space="0" w:color="auto"/>
            </w:tcBorders>
          </w:tcPr>
          <w:p w14:paraId="2D0802BA" w14:textId="77777777" w:rsidR="00CB6A6B" w:rsidRDefault="00000000">
            <w:pPr>
              <w:pStyle w:val="tablecopy"/>
              <w:jc w:val="center"/>
            </w:pPr>
            <w:r>
              <w:t>80.0%</w:t>
            </w:r>
          </w:p>
        </w:tc>
      </w:tr>
      <w:tr w:rsidR="00CB6A6B" w14:paraId="55A177AC"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46695D18" w14:textId="77777777" w:rsidR="00CB6A6B" w:rsidRDefault="00000000">
            <w:pPr>
              <w:pStyle w:val="tablecopy"/>
              <w:jc w:val="center"/>
            </w:pPr>
            <w:r>
              <w:t>Missed-activity rate (per-minute evaluation)</w:t>
            </w:r>
          </w:p>
        </w:tc>
        <w:tc>
          <w:tcPr>
            <w:tcW w:w="0" w:type="auto"/>
            <w:tcBorders>
              <w:top w:val="single" w:sz="2" w:space="0" w:color="auto"/>
              <w:left w:val="single" w:sz="2" w:space="0" w:color="auto"/>
              <w:bottom w:val="single" w:sz="2" w:space="0" w:color="auto"/>
              <w:right w:val="single" w:sz="2" w:space="0" w:color="auto"/>
            </w:tcBorders>
          </w:tcPr>
          <w:p w14:paraId="53253650" w14:textId="77777777" w:rsidR="00CB6A6B" w:rsidRDefault="00000000">
            <w:pPr>
              <w:pStyle w:val="tablecopy"/>
              <w:jc w:val="center"/>
            </w:pPr>
            <w:r>
              <w:t>8.0%</w:t>
            </w:r>
          </w:p>
        </w:tc>
      </w:tr>
      <w:tr w:rsidR="00CB6A6B" w14:paraId="4E15939D"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2E78EECE" w14:textId="77777777" w:rsidR="00CB6A6B" w:rsidRDefault="00000000">
            <w:pPr>
              <w:pStyle w:val="tablecopy"/>
              <w:jc w:val="center"/>
            </w:pPr>
            <w:r>
              <w:t>Missed-activity rate (operational simulation)</w:t>
            </w:r>
          </w:p>
        </w:tc>
        <w:tc>
          <w:tcPr>
            <w:tcW w:w="0" w:type="auto"/>
            <w:tcBorders>
              <w:top w:val="single" w:sz="2" w:space="0" w:color="auto"/>
              <w:left w:val="single" w:sz="2" w:space="0" w:color="auto"/>
              <w:bottom w:val="single" w:sz="2" w:space="0" w:color="auto"/>
              <w:right w:val="single" w:sz="2" w:space="0" w:color="auto"/>
            </w:tcBorders>
          </w:tcPr>
          <w:p w14:paraId="706E2F32" w14:textId="77777777" w:rsidR="00CB6A6B" w:rsidRDefault="00000000">
            <w:pPr>
              <w:pStyle w:val="tablecopy"/>
              <w:jc w:val="center"/>
            </w:pPr>
            <w:r>
              <w:t>2.2% (median)</w:t>
            </w:r>
          </w:p>
        </w:tc>
      </w:tr>
      <w:tr w:rsidR="00CB6A6B" w14:paraId="3FDC5269"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2CCCD104" w14:textId="77777777" w:rsidR="00CB6A6B" w:rsidRDefault="00000000">
            <w:pPr>
              <w:pStyle w:val="tablecopy"/>
              <w:jc w:val="center"/>
            </w:pPr>
            <w:r>
              <w:t>Battery life — always-active baseline</w:t>
            </w:r>
          </w:p>
        </w:tc>
        <w:tc>
          <w:tcPr>
            <w:tcW w:w="0" w:type="auto"/>
            <w:tcBorders>
              <w:top w:val="single" w:sz="2" w:space="0" w:color="auto"/>
              <w:left w:val="single" w:sz="2" w:space="0" w:color="auto"/>
              <w:bottom w:val="single" w:sz="2" w:space="0" w:color="auto"/>
              <w:right w:val="single" w:sz="2" w:space="0" w:color="auto"/>
            </w:tcBorders>
          </w:tcPr>
          <w:p w14:paraId="487B5E45" w14:textId="77777777" w:rsidR="00CB6A6B" w:rsidRDefault="00000000">
            <w:pPr>
              <w:pStyle w:val="tablecopy"/>
              <w:jc w:val="center"/>
            </w:pPr>
            <w:r>
              <w:t>12.5 days</w:t>
            </w:r>
          </w:p>
        </w:tc>
      </w:tr>
      <w:tr w:rsidR="00CB6A6B" w14:paraId="74B561F7"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02525BB7" w14:textId="77777777" w:rsidR="00CB6A6B" w:rsidRDefault="00000000">
            <w:pPr>
              <w:pStyle w:val="tablecopy"/>
              <w:jc w:val="center"/>
            </w:pPr>
            <w:r>
              <w:t>Battery life — ML scheduler</w:t>
            </w:r>
          </w:p>
        </w:tc>
        <w:tc>
          <w:tcPr>
            <w:tcW w:w="0" w:type="auto"/>
            <w:tcBorders>
              <w:top w:val="single" w:sz="2" w:space="0" w:color="auto"/>
              <w:left w:val="single" w:sz="2" w:space="0" w:color="auto"/>
              <w:bottom w:val="single" w:sz="2" w:space="0" w:color="auto"/>
              <w:right w:val="single" w:sz="2" w:space="0" w:color="auto"/>
            </w:tcBorders>
          </w:tcPr>
          <w:p w14:paraId="2C953F98" w14:textId="77777777" w:rsidR="00CB6A6B" w:rsidRDefault="00000000">
            <w:pPr>
              <w:pStyle w:val="tablecopy"/>
              <w:jc w:val="center"/>
            </w:pPr>
            <w:r>
              <w:t>62.4 days</w:t>
            </w:r>
          </w:p>
        </w:tc>
      </w:tr>
      <w:tr w:rsidR="00CB6A6B" w14:paraId="5B15B7E2" w14:textId="77777777">
        <w:trPr>
          <w:jc w:val="center"/>
        </w:trPr>
        <w:tc>
          <w:tcPr>
            <w:tcW w:w="0" w:type="auto"/>
            <w:tcBorders>
              <w:top w:val="single" w:sz="2" w:space="0" w:color="auto"/>
              <w:left w:val="single" w:sz="2" w:space="0" w:color="auto"/>
              <w:bottom w:val="single" w:sz="2" w:space="0" w:color="auto"/>
              <w:right w:val="single" w:sz="2" w:space="0" w:color="auto"/>
            </w:tcBorders>
          </w:tcPr>
          <w:p w14:paraId="6D7C36F7" w14:textId="77777777" w:rsidR="00CB6A6B" w:rsidRDefault="00000000">
            <w:pPr>
              <w:pStyle w:val="tablecopy"/>
              <w:jc w:val="center"/>
            </w:pPr>
            <w:r>
              <w:t>Wilcoxon p-value vs duty-cycle baseline</w:t>
            </w:r>
          </w:p>
        </w:tc>
        <w:tc>
          <w:tcPr>
            <w:tcW w:w="0" w:type="auto"/>
            <w:tcBorders>
              <w:top w:val="single" w:sz="2" w:space="0" w:color="auto"/>
              <w:left w:val="single" w:sz="2" w:space="0" w:color="auto"/>
              <w:bottom w:val="single" w:sz="2" w:space="0" w:color="auto"/>
              <w:right w:val="single" w:sz="2" w:space="0" w:color="auto"/>
            </w:tcBorders>
          </w:tcPr>
          <w:p w14:paraId="515593D8" w14:textId="77777777" w:rsidR="00CB6A6B" w:rsidRDefault="00000000">
            <w:pPr>
              <w:pStyle w:val="tablecopy"/>
              <w:jc w:val="center"/>
            </w:pPr>
            <w:r>
              <w:t>p = 0.0078</w:t>
            </w:r>
          </w:p>
        </w:tc>
      </w:tr>
    </w:tbl>
    <w:p w14:paraId="6B3C40F3" w14:textId="77777777" w:rsidR="00CB6A6B" w:rsidRDefault="00000000" w:rsidP="000F11A5">
      <w:pPr>
        <w:pStyle w:val="Heading2"/>
        <w:numPr>
          <w:ilvl w:val="0"/>
          <w:numId w:val="0"/>
        </w:numPr>
      </w:pPr>
      <w:r>
        <w:t>C. Comparison with Static Duty Cycling</w:t>
      </w:r>
    </w:p>
    <w:p w14:paraId="0194A10B" w14:textId="77777777" w:rsidR="00CB6A6B" w:rsidRDefault="00000000">
      <w:pPr>
        <w:pStyle w:val="BodyText"/>
        <w:ind w:firstLine="709"/>
      </w:pPr>
      <w:r>
        <w:t>A fixed-period duty-cycle scheduler is swept across eleven wake periods using the same energy-model assumptions, wake-up costs, and STM32L476 power figures as the ML scheduler. The period that most closely matches the ML scheduler's total energy consumption does so to within 2.3%. Despite this energy-budget match, the duty-cycle baseline misses 82.9% of genuinely occupied minutes (median across ten independent test blocks), compared with 2.2% for the ML scheduler under the same budget. A Wilcoxon signed-rank test on the paired per-block missed-activity rates confirms this difference is statistically significant (W = 28, p = 0.0078). The duty-cycle sweep also reveals an important structural constraint: energy saving and missed-activity rate move in near-perfect proportion across all periods tested, leaving no configuration that achieves both high energy saving and low event-miss rate simultaneously. The ML scheduler breaks this coupling by using the classifier's confidence to sleep deeply only when vacancy is likely, rather than on a fixed schedule.</w:t>
      </w:r>
    </w:p>
    <w:p w14:paraId="3DF2D2BA" w14:textId="77777777" w:rsidR="00CB6A6B" w:rsidRDefault="00000000" w:rsidP="000F11A5">
      <w:pPr>
        <w:pStyle w:val="Heading1"/>
        <w:numPr>
          <w:ilvl w:val="0"/>
          <w:numId w:val="0"/>
        </w:numPr>
      </w:pPr>
      <w:r>
        <w:t>V. Discussion</w:t>
      </w:r>
    </w:p>
    <w:p w14:paraId="278AF819" w14:textId="77777777" w:rsidR="00CB6A6B" w:rsidRDefault="00000000" w:rsidP="000F11A5">
      <w:pPr>
        <w:pStyle w:val="Heading2"/>
        <w:numPr>
          <w:ilvl w:val="0"/>
          <w:numId w:val="0"/>
        </w:numPr>
      </w:pPr>
      <w:r>
        <w:t>A. Interpretation of Results</w:t>
      </w:r>
    </w:p>
    <w:p w14:paraId="195CA3D0" w14:textId="77777777" w:rsidR="00CB6A6B" w:rsidRDefault="00000000">
      <w:pPr>
        <w:pStyle w:val="BodyText"/>
        <w:ind w:firstLine="709"/>
      </w:pPr>
      <w:r>
        <w:t>The threshold sensitivity sweep reveals that the choice of P_high and P_low has an asymmetric effect: energy saving is relatively insensitive to threshold choice across the range tested (varying by only 4 percentage points), while the missed-activity rate is highly sensitive (spanning nearly 18 percentage points). This asymmetry is the key practical insight of the paper. It means that a system designer can tune the thresholds to meet a specific reliability target—for example, missing no more than 10% of occupied minutes for a lighting control application—without sacrificing the majority of the available energy saving. The recommended pair (P_high = 0.5, P_low = 0.4) is the point on this curve that maximises energy saving subject to the 10% ceiling.</w:t>
      </w:r>
    </w:p>
    <w:p w14:paraId="1205160B" w14:textId="77777777" w:rsidR="00CB6A6B" w:rsidRDefault="00000000" w:rsidP="000F11A5">
      <w:pPr>
        <w:pStyle w:val="Heading2"/>
        <w:numPr>
          <w:ilvl w:val="0"/>
          <w:numId w:val="0"/>
        </w:numPr>
      </w:pPr>
      <w:r>
        <w:t>B. Gap-Aware Normalisation and Simulation Results</w:t>
      </w:r>
    </w:p>
    <w:p w14:paraId="682B4F4D" w14:textId="77777777" w:rsidR="00CB6A6B" w:rsidRDefault="00000000">
      <w:pPr>
        <w:pStyle w:val="BodyText"/>
        <w:ind w:firstLine="709"/>
      </w:pPr>
      <w:r>
        <w:t>The operational simulation produces a median missed-activity rate of 2.2%, noticeably better than the 8.0% from the simplified per-minute evaluation. This difference arises because the operational loop re-evaluates the power state at every wake event: when the classifier returns a high probability in consecutive cycles, the device remains in Active state for multiple consecutive time steps rather than sleeping at all. The per-minute evaluation, by contrast, assigns a state independently to every minute without modelling this continuity. Both figures are reported for transparency; the operational simulation result is the more realistic assessment of in-deployment performance.</w:t>
      </w:r>
    </w:p>
    <w:p w14:paraId="608E3CB9" w14:textId="77777777" w:rsidR="00CB6A6B" w:rsidRDefault="00000000" w:rsidP="000F11A5">
      <w:pPr>
        <w:pStyle w:val="Heading2"/>
        <w:numPr>
          <w:ilvl w:val="0"/>
          <w:numId w:val="0"/>
        </w:numPr>
      </w:pPr>
      <w:r>
        <w:t>C. Limitations</w:t>
      </w:r>
    </w:p>
    <w:p w14:paraId="4BBC79CC" w14:textId="77777777" w:rsidR="00CB6A6B" w:rsidRDefault="00000000">
      <w:pPr>
        <w:pStyle w:val="BodyText"/>
        <w:ind w:firstLine="709"/>
      </w:pPr>
      <w:r>
        <w:t>Several limitations bound the generalisability of these findings. First, the evaluation is conducted on a single-room dataset from a specific office environment; occupancy dynamics in open-plan offices, corridors, or multi-occupant spaces may differ substantially, and the model would require retraining for each new environment. Second, the UCI dataset is imbalanced toward the unoccupied class, and while AUC-ROC is robust to this imbalance, calibration of the predicted probabilities in the minority occupied class has not been independently verified; poorly calibrated probabilities could shift the effective operating point of the threshold rule even if accuracy remains high. Third, the energy model uses datasheet typical values rather than empirical measurements on physical hardware, and real-world current draw exhibits variance around these nominal figures due to temperature, supply voltage, and peripheral activity. Fourth, the sleep interval for each power state is a design parameter that was not derived from the empirical distribution of occupancy transitions in this dataset; a principled interval selection based on unoccupied-stretch length statistics would reduce the risk of missing brief vacancy periods in datasets with more dynamic occupancy patterns.</w:t>
      </w:r>
    </w:p>
    <w:p w14:paraId="189952DD" w14:textId="77777777" w:rsidR="00CB6A6B" w:rsidRDefault="00000000" w:rsidP="000F11A5">
      <w:pPr>
        <w:pStyle w:val="Heading1"/>
        <w:numPr>
          <w:ilvl w:val="0"/>
          <w:numId w:val="0"/>
        </w:numPr>
      </w:pPr>
      <w:r>
        <w:t>VI. Conclusions</w:t>
      </w:r>
    </w:p>
    <w:p w14:paraId="4D0CB443" w14:textId="77777777" w:rsidR="00CB6A6B" w:rsidRDefault="00000000">
      <w:pPr>
        <w:pStyle w:val="BodyText"/>
        <w:ind w:firstLine="709"/>
      </w:pPr>
      <w:r>
        <w:t>This paper has presented a predictive power management system for IoT sensor nodes that combines low-complexity occupancy prediction with a three-state hardware scheduler grounded in real microcontroller power figures. Three contributions distinguish this work from prior literature. First, the complete pipeline from raw environmental sensor readings to per-cycle power state decisions and energy accounting is evaluated at the single-device level with STM32L476 datasheet values, rather than at the network or protocol layer. Second, the data-continuity problem that arises when a sleeping node wakes with a stale sensor reading is addressed explicitly through a gap-aware delta normalisation embedded in the operational loop, preventing the feature distortion that would otherwise bias the classifier following extended sleep periods. Third, the scheduler's advantage over a static duty-cycle baseline is confirmed by a non-parametric significance test on energy-matched, paired per-block comparisons rather than as a single aggregate figure on one test run.</w:t>
      </w:r>
    </w:p>
    <w:p w14:paraId="7B6C4F38" w14:textId="77777777" w:rsidR="00CB6A6B" w:rsidRDefault="00000000">
      <w:pPr>
        <w:pStyle w:val="BodyText"/>
        <w:ind w:firstLine="709"/>
      </w:pPr>
      <w:r>
        <w:t xml:space="preserve">Future work should validate the system on physical STM32L476 hardware to quantify the difference between datasheet and in-situ power values, extend the evaluation to multi-room and heterogeneous occupancy datasets, and investigate systematic methods for selecting sleep intervals </w:t>
      </w:r>
      <w:r>
        <w:lastRenderedPageBreak/>
        <w:t>based on the empirical distribution of occupancy transitions in the target environment.</w:t>
      </w:r>
    </w:p>
    <w:p w14:paraId="0528123B" w14:textId="77777777" w:rsidR="00CB6A6B" w:rsidRDefault="00000000">
      <w:pPr>
        <w:pStyle w:val="Heading5"/>
      </w:pPr>
      <w:r>
        <w:t>Acknowledgment</w:t>
      </w:r>
    </w:p>
    <w:p w14:paraId="6D5010B6" w14:textId="77777777" w:rsidR="00CB6A6B" w:rsidRDefault="00000000">
      <w:pPr>
        <w:pStyle w:val="BodyText"/>
      </w:pPr>
      <w:r>
        <w:t>The author thanks Dr Jennifer McManis for supervision and guidance throughout the project.</w:t>
      </w:r>
    </w:p>
    <w:p w14:paraId="339E078F" w14:textId="77777777" w:rsidR="00CB6A6B" w:rsidRDefault="00000000">
      <w:pPr>
        <w:pStyle w:val="Heading5"/>
      </w:pPr>
      <w:r>
        <w:t>References</w:t>
      </w:r>
    </w:p>
    <w:p w14:paraId="5094D316" w14:textId="2E4E44AE" w:rsidR="00CB6A6B" w:rsidRDefault="00000000" w:rsidP="000F6259">
      <w:pPr>
        <w:pStyle w:val="references"/>
        <w:numPr>
          <w:ilvl w:val="0"/>
          <w:numId w:val="0"/>
        </w:numPr>
        <w:jc w:val="left"/>
      </w:pPr>
      <w:r>
        <w:t>[1]L. M. Candanedo and V. Feldheim, "Accurate occupancy detection of an office room from light, temperature, humidity and CO2 measurements using statistical learning models," Energy and Buildings, vol. 112, pp. 28–39, Jan. 2016.</w:t>
      </w:r>
    </w:p>
    <w:p w14:paraId="7872E089" w14:textId="0BADA074" w:rsidR="00CB6A6B" w:rsidRDefault="00000000" w:rsidP="000F6259">
      <w:pPr>
        <w:pStyle w:val="references"/>
        <w:numPr>
          <w:ilvl w:val="0"/>
          <w:numId w:val="0"/>
        </w:numPr>
        <w:jc w:val="left"/>
      </w:pPr>
      <w:r>
        <w:t>[2]J. Wan, M. J. O'Grady, and G. M. O'Hare, "Dynamic sensor event segmentation for real-time activity recognition in a smart home context," Personal and Ubiquitous Computing, vol. 19, no. 2, pp. 287–301, 2015.</w:t>
      </w:r>
    </w:p>
    <w:p w14:paraId="6A1CD709" w14:textId="1EF1426E" w:rsidR="00CB6A6B" w:rsidRDefault="00000000" w:rsidP="000F6259">
      <w:pPr>
        <w:pStyle w:val="references"/>
        <w:numPr>
          <w:ilvl w:val="0"/>
          <w:numId w:val="0"/>
        </w:numPr>
        <w:jc w:val="left"/>
      </w:pPr>
      <w:r>
        <w:t>[3]E. Al-Masri, K. Diabat, M. Hirzallah, and P. Bhargava, "A heterogeneous IoT-based predictive analytics framework for improving health and energy efficiency in smart buildings," Electronics, vol. 12, no. 2, pp. 1–19, 2023.</w:t>
      </w:r>
    </w:p>
    <w:p w14:paraId="542A6244" w14:textId="77777777" w:rsidR="000F6259" w:rsidRDefault="00000000" w:rsidP="000F6259">
      <w:pPr>
        <w:pStyle w:val="references"/>
        <w:numPr>
          <w:ilvl w:val="0"/>
          <w:numId w:val="0"/>
        </w:numPr>
        <w:spacing w:after="0" w:line="240" w:lineRule="auto"/>
        <w:ind w:left="357" w:hanging="357"/>
      </w:pPr>
      <w:r>
        <w:t>[4]P.Warden and D.Situnayake, TinyML: Machine Learning with</w:t>
      </w:r>
    </w:p>
    <w:p w14:paraId="5E8DE352" w14:textId="77777777" w:rsidR="000F6259" w:rsidRDefault="00000000" w:rsidP="000F6259">
      <w:pPr>
        <w:pStyle w:val="references"/>
        <w:numPr>
          <w:ilvl w:val="0"/>
          <w:numId w:val="0"/>
        </w:numPr>
        <w:spacing w:after="0" w:line="240" w:lineRule="auto"/>
        <w:ind w:left="357" w:hanging="357"/>
      </w:pPr>
      <w:r>
        <w:t xml:space="preserve"> TensorFlow Lite on Arduino and Ultra-Low-Power Microcontrollers.</w:t>
      </w:r>
    </w:p>
    <w:p w14:paraId="6F726A6E" w14:textId="5CA5C546" w:rsidR="00CB6A6B" w:rsidRDefault="00000000" w:rsidP="000F6259">
      <w:pPr>
        <w:pStyle w:val="references"/>
        <w:numPr>
          <w:ilvl w:val="0"/>
          <w:numId w:val="0"/>
        </w:numPr>
        <w:spacing w:after="0" w:line="240" w:lineRule="auto"/>
        <w:ind w:left="357" w:hanging="357"/>
      </w:pPr>
      <w:r>
        <w:t>Sebastopol, CA: O'Reilly Media, 2019.</w:t>
      </w:r>
    </w:p>
    <w:p w14:paraId="1369E8F6" w14:textId="75B8073B" w:rsidR="00CB6A6B" w:rsidRDefault="00000000" w:rsidP="000F6259">
      <w:pPr>
        <w:pStyle w:val="references"/>
        <w:numPr>
          <w:ilvl w:val="0"/>
          <w:numId w:val="0"/>
        </w:numPr>
        <w:jc w:val="left"/>
      </w:pPr>
      <w:r>
        <w:t>[5]STMicroelectronics, "STM32L476xx ultra-low-power Arm Cortex-M4 32-bit MCU datasheet," Doc. DS10198 Rev 9, 2024. [Online]. Available: https://www.st.com/resource/en/datasheet/stm32l476je.pdf</w:t>
      </w:r>
    </w:p>
    <w:p w14:paraId="611AE787" w14:textId="77777777" w:rsidR="00CB6A6B" w:rsidRDefault="00CB6A6B">
      <w:pPr>
        <w:sectPr w:rsidR="00CB6A6B">
          <w:pgSz w:w="11906" w:h="16838" w:code="9"/>
          <w:pgMar w:top="1080" w:right="893" w:bottom="1440" w:left="893" w:header="720" w:footer="720" w:gutter="0"/>
          <w:cols w:num="2" w:space="360"/>
          <w:docGrid w:linePitch="360"/>
        </w:sectPr>
      </w:pPr>
    </w:p>
    <w:p w14:paraId="60310ECB" w14:textId="77777777" w:rsidR="00491B09" w:rsidRDefault="00491B09"/>
    <w:sectPr w:rsidR="00491B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2AA1B" w14:textId="77777777" w:rsidR="00491B09" w:rsidRDefault="00491B09" w:rsidP="001A3B3D">
      <w:r>
        <w:separator/>
      </w:r>
    </w:p>
  </w:endnote>
  <w:endnote w:type="continuationSeparator" w:id="0">
    <w:p w14:paraId="1F8FB0D7" w14:textId="77777777" w:rsidR="00491B09" w:rsidRDefault="00491B0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600A7" w14:textId="77777777" w:rsidR="00491B09" w:rsidRDefault="00491B09" w:rsidP="001A3B3D">
      <w:r>
        <w:separator/>
      </w:r>
    </w:p>
  </w:footnote>
  <w:footnote w:type="continuationSeparator" w:id="0">
    <w:p w14:paraId="53424544" w14:textId="77777777" w:rsidR="00491B09" w:rsidRDefault="00491B0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5593969">
    <w:abstractNumId w:val="14"/>
  </w:num>
  <w:num w:numId="2" w16cid:durableId="1488742102">
    <w:abstractNumId w:val="19"/>
  </w:num>
  <w:num w:numId="3" w16cid:durableId="1387535126">
    <w:abstractNumId w:val="13"/>
  </w:num>
  <w:num w:numId="4" w16cid:durableId="1067146973">
    <w:abstractNumId w:val="16"/>
  </w:num>
  <w:num w:numId="5" w16cid:durableId="1181773243">
    <w:abstractNumId w:val="16"/>
  </w:num>
  <w:num w:numId="6" w16cid:durableId="1564219517">
    <w:abstractNumId w:val="16"/>
  </w:num>
  <w:num w:numId="7" w16cid:durableId="1772553270">
    <w:abstractNumId w:val="16"/>
  </w:num>
  <w:num w:numId="8" w16cid:durableId="1267151024">
    <w:abstractNumId w:val="18"/>
  </w:num>
  <w:num w:numId="9" w16cid:durableId="166291140">
    <w:abstractNumId w:val="20"/>
  </w:num>
  <w:num w:numId="10" w16cid:durableId="1878539057">
    <w:abstractNumId w:val="15"/>
  </w:num>
  <w:num w:numId="11" w16cid:durableId="853692222">
    <w:abstractNumId w:val="12"/>
  </w:num>
  <w:num w:numId="12" w16cid:durableId="199361226">
    <w:abstractNumId w:val="11"/>
  </w:num>
  <w:num w:numId="13" w16cid:durableId="1507550980">
    <w:abstractNumId w:val="0"/>
  </w:num>
  <w:num w:numId="14" w16cid:durableId="1681614924">
    <w:abstractNumId w:val="10"/>
  </w:num>
  <w:num w:numId="15" w16cid:durableId="1118137764">
    <w:abstractNumId w:val="8"/>
  </w:num>
  <w:num w:numId="16" w16cid:durableId="1378436371">
    <w:abstractNumId w:val="7"/>
  </w:num>
  <w:num w:numId="17" w16cid:durableId="410544064">
    <w:abstractNumId w:val="6"/>
  </w:num>
  <w:num w:numId="18" w16cid:durableId="1973779777">
    <w:abstractNumId w:val="5"/>
  </w:num>
  <w:num w:numId="19" w16cid:durableId="517894095">
    <w:abstractNumId w:val="9"/>
  </w:num>
  <w:num w:numId="20" w16cid:durableId="1259752663">
    <w:abstractNumId w:val="4"/>
  </w:num>
  <w:num w:numId="21" w16cid:durableId="1814061561">
    <w:abstractNumId w:val="3"/>
  </w:num>
  <w:num w:numId="22" w16cid:durableId="1684865192">
    <w:abstractNumId w:val="2"/>
  </w:num>
  <w:num w:numId="23" w16cid:durableId="500003995">
    <w:abstractNumId w:val="1"/>
  </w:num>
  <w:num w:numId="24" w16cid:durableId="4112385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11A5"/>
    <w:rsid w:val="000F6259"/>
    <w:rsid w:val="001A2EFD"/>
    <w:rsid w:val="001A3B3D"/>
    <w:rsid w:val="001B67DC"/>
    <w:rsid w:val="002254A9"/>
    <w:rsid w:val="00233D97"/>
    <w:rsid w:val="002347A2"/>
    <w:rsid w:val="002850E3"/>
    <w:rsid w:val="003214EC"/>
    <w:rsid w:val="00354FCF"/>
    <w:rsid w:val="003A19E2"/>
    <w:rsid w:val="003B2B40"/>
    <w:rsid w:val="003B4E04"/>
    <w:rsid w:val="003F5A08"/>
    <w:rsid w:val="00420716"/>
    <w:rsid w:val="004325FB"/>
    <w:rsid w:val="004432BA"/>
    <w:rsid w:val="0044407E"/>
    <w:rsid w:val="00447BB9"/>
    <w:rsid w:val="0046031D"/>
    <w:rsid w:val="00473AC9"/>
    <w:rsid w:val="00491B0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D6108"/>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B6A6B"/>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EE853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3190</Words>
  <Characters>18185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Rishabh yadav</cp:lastModifiedBy>
  <cp:revision>6</cp:revision>
  <dcterms:created xsi:type="dcterms:W3CDTF">2019-01-08T18:42:00Z</dcterms:created>
  <dcterms:modified xsi:type="dcterms:W3CDTF">2026-07-29T12:46:00Z</dcterms:modified>
</cp:coreProperties>
</file>