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color w:val="0F7C82"/>
          <w:sz w:val="20"/>
        </w:rPr>
        <w:t>VOXELLABEL</w:t>
      </w:r>
    </w:p>
    <w:p>
      <w:pPr>
        <w:pStyle w:val="Normal"/>
        <w:spacing w:before="0" w:after="160"/>
        <w:rPr/>
      </w:pPr>
      <w:r>
        <w:rPr>
          <w:b/>
          <w:color w:val="101820"/>
          <w:sz w:val="52"/>
        </w:rPr>
        <w:t>A</w:t>
      </w:r>
      <w:r>
        <w:rPr>
          <w:b/>
          <w:color w:val="101820"/>
          <w:sz w:val="52"/>
        </w:rPr>
        <w:t>nnotálási feladat annotátorként</w:t>
      </w:r>
    </w:p>
    <w:p>
      <w:pPr>
        <w:pStyle w:val="Normal"/>
        <w:spacing w:before="0" w:after="280"/>
        <w:rPr/>
      </w:pPr>
      <w:r>
        <w:rPr>
          <w:color w:val="51636F"/>
          <w:sz w:val="24"/>
        </w:rPr>
        <w:t>Ez a dokumentáció nem a beépített gyakorló (Tutorial) módot mutatja be, hanem egy valóban kiosztott, valódi eseten dolgozó annotálási feladatot, elejétől a review lezárásáig — pontosan azt a menetet, amit egy valódi annotátor fiók lát, amikor bejelentkezik és ráoszt feladatot talál a My Jobs listáján.</w:t>
      </w:r>
    </w:p>
    <w:tbl>
      <w:tblPr>
        <w:tblStyle w:val="TableGrid"/>
        <w:tblW w:w="9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4"/>
        <w:gridCol w:w="4823"/>
      </w:tblGrid>
      <w:tr>
        <w:trPr/>
        <w:tc>
          <w:tcPr>
            <w:tcW w:w="4824" w:type="dxa"/>
            <w:tcBorders/>
            <w:shd w:fill="F2F6F8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51636F"/>
                <w:kern w:val="0"/>
                <w:sz w:val="20"/>
                <w:szCs w:val="22"/>
                <w:lang w:val="en-US" w:eastAsia="en-US" w:bidi="ar-SA"/>
              </w:rPr>
              <w:t>Elérés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F7C82"/>
                <w:kern w:val="0"/>
                <w:sz w:val="20"/>
                <w:szCs w:val="22"/>
                <w:lang w:val="en-US" w:eastAsia="en-US" w:bidi="ar-SA"/>
              </w:rPr>
              <w:t>[LINK]</w:t>
            </w:r>
          </w:p>
        </w:tc>
      </w:tr>
      <w:tr>
        <w:trPr/>
        <w:tc>
          <w:tcPr>
            <w:tcW w:w="4824" w:type="dxa"/>
            <w:tcBorders/>
            <w:shd w:fill="F2F6F8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51636F"/>
                <w:kern w:val="0"/>
                <w:sz w:val="20"/>
                <w:szCs w:val="22"/>
                <w:lang w:val="en-US" w:eastAsia="en-US" w:bidi="ar-SA"/>
              </w:rPr>
              <w:t>Felhasználónév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F7C82"/>
                <w:kern w:val="0"/>
                <w:sz w:val="20"/>
                <w:szCs w:val="22"/>
                <w:lang w:val="en-US" w:eastAsia="en-US" w:bidi="ar-SA"/>
              </w:rPr>
              <w:t>[ide írom]</w:t>
            </w:r>
          </w:p>
        </w:tc>
      </w:tr>
      <w:tr>
        <w:trPr/>
        <w:tc>
          <w:tcPr>
            <w:tcW w:w="4824" w:type="dxa"/>
            <w:tcBorders/>
            <w:shd w:fill="F2F6F8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51636F"/>
                <w:kern w:val="0"/>
                <w:sz w:val="20"/>
                <w:szCs w:val="22"/>
                <w:lang w:val="en-US" w:eastAsia="en-US" w:bidi="ar-SA"/>
              </w:rPr>
              <w:t>Jelszó</w:t>
            </w:r>
          </w:p>
        </w:tc>
        <w:tc>
          <w:tcPr>
            <w:tcW w:w="4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F7C82"/>
                <w:kern w:val="0"/>
                <w:sz w:val="20"/>
                <w:szCs w:val="22"/>
                <w:lang w:val="en-US" w:eastAsia="en-US" w:bidi="ar-SA"/>
              </w:rPr>
              <w:t>[ide írom]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48"/>
      </w:tblGrid>
      <w:tr>
        <w:trPr/>
        <w:tc>
          <w:tcPr>
            <w:tcW w:w="9648" w:type="dxa"/>
            <w:tcBorders/>
            <w:shd w:fill="FBE7E5" w:val="clear"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>
                <w:color w:val="101820"/>
                <w:sz w:val="22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color w:val="0F7C82"/>
          <w:sz w:val="30"/>
        </w:rPr>
        <w:t>01.  Bejelentkezés annotátorként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>Az annotátor szerepkörű fiókkal bejelentkezve a rendszer ugyanazt a bejelentkező képernyőt mutatja, mint bárki másnak — a szerepkör a bejelentkezés után határozza meg, milyen feladatok látszanak.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7146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Bejelentkezés annotátorként</w:t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02.  A kiosztott feladat a My Jobs listán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A </w:t>
      </w:r>
      <w:r>
        <w:rPr>
          <w:b/>
          <w:color w:val="C06A17"/>
          <w:sz w:val="22"/>
        </w:rPr>
        <w:t>My Jobs</w:t>
      </w:r>
      <w:r>
        <w:rPr>
          <w:color w:val="51636F"/>
          <w:sz w:val="22"/>
        </w:rPr>
        <w:t xml:space="preserve"> oldalon a valóban rád oszott annotálási feladatok listázva jelennek meg, elkülönítve a mindig elérhető gyakorló (Tutorial) kártyától. Egy feladatra kattintva megnyílik a hozzá tartozó eset részletes nézete.</w:t>
      </w:r>
    </w:p>
    <w:tbl>
      <w:tblPr>
        <w:tblW w:w="96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4"/>
        <w:gridCol w:w="4823"/>
      </w:tblGrid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3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My Jobs — valós, kiosztott feladatok</w:t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A kiválasztott feladat részletei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03.  Az eset és a valódi CT-sorozat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A feladathoz tartozó eset oldalán látható a valós DICOM-sorozat metaadata és az </w:t>
      </w:r>
      <w:r>
        <w:rPr>
          <w:b/>
          <w:color w:val="C06A17"/>
          <w:sz w:val="22"/>
        </w:rPr>
        <w:t>Open in Viewer</w:t>
      </w:r>
      <w:r>
        <w:rPr>
          <w:color w:val="51636F"/>
          <w:sz w:val="22"/>
        </w:rPr>
        <w:t xml:space="preserve"> gomb, amivel megnyitható a képi nézet.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2011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Eset részletek a valós DICOM-sorozattal</w:t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04.  A viewer megnyitása a valós CT-vel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>A viewer a tényleges CT-szeleteket tölti be mindhárom (sagittalis, coronalis, axialis) síkban.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2011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A valós CT-sorozat betöltve a három MPR nézeten</w:t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05.  Címke és eszköz kiválasztása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A bal oldali objektumlistában kiválasztjuk a megfelelő címkét — ebben a példában </w:t>
      </w:r>
      <w:r>
        <w:rPr>
          <w:b/>
          <w:color w:val="C06A17"/>
          <w:sz w:val="22"/>
        </w:rPr>
        <w:t>Nodule</w:t>
      </w:r>
      <w:r>
        <w:rPr>
          <w:color w:val="51636F"/>
          <w:sz w:val="22"/>
        </w:rPr>
        <w:t xml:space="preserve"> → </w:t>
      </w:r>
      <w:r>
        <w:rPr>
          <w:b/>
          <w:color w:val="C06A17"/>
          <w:sz w:val="22"/>
        </w:rPr>
        <w:t>Nodule 1</w:t>
      </w:r>
      <w:r>
        <w:rPr>
          <w:color w:val="51636F"/>
          <w:sz w:val="22"/>
        </w:rPr>
        <w:t xml:space="preserve"> —, majd a </w:t>
      </w:r>
      <w:r>
        <w:rPr>
          <w:b/>
          <w:color w:val="C06A17"/>
          <w:sz w:val="22"/>
        </w:rPr>
        <w:t>Paint</w:t>
      </w:r>
      <w:r>
        <w:rPr>
          <w:color w:val="51636F"/>
          <w:sz w:val="22"/>
        </w:rPr>
        <w:t xml:space="preserve"> eszközt aktíváljuk. A megfelelő ablak/szint preset (itt: Lung) kiválasztása segít a struktúra jobb láthatóságában.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2011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Címke és Paint eszköz kiválasztva, Lung ablak-preset</w:t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06.  A bejelölés elkészítése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>Húzással körberajzoljuk a releváns struktúrát a valós anatómián — a bejelölés azonnal megjelenik az objektum maszkjaként, és a többi nézeten is követhető.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2011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A ténylegesen elkészített bejelölés</w:t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07.  Beküldés review-ra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Amikor a bejelölés kész, a </w:t>
      </w:r>
      <w:r>
        <w:rPr>
          <w:b/>
          <w:color w:val="C06A17"/>
          <w:sz w:val="22"/>
        </w:rPr>
        <w:t>Mark as Annotated</w:t>
      </w:r>
      <w:r>
        <w:rPr>
          <w:color w:val="51636F"/>
          <w:sz w:val="22"/>
        </w:rPr>
        <w:t xml:space="preserve"> gombbal küldjük be a munkát — ekkor az eset átkerül a review-s feladatlistájára, és a job státusza készre vált.</w:t>
      </w:r>
    </w:p>
    <w:tbl>
      <w:tblPr>
        <w:tblW w:w="96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4"/>
        <w:gridCol w:w="4823"/>
      </w:tblGrid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8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9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A Mark as Annotated gomb, festés után aktív</w:t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Beküldve — a feladat késznek jelölve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08.  Reviewer bejelentkezés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>A reviewer szerepkörű fiókkal bejelentkezve már a beérkezett, elbírálásra váró munka látható.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71462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Bejelentkezés reviewerként</w:t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09.  A review feladat megnyitása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A reviewer saját </w:t>
      </w:r>
      <w:r>
        <w:rPr>
          <w:b/>
          <w:color w:val="C06A17"/>
          <w:sz w:val="22"/>
        </w:rPr>
        <w:t>My Jobs</w:t>
      </w:r>
      <w:r>
        <w:rPr>
          <w:color w:val="51636F"/>
          <w:sz w:val="22"/>
        </w:rPr>
        <w:t xml:space="preserve"> listáján megjelenik a most beérkezett review feladat, amire kattintva a hozzá tartozó eset részletei nyílnak meg.</w:t>
      </w:r>
    </w:p>
    <w:tbl>
      <w:tblPr>
        <w:tblW w:w="96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4"/>
        <w:gridCol w:w="4823"/>
      </w:tblGrid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11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12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A beérkezett review feladat a listán</w:t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A review feladat részletei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10.  Az objektum elbírálása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A review nézetben megjelenik az annotátor által beküldött </w:t>
      </w:r>
      <w:r>
        <w:rPr>
          <w:b/>
          <w:color w:val="C06A17"/>
          <w:sz w:val="22"/>
        </w:rPr>
        <w:t>Nodule 1</w:t>
      </w:r>
      <w:r>
        <w:rPr>
          <w:color w:val="51636F"/>
          <w:sz w:val="22"/>
        </w:rPr>
        <w:t xml:space="preserve"> objektum, </w:t>
      </w:r>
      <w:r>
        <w:rPr>
          <w:b/>
          <w:color w:val="C06A17"/>
          <w:sz w:val="22"/>
        </w:rPr>
        <w:t>PENDING</w:t>
      </w:r>
      <w:r>
        <w:rPr>
          <w:color w:val="51636F"/>
          <w:sz w:val="22"/>
        </w:rPr>
        <w:t xml:space="preserve"> állapotban. A reviewer az </w:t>
      </w:r>
      <w:r>
        <w:rPr>
          <w:b/>
          <w:color w:val="C06A17"/>
          <w:sz w:val="22"/>
        </w:rPr>
        <w:t>Accept</w:t>
      </w:r>
      <w:r>
        <w:rPr>
          <w:color w:val="51636F"/>
          <w:sz w:val="22"/>
        </w:rPr>
        <w:t xml:space="preserve"> vagy </w:t>
      </w:r>
      <w:r>
        <w:rPr>
          <w:b/>
          <w:color w:val="C06A17"/>
          <w:sz w:val="22"/>
        </w:rPr>
        <w:t>Reject</w:t>
      </w:r>
      <w:r>
        <w:rPr>
          <w:color w:val="51636F"/>
          <w:sz w:val="22"/>
        </w:rPr>
        <w:t xml:space="preserve"> gombbal dönt — ebben a példában elfogadás történt.</w:t>
      </w:r>
    </w:p>
    <w:tbl>
      <w:tblPr>
        <w:tblW w:w="96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4"/>
        <w:gridCol w:w="4823"/>
      </w:tblGrid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13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743200" cy="1628775"/>
                  <wp:effectExtent l="0" t="0" r="0" b="0"/>
                  <wp:docPr id="14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24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Az objektum elbírálásra várva (PENDING)</w:t>
            </w:r>
          </w:p>
        </w:tc>
        <w:tc>
          <w:tcPr>
            <w:tcW w:w="4823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color w:val="86949E"/>
                <w:sz w:val="18"/>
              </w:rPr>
              <w:t>A döntés után: ACCEPTED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400" w:after="120"/>
        <w:rPr/>
      </w:pPr>
      <w:r>
        <w:rPr>
          <w:b/>
          <w:color w:val="0F7C82"/>
          <w:sz w:val="30"/>
        </w:rPr>
        <w:t>11.  Review beküldése</w:t>
      </w:r>
    </w:p>
    <w:p>
      <w:pPr>
        <w:pStyle w:val="Normal"/>
        <w:spacing w:before="0" w:after="240"/>
        <w:rPr/>
      </w:pPr>
      <w:r>
        <w:rPr>
          <w:color w:val="51636F"/>
          <w:sz w:val="22"/>
        </w:rPr>
        <w:t xml:space="preserve">Minden objektum elbírálása után a </w:t>
      </w:r>
      <w:r>
        <w:rPr>
          <w:b/>
          <w:color w:val="C06A17"/>
          <w:sz w:val="22"/>
        </w:rPr>
        <w:t>Submit review</w:t>
      </w:r>
      <w:r>
        <w:rPr>
          <w:color w:val="51636F"/>
          <w:sz w:val="22"/>
        </w:rPr>
        <w:t xml:space="preserve"> gombbal zárul a folyamat — a job késznek minősül, és az elfogadott munka a study elfogadott adathalmazának részévé válik.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37760" cy="293179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20"/>
        <w:jc w:val="center"/>
        <w:rPr/>
      </w:pPr>
      <w:r>
        <w:rPr>
          <w:i/>
          <w:color w:val="86949E"/>
          <w:sz w:val="18"/>
        </w:rPr>
        <w:t>A beküldött review — a job készen</w:t>
      </w:r>
    </w:p>
    <w:p>
      <w:pPr>
        <w:pStyle w:val="Normal"/>
        <w:spacing w:before="320" w:after="120"/>
        <w:rPr/>
      </w:pPr>
      <w:r>
        <w:rPr>
          <w:i/>
          <w:color w:val="51636F"/>
          <w:sz w:val="21"/>
        </w:rPr>
        <w:t>Ez a két szerepkör — annotátor és reviewer — egymást követve alkotja a rendszer alap munkafolyamatát. A gyakorláshoz használható a mindig elérhető Tutorial kártya is, valós feladatnál azonban ez a menet zajlik le. Amit közben furcsának vagy hibásnak találsz, jelezd, lehetőleg azzal együtt, mit csináltál pontosan.</w:t>
      </w:r>
    </w:p>
    <w:sectPr>
      <w:type w:val="nextPage"/>
      <w:pgSz w:w="12240" w:h="15840"/>
      <w:pgMar w:left="1296" w:right="1296" w:gutter="0" w:header="0" w:top="1296" w:footer="0" w:bottom="12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left"/>
    </w:pPr>
    <w:rPr>
      <w:rFonts w:ascii="Calibri" w:hAnsi="Calibri" w:eastAsia="ＭＳ 明朝" w:cs=""/>
      <w:color w:val="10182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7</Pages>
  <Words>479</Words>
  <Characters>2880</Characters>
  <CharactersWithSpaces>3335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2026-09-17T16:34:29Z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