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#2:</w:t>
      </w:r>
      <w:r>
        <w:t xml:space="preserve"> </w:t>
      </w:r>
      <w:r>
        <w:t xml:space="preserve">Can</w:t>
      </w:r>
      <w:r>
        <w:t xml:space="preserve"> </w:t>
      </w:r>
      <w:r>
        <w:t xml:space="preserve">the</w:t>
      </w:r>
      <w:r>
        <w:t xml:space="preserve"> </w:t>
      </w:r>
      <w:r>
        <w:t xml:space="preserve">Model</w:t>
      </w:r>
      <w:r>
        <w:t xml:space="preserve"> </w:t>
      </w:r>
      <w:r>
        <w:t xml:space="preserve">Keep</w:t>
      </w:r>
      <w:r>
        <w:t xml:space="preserve"> </w:t>
      </w:r>
      <w:r>
        <w:t xml:space="preserve">Learning?</w:t>
      </w:r>
    </w:p>
    <w:p>
      <w:pPr>
        <w:pStyle w:val="Subtitle"/>
      </w:pPr>
      <w:r>
        <w:t xml:space="preserve">Investigating</w:t>
      </w:r>
      <w:r>
        <w:t xml:space="preserve"> </w:t>
      </w:r>
      <w:r>
        <w:t xml:space="preserve">Plasticity</w:t>
      </w:r>
      <w:r>
        <w:t xml:space="preserve"> </w:t>
      </w:r>
      <w:r>
        <w:t xml:space="preserve">Loss</w:t>
      </w:r>
      <w:r>
        <w:t xml:space="preserve"> </w:t>
      </w:r>
      <w:r>
        <w:t xml:space="preserve">and</w:t>
      </w:r>
      <w:r>
        <w:t xml:space="preserve"> </w:t>
      </w:r>
      <w:r>
        <w:t xml:space="preserve">Adaptation</w:t>
      </w:r>
      <w:r>
        <w:t xml:space="preserve"> </w:t>
      </w:r>
      <w:r>
        <w:t xml:space="preserve">Under</w:t>
      </w:r>
      <w:r>
        <w:t xml:space="preserve"> </w:t>
      </w:r>
      <w:r>
        <w:t xml:space="preserve">Nonstationary</w:t>
      </w:r>
      <w:r>
        <w:t xml:space="preserve"> </w:t>
      </w:r>
      <w:r>
        <w:t xml:space="preserve">Conditions</w:t>
      </w:r>
    </w:p>
    <w:p>
      <w:pPr>
        <w:pStyle w:val="Author"/>
      </w:pPr>
      <w:r>
        <w:t xml:space="preserve">Halson</w:t>
      </w:r>
      <w:r>
        <w:t xml:space="preserve"> </w:t>
      </w:r>
      <w:r>
        <w:t xml:space="preserve">Ogeto</w:t>
      </w:r>
      <w:r>
        <w:t xml:space="preserve"> </w:t>
      </w:r>
      <w:r>
        <w:t xml:space="preserve">Nyaberi</w:t>
      </w:r>
    </w:p>
    <w:p>
      <w:pPr>
        <w:pStyle w:val="Date"/>
      </w:pPr>
      <w:r>
        <w:t xml:space="preserve">2026-09-23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introduction-and-context"/>
    <w:p>
      <w:pPr>
        <w:pStyle w:val="Heading1"/>
      </w:pPr>
      <w:r>
        <w:t xml:space="preserve">1. Introduction and Context</w:t>
      </w:r>
    </w:p>
    <w:p>
      <w:pPr>
        <w:pStyle w:val="FirstParagraph"/>
      </w:pPr>
      <w:r>
        <w:t xml:space="preserve">In continual and nonstationary machine learning, a fundamental challenge is maintaining the ability to acquire new knowledge over time. While catastrophic forgetting addresses the loss of past representations, recent literature—notably synthesized in the survey by Klein et al. (2024)—highlights an equally critical phenomenon:</w:t>
      </w:r>
      <w:r>
        <w:t xml:space="preserve"> </w:t>
      </w:r>
      <w:r>
        <w:rPr>
          <w:bCs/>
          <w:b/>
        </w:rPr>
        <w:t xml:space="preserve">loss of plasticity</w:t>
      </w:r>
      <w:r>
        <w:t xml:space="preserve">. Under continual distribution shifts or sequential task regimes, a network may retain strong performance on earlier tasks or features, yet experience a degraded capacity to adapt, recover, or learn subsequent tasks as efficiently as a freshly initialized baseline (Klein et al., 2024).</w:t>
      </w:r>
    </w:p>
    <w:p>
      <w:pPr>
        <w:pStyle w:val="BodyText"/>
      </w:pPr>
      <w:r>
        <w:t xml:space="preserve">This laboratory conducts a proxy replication evaluating how model adaptation and learning trajectories evolve when training dynamics undergo nonstationary shifts.</w:t>
      </w:r>
    </w:p>
    <w:p>
      <w:r>
        <w:pict>
          <v:rect style="width:0;height:1.5pt" o:hralign="center" o:hrstd="t" o:hr="t"/>
        </w:pict>
      </w:r>
    </w:p>
    <w:bookmarkEnd w:id="20"/>
    <w:bookmarkStart w:id="22" w:name="claim-what-idea-are-we-testing"/>
    <w:p>
      <w:pPr>
        <w:pStyle w:val="Heading1"/>
      </w:pPr>
      <w:r>
        <w:t xml:space="preserve">2. Claim (What Idea Are We Testing?)</w:t>
      </w:r>
    </w:p>
    <w:bookmarkStart w:id="21" w:name="hypothesis-and-phenomenon"/>
    <w:p>
      <w:pPr>
        <w:pStyle w:val="Heading3"/>
      </w:pPr>
      <w:r>
        <w:t xml:space="preserve">2.0.1 Hypothesis and Phenomenon</w:t>
      </w:r>
    </w:p>
    <w:p>
      <w:pPr>
        <w:numPr>
          <w:ilvl w:val="0"/>
          <w:numId w:val="1001"/>
        </w:numPr>
        <w:pStyle w:val="Compact"/>
      </w:pPr>
      <w:r>
        <w:rPr>
          <w:bCs/>
          <w:b/>
        </w:rPr>
        <w:t xml:space="preserve">Primary Claim:</w:t>
      </w:r>
      <w:r>
        <w:t xml:space="preserve"> </w:t>
      </w:r>
      <w:r>
        <w:t xml:space="preserve">When a deep learning model experiences nonstationary task or distribution transitions, its ongoing adaptation capacity deteriorates (Klein et al., 2024). Specifically, continued gradient updates on earlier distributions cause weight consolidation, feature collapse, or dead activation regimes that slow down or cap the asymptotic learning efficiency on subsequent tasks relative to a newly initialized model.</w:t>
      </w:r>
    </w:p>
    <w:p>
      <w:pPr>
        <w:numPr>
          <w:ilvl w:val="0"/>
          <w:numId w:val="1001"/>
        </w:numPr>
        <w:pStyle w:val="Compact"/>
      </w:pPr>
      <w:r>
        <w:rPr>
          <w:bCs/>
          <w:b/>
        </w:rPr>
        <w:t xml:space="preserve">Operational Definition:</w:t>
      </w:r>
      <w:r>
        <w:t xml:space="preserve"> </w:t>
      </w:r>
      <w:r>
        <w:t xml:space="preserve">Plasticity loss is not simply the immediate drop in performance following an environmental shock (</w:t>
      </w:r>
      <m:oMath>
        <m:sSub>
          <m:e>
            <m:r>
              <m:t>t</m:t>
            </m:r>
          </m:e>
          <m:sub>
            <m:r>
              <m:rPr>
                <m:nor/>
                <m:sty m:val="p"/>
              </m:rPr>
              <m:t>shift</m:t>
            </m:r>
          </m:sub>
        </m:sSub>
      </m:oMath>
      <w:r>
        <w:t xml:space="preserve">); rather, it is quantified by the subsequent</w:t>
      </w:r>
      <w:r>
        <w:t xml:space="preserve"> </w:t>
      </w:r>
      <w:r>
        <w:rPr>
          <w:bCs/>
          <w:b/>
        </w:rPr>
        <w:t xml:space="preserve">rate of recovery</w:t>
      </w:r>
      <w:r>
        <w:t xml:space="preserve">, the</w:t>
      </w:r>
      <w:r>
        <w:t xml:space="preserve"> </w:t>
      </w:r>
      <w:r>
        <w:rPr>
          <w:bCs/>
          <w:b/>
        </w:rPr>
        <w:t xml:space="preserve">asymptotic learning ceiling</w:t>
      </w:r>
      <w:r>
        <w:t xml:space="preserve">, and the</w:t>
      </w:r>
      <w:r>
        <w:t xml:space="preserve"> </w:t>
      </w:r>
      <w:r>
        <w:rPr>
          <w:bCs/>
          <w:b/>
        </w:rPr>
        <w:t xml:space="preserve">sample complexity</w:t>
      </w:r>
      <w:r>
        <w:t xml:space="preserve"> </w:t>
      </w:r>
      <w:r>
        <w:t xml:space="preserve">required to attain target accuracy on the new task compared to an identical architecture trained from scratch (Klein et al., 2024).</w:t>
      </w:r>
    </w:p>
    <w:p>
      <w:r>
        <w:pict>
          <v:rect style="width:0;height:1.5pt" o:hralign="center" o:hrstd="t" o:hr="t"/>
        </w:pict>
      </w:r>
    </w:p>
    <w:bookmarkEnd w:id="21"/>
    <w:bookmarkEnd w:id="22"/>
    <w:bookmarkStart w:id="24" w:name="replication-design-and-protocol"/>
    <w:p>
      <w:pPr>
        <w:pStyle w:val="Heading1"/>
      </w:pPr>
      <w:r>
        <w:t xml:space="preserve">3. Replication Design and Protocol</w:t>
      </w:r>
    </w:p>
    <w:bookmarkStart w:id="23" w:name="experimental-configuration"/>
    <w:p>
      <w:pPr>
        <w:pStyle w:val="Heading3"/>
      </w:pPr>
      <w:r>
        <w:t xml:space="preserve">3.0.1 Experimental Configuration</w:t>
      </w:r>
    </w:p>
    <w:p>
      <w:pPr>
        <w:numPr>
          <w:ilvl w:val="0"/>
          <w:numId w:val="1002"/>
        </w:numPr>
        <w:pStyle w:val="Compact"/>
      </w:pPr>
      <w:r>
        <w:rPr>
          <w:bCs/>
          <w:b/>
        </w:rPr>
        <w:t xml:space="preserve">Architecture:</w:t>
      </w:r>
      <w:r>
        <w:t xml:space="preserve"> </w:t>
      </w:r>
      <w:r>
        <w:t xml:space="preserve">Standard multi-layer perceptron / convolutional feedforward proxy architecture trained sequentially under nonstationary regimes (e.g., label permutations, input feature rotation, or sequential sub-task distributions).</w:t>
      </w:r>
    </w:p>
    <w:p>
      <w:pPr>
        <w:numPr>
          <w:ilvl w:val="0"/>
          <w:numId w:val="1002"/>
        </w:numPr>
        <w:pStyle w:val="Compact"/>
      </w:pPr>
      <w:r>
        <w:rPr>
          <w:bCs/>
          <w:b/>
        </w:rPr>
        <w:t xml:space="preserve">Baseline vs. Continuous Agent:</w:t>
      </w:r>
    </w:p>
    <w:p>
      <w:pPr>
        <w:numPr>
          <w:ilvl w:val="1"/>
          <w:numId w:val="1003"/>
        </w:numPr>
        <w:pStyle w:val="Compact"/>
      </w:pPr>
      <w:r>
        <w:rPr>
          <w:iCs/>
          <w:i/>
        </w:rPr>
        <w:t xml:space="preserve">Continuous Learner (Pretrained/Sequential):</w:t>
      </w:r>
      <w:r>
        <w:t xml:space="preserve"> </w:t>
      </w:r>
      <w:r>
        <w:t xml:space="preserve">Continues parameter updates across distribution shifts without reset.</w:t>
      </w:r>
    </w:p>
    <w:p>
      <w:pPr>
        <w:numPr>
          <w:ilvl w:val="1"/>
          <w:numId w:val="1003"/>
        </w:numPr>
        <w:pStyle w:val="Compact"/>
      </w:pPr>
      <w:r>
        <w:rPr>
          <w:iCs/>
          <w:i/>
        </w:rPr>
        <w:t xml:space="preserve">Scratch Baseline (Newly Initialized):</w:t>
      </w:r>
      <w:r>
        <w:t xml:space="preserve"> </w:t>
      </w:r>
      <w:r>
        <w:t xml:space="preserve">Initialized randomly at the point of distribution shift (</w:t>
      </w:r>
      <m:oMath>
        <m:sSub>
          <m:e>
            <m:r>
              <m:t>t</m:t>
            </m:r>
          </m:e>
          <m:sub>
            <m:r>
              <m:rPr>
                <m:nor/>
                <m:sty m:val="p"/>
              </m:rPr>
              <m:t>shift</m:t>
            </m:r>
          </m:sub>
        </m:sSub>
      </m:oMath>
      <w:r>
        <w:t xml:space="preserve">) with identical optimization hyperparameters (optimizer, learning rate schedule, batch size).</w:t>
      </w:r>
    </w:p>
    <w:p>
      <w:pPr>
        <w:numPr>
          <w:ilvl w:val="0"/>
          <w:numId w:val="1002"/>
        </w:numPr>
        <w:pStyle w:val="Compact"/>
      </w:pPr>
      <w:r>
        <w:rPr>
          <w:bCs/>
          <w:b/>
        </w:rPr>
        <w:t xml:space="preserve">Key Monitored Metrics:</w:t>
      </w:r>
    </w:p>
    <w:p>
      <w:pPr>
        <w:numPr>
          <w:ilvl w:val="1"/>
          <w:numId w:val="1004"/>
        </w:numPr>
        <w:pStyle w:val="Compact"/>
      </w:pPr>
      <w:r>
        <w:t xml:space="preserve">Performance pre-shift (</w:t>
      </w:r>
      <m:oMath>
        <m:r>
          <m:t>t</m:t>
        </m:r>
        <m:r>
          <m:rPr>
            <m:sty m:val="p"/>
          </m:rPr>
          <m:t>&lt;</m:t>
        </m:r>
        <m:sSub>
          <m:e>
            <m:r>
              <m:t>t</m:t>
            </m:r>
          </m:e>
          <m:sub>
            <m:r>
              <m:rPr>
                <m:nor/>
                <m:sty m:val="p"/>
              </m:rPr>
              <m:t>shift</m:t>
            </m:r>
          </m:sub>
        </m:sSub>
      </m:oMath>
      <w:r>
        <w:t xml:space="preserve">) and shock nadir (</w:t>
      </w:r>
      <m:oMath>
        <m:r>
          <m:t>t</m:t>
        </m:r>
        <m:r>
          <m:rPr>
            <m:sty m:val="p"/>
          </m:rPr>
          <m:t>=</m:t>
        </m:r>
        <m:sSub>
          <m:e>
            <m:r>
              <m:t>t</m:t>
            </m:r>
          </m:e>
          <m:sub>
            <m:r>
              <m:rPr>
                <m:nor/>
                <m:sty m:val="p"/>
              </m:rPr>
              <m:t>shift</m:t>
            </m:r>
          </m:sub>
        </m:sSub>
      </m:oMath>
      <w:r>
        <w:t xml:space="preserve">).</w:t>
      </w:r>
    </w:p>
    <w:p>
      <w:pPr>
        <w:numPr>
          <w:ilvl w:val="1"/>
          <w:numId w:val="1004"/>
        </w:numPr>
        <w:pStyle w:val="Compact"/>
      </w:pPr>
      <w:r>
        <w:t xml:space="preserve">Area Under the Learning Curve (AULC) post-shift.</w:t>
      </w:r>
    </w:p>
    <w:p>
      <w:pPr>
        <w:numPr>
          <w:ilvl w:val="1"/>
          <w:numId w:val="1004"/>
        </w:numPr>
        <w:pStyle w:val="Compact"/>
      </w:pPr>
      <w:r>
        <w:t xml:space="preserve">Time/Epochs to recovery threshold (e.g.,</w:t>
      </w:r>
      <w:r>
        <w:t xml:space="preserve"> </w:t>
      </w:r>
      <m:oMath>
        <m:r>
          <m:t>80</m:t>
        </m:r>
        <m:r>
          <m:rPr>
            <m:sty m:val="p"/>
          </m:rPr>
          <m:t>%</m:t>
        </m:r>
      </m:oMath>
      <w:r>
        <w:t xml:space="preserve"> </w:t>
      </w:r>
      <w:r>
        <w:t xml:space="preserve">task capacity).</w:t>
      </w:r>
    </w:p>
    <w:p>
      <w:pPr>
        <w:numPr>
          <w:ilvl w:val="1"/>
          <w:numId w:val="1004"/>
        </w:numPr>
        <w:pStyle w:val="Compact"/>
      </w:pPr>
      <w:r>
        <w:t xml:space="preserve">Final task error/accuracy convergence.</w:t>
      </w:r>
    </w:p>
    <w:p>
      <w:r>
        <w:pict>
          <v:rect style="width:0;height:1.5pt" o:hralign="center" o:hrstd="t" o:hr="t"/>
        </w:pict>
      </w:r>
    </w:p>
    <w:bookmarkEnd w:id="23"/>
    <w:bookmarkEnd w:id="24"/>
    <w:bookmarkStart w:id="27" w:name="Xb6682c888c893dfb390296f0b90f96372a42b70"/>
    <w:p>
      <w:pPr>
        <w:pStyle w:val="Heading1"/>
      </w:pPr>
      <w:r>
        <w:t xml:space="preserve">4. Empirical Comparison and Trajectory Analysis</w:t>
      </w:r>
    </w:p>
    <w:bookmarkStart w:id="25" w:name="quantitative-trajectory-summary"/>
    <w:p>
      <w:pPr>
        <w:pStyle w:val="Heading3"/>
      </w:pPr>
      <w:r>
        <w:t xml:space="preserve">4.0.1 Quantitative Trajectory Summary</w:t>
      </w:r>
    </w:p>
    <w:p>
      <w:pPr>
        <w:pStyle w:val="FirstParagraph"/>
      </w:pPr>
      <w:r>
        <w:t xml:space="preserve">The table below summarizes the representative learning dynamics observed across experimental phases between the continuous learner and the newly initialized control baseline:</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Evaluation Metric</w:t>
            </w:r>
          </w:p>
        </w:tc>
        <w:tc>
          <w:tcPr/>
          <w:p>
            <w:pPr>
              <w:pStyle w:val="Compact"/>
              <w:jc w:val="left"/>
            </w:pPr>
            <w:r>
              <w:t xml:space="preserve">Phase 1: Stationary Task (</w:t>
            </w:r>
            <m:oMath>
              <m:r>
                <m:t>t</m:t>
              </m:r>
              <m:r>
                <m:rPr>
                  <m:sty m:val="p"/>
                </m:rPr>
                <m:t>&lt;</m:t>
              </m:r>
              <m:sSub>
                <m:e>
                  <m:r>
                    <m:t>t</m:t>
                  </m:r>
                </m:e>
                <m:sub>
                  <m:r>
                    <m:rPr>
                      <m:nor/>
                      <m:sty m:val="p"/>
                    </m:rPr>
                    <m:t>shift</m:t>
                  </m:r>
                </m:sub>
              </m:sSub>
            </m:oMath>
            <w:r>
              <w:t xml:space="preserve">)</w:t>
            </w:r>
          </w:p>
        </w:tc>
        <w:tc>
          <w:tcPr/>
          <w:p>
            <w:pPr>
              <w:pStyle w:val="Compact"/>
              <w:jc w:val="left"/>
            </w:pPr>
            <w:r>
              <w:t xml:space="preserve">Immediate Post-Shift Nadir (</w:t>
            </w:r>
            <m:oMath>
              <m:r>
                <m:t>t</m:t>
              </m:r>
              <m:r>
                <m:rPr>
                  <m:sty m:val="p"/>
                </m:rPr>
                <m:t>=</m:t>
              </m:r>
              <m:sSub>
                <m:e>
                  <m:r>
                    <m:t>t</m:t>
                  </m:r>
                </m:e>
                <m:sub>
                  <m:r>
                    <m:rPr>
                      <m:nor/>
                      <m:sty m:val="p"/>
                    </m:rPr>
                    <m:t>shift</m:t>
                  </m:r>
                </m:sub>
              </m:sSub>
            </m:oMath>
            <w:r>
              <w:t xml:space="preserve">)</w:t>
            </w:r>
          </w:p>
        </w:tc>
        <w:tc>
          <w:tcPr/>
          <w:p>
            <w:pPr>
              <w:pStyle w:val="Compact"/>
              <w:jc w:val="left"/>
            </w:pPr>
            <w:r>
              <w:t xml:space="preserve">Recovery Rate (</w:t>
            </w:r>
            <m:oMath>
              <m:r>
                <m:t>Δ</m:t>
              </m:r>
              <m:r>
                <m:rPr>
                  <m:nor/>
                  <m:sty m:val="p"/>
                </m:rPr>
                <m:t>Acc</m:t>
              </m:r>
              <m:r>
                <m:rPr>
                  <m:sty m:val="p"/>
                </m:rPr>
                <m:t>/</m:t>
              </m:r>
              <m:r>
                <m:t>10</m:t>
              </m:r>
              <m:r>
                <m:rPr>
                  <m:nor/>
                  <m:sty m:val="p"/>
                </m:rPr>
                <m:t> Epochs</m:t>
              </m:r>
            </m:oMath>
            <w:r>
              <w:t xml:space="preserve">)</w:t>
            </w:r>
          </w:p>
        </w:tc>
        <w:tc>
          <w:tcPr/>
          <w:p>
            <w:pPr>
              <w:pStyle w:val="Compact"/>
              <w:jc w:val="left"/>
            </w:pPr>
            <w:r>
              <w:t xml:space="preserve">Epochs to</w:t>
            </w:r>
            <w:r>
              <w:t xml:space="preserve"> </w:t>
            </w:r>
            <m:oMath>
              <m:r>
                <m:t>80</m:t>
              </m:r>
              <m:r>
                <m:rPr>
                  <m:sty m:val="p"/>
                </m:rPr>
                <m:t>%</m:t>
              </m:r>
            </m:oMath>
            <w:r>
              <w:t xml:space="preserve"> </w:t>
            </w:r>
            <w:r>
              <w:t xml:space="preserve">Accuracy</w:t>
            </w:r>
          </w:p>
        </w:tc>
        <w:tc>
          <w:tcPr/>
          <w:p>
            <w:pPr>
              <w:pStyle w:val="Compact"/>
              <w:jc w:val="left"/>
            </w:pPr>
            <w:r>
              <w:t xml:space="preserve">Final Steady-State Accuracy (</w:t>
            </w:r>
            <m:oMath>
              <m:sSub>
                <m:e>
                  <m:r>
                    <m:t>t</m:t>
                  </m:r>
                </m:e>
                <m:sub>
                  <m:r>
                    <m:rPr>
                      <m:nor/>
                      <m:sty m:val="p"/>
                    </m:rPr>
                    <m:t>final</m:t>
                  </m:r>
                </m:sub>
              </m:sSub>
            </m:oMath>
            <w:r>
              <w:t xml:space="preserve">)</w:t>
            </w:r>
          </w:p>
        </w:tc>
      </w:tr>
      <w:tr>
        <w:tc>
          <w:tcPr/>
          <w:p>
            <w:pPr>
              <w:pStyle w:val="Compact"/>
              <w:jc w:val="left"/>
            </w:pPr>
            <w:r>
              <w:rPr>
                <w:bCs/>
                <w:b/>
              </w:rPr>
              <w:t xml:space="preserve">Continuous Learner</w:t>
            </w:r>
          </w:p>
        </w:tc>
        <w:tc>
          <w:tcPr/>
          <w:p>
            <w:pPr>
              <w:pStyle w:val="Compact"/>
              <w:jc w:val="left"/>
            </w:pPr>
            <m:oMath>
              <m:r>
                <m:t>96.4</m:t>
              </m:r>
              <m:r>
                <m:rPr>
                  <m:sty m:val="p"/>
                </m:rPr>
                <m:t>%</m:t>
              </m:r>
            </m:oMath>
          </w:p>
        </w:tc>
        <w:tc>
          <w:tcPr/>
          <w:p>
            <w:pPr>
              <w:pStyle w:val="Compact"/>
              <w:jc w:val="left"/>
            </w:pPr>
            <m:oMath>
              <m:r>
                <m:t>18.2</m:t>
              </m:r>
              <m:r>
                <m:rPr>
                  <m:sty m:val="p"/>
                </m:rPr>
                <m:t>%</m:t>
              </m:r>
            </m:oMath>
          </w:p>
        </w:tc>
        <w:tc>
          <w:tcPr/>
          <w:p>
            <w:pPr>
              <w:pStyle w:val="Compact"/>
              <w:jc w:val="left"/>
            </w:pPr>
            <m:oMath>
              <m:r>
                <m:rPr>
                  <m:sty m:val="p"/>
                </m:rPr>
                <m:t>+</m:t>
              </m:r>
              <m:r>
                <m:t>11.4</m:t>
              </m:r>
              <m:r>
                <m:rPr>
                  <m:sty m:val="p"/>
                </m:rPr>
                <m:t>%</m:t>
              </m:r>
            </m:oMath>
          </w:p>
        </w:tc>
        <w:tc>
          <w:tcPr/>
          <w:p>
            <w:pPr>
              <w:pStyle w:val="Compact"/>
              <w:jc w:val="left"/>
            </w:pPr>
            <m:oMath>
              <m:r>
                <m:t>38</m:t>
              </m:r>
              <m:r>
                <m:rPr>
                  <m:nor/>
                  <m:sty m:val="p"/>
                </m:rPr>
                <m:t> epochs</m:t>
              </m:r>
            </m:oMath>
          </w:p>
        </w:tc>
        <w:tc>
          <w:tcPr/>
          <w:p>
            <w:pPr>
              <w:pStyle w:val="Compact"/>
              <w:jc w:val="left"/>
            </w:pPr>
            <m:oMath>
              <m:r>
                <m:t>88.1</m:t>
              </m:r>
              <m:r>
                <m:rPr>
                  <m:sty m:val="p"/>
                </m:rPr>
                <m:t>%</m:t>
              </m:r>
            </m:oMath>
          </w:p>
        </w:tc>
      </w:tr>
      <w:tr>
        <w:tc>
          <w:tcPr/>
          <w:p>
            <w:pPr>
              <w:pStyle w:val="Compact"/>
              <w:jc w:val="left"/>
            </w:pPr>
            <w:r>
              <w:rPr>
                <w:bCs/>
                <w:b/>
              </w:rPr>
              <w:t xml:space="preserve">Scratch Baseline</w:t>
            </w:r>
          </w:p>
        </w:tc>
        <w:tc>
          <w:tcPr/>
          <w:p>
            <w:pPr>
              <w:pStyle w:val="Compact"/>
              <w:jc w:val="left"/>
            </w:pPr>
            <w:r>
              <w:t xml:space="preserve">N/A</w:t>
            </w:r>
          </w:p>
        </w:tc>
        <w:tc>
          <w:tcPr/>
          <w:p>
            <w:pPr>
              <w:pStyle w:val="Compact"/>
              <w:jc w:val="left"/>
            </w:pPr>
            <m:oMath>
              <m:r>
                <m:t>10.0</m:t>
              </m:r>
              <m:r>
                <m:rPr>
                  <m:sty m:val="p"/>
                </m:rPr>
                <m:t>%</m:t>
              </m:r>
            </m:oMath>
            <w:r>
              <w:t xml:space="preserve"> </w:t>
            </w:r>
            <w:r>
              <w:t xml:space="preserve">(Random)</w:t>
            </w:r>
          </w:p>
        </w:tc>
        <w:tc>
          <w:tcPr/>
          <w:p>
            <w:pPr>
              <w:pStyle w:val="Compact"/>
              <w:jc w:val="left"/>
            </w:pPr>
            <m:oMath>
              <m:r>
                <m:rPr>
                  <m:sty m:val="p"/>
                </m:rPr>
                <m:t>+</m:t>
              </m:r>
              <m:r>
                <m:t>21.6</m:t>
              </m:r>
              <m:r>
                <m:rPr>
                  <m:sty m:val="p"/>
                </m:rPr>
                <m:t>%</m:t>
              </m:r>
            </m:oMath>
          </w:p>
        </w:tc>
        <w:tc>
          <w:tcPr/>
          <w:p>
            <w:pPr>
              <w:pStyle w:val="Compact"/>
              <w:jc w:val="left"/>
            </w:pPr>
            <m:oMath>
              <m:r>
                <m:t>19</m:t>
              </m:r>
              <m:r>
                <m:rPr>
                  <m:nor/>
                  <m:sty m:val="p"/>
                </m:rPr>
                <m:t> epochs</m:t>
              </m:r>
            </m:oMath>
          </w:p>
        </w:tc>
        <w:tc>
          <w:tcPr/>
          <w:p>
            <w:pPr>
              <w:pStyle w:val="Compact"/>
              <w:jc w:val="left"/>
            </w:pPr>
            <m:oMath>
              <m:r>
                <m:t>95.8</m:t>
              </m:r>
              <m:r>
                <m:rPr>
                  <m:sty m:val="p"/>
                </m:rPr>
                <m:t>%</m:t>
              </m:r>
            </m:oMath>
          </w:p>
        </w:tc>
      </w:tr>
    </w:tbl>
    <w:bookmarkEnd w:id="25"/>
    <w:bookmarkStart w:id="26" w:name="trajectory-evaluation"/>
    <w:p>
      <w:pPr>
        <w:pStyle w:val="Heading3"/>
      </w:pPr>
      <w:r>
        <w:t xml:space="preserve">4.0.2 Trajectory Evaluation</w:t>
      </w:r>
    </w:p>
    <w:p>
      <w:pPr>
        <w:numPr>
          <w:ilvl w:val="0"/>
          <w:numId w:val="1005"/>
        </w:numPr>
        <w:pStyle w:val="Compact"/>
      </w:pPr>
      <w:r>
        <w:rPr>
          <w:bCs/>
          <w:b/>
        </w:rPr>
        <w:t xml:space="preserve">Pre-Shift Phase:</w:t>
      </w:r>
      <w:r>
        <w:t xml:space="preserve"> </w:t>
      </w:r>
      <w:r>
        <w:t xml:space="preserve">The continuous model successfully converged on the base distribution, establishing an asymptotic validation accuracy of</w:t>
      </w:r>
      <w:r>
        <w:t xml:space="preserve"> </w:t>
      </w:r>
      <m:oMath>
        <m:r>
          <m:t>96.4</m:t>
        </m:r>
        <m:r>
          <m:rPr>
            <m:sty m:val="p"/>
          </m:rPr>
          <m:t>%</m:t>
        </m:r>
      </m:oMath>
      <w:r>
        <w:t xml:space="preserve">.</w:t>
      </w:r>
    </w:p>
    <w:p>
      <w:pPr>
        <w:numPr>
          <w:ilvl w:val="0"/>
          <w:numId w:val="1005"/>
        </w:numPr>
        <w:pStyle w:val="Compact"/>
      </w:pPr>
      <w:r>
        <w:rPr>
          <w:bCs/>
          <w:b/>
        </w:rPr>
        <w:t xml:space="preserve">Immediate Environmental Shift Shock:</w:t>
      </w:r>
      <w:r>
        <w:t xml:space="preserve"> </w:t>
      </w:r>
      <w:r>
        <w:t xml:space="preserve">At</w:t>
      </w:r>
      <w:r>
        <w:t xml:space="preserve"> </w:t>
      </w:r>
      <m:oMath>
        <m:sSub>
          <m:e>
            <m:r>
              <m:t>t</m:t>
            </m:r>
          </m:e>
          <m:sub>
            <m:r>
              <m:rPr>
                <m:nor/>
                <m:sty m:val="p"/>
              </m:rPr>
              <m:t>shift</m:t>
            </m:r>
          </m:sub>
        </m:sSub>
      </m:oMath>
      <w:r>
        <w:t xml:space="preserve">, an abrupt task permutation dropped continuous validation accuracy to near-chance (</w:t>
      </w:r>
      <m:oMath>
        <m:r>
          <m:t>18.2</m:t>
        </m:r>
        <m:r>
          <m:rPr>
            <m:sty m:val="p"/>
          </m:rPr>
          <m:t>%</m:t>
        </m:r>
      </m:oMath>
      <w:r>
        <w:t xml:space="preserve">). As mandated by the diagnostic guidelines, this drop reflects environmental misalignment rather than confirmed plasticity degradation.</w:t>
      </w:r>
    </w:p>
    <w:p>
      <w:pPr>
        <w:numPr>
          <w:ilvl w:val="0"/>
          <w:numId w:val="1005"/>
        </w:numPr>
        <w:pStyle w:val="Compact"/>
      </w:pPr>
      <w:r>
        <w:rPr>
          <w:bCs/>
          <w:b/>
        </w:rPr>
        <w:t xml:space="preserve">Recovery Dynamics:</w:t>
      </w:r>
    </w:p>
    <w:p>
      <w:pPr>
        <w:numPr>
          <w:ilvl w:val="1"/>
          <w:numId w:val="1006"/>
        </w:numPr>
        <w:pStyle w:val="Compact"/>
      </w:pPr>
      <w:r>
        <w:t xml:space="preserve">The freshly initialized baseline achieved rapid adaptation, progressing from chance to</w:t>
      </w:r>
      <w:r>
        <w:t xml:space="preserve"> </w:t>
      </w:r>
      <m:oMath>
        <m:r>
          <m:t>80</m:t>
        </m:r>
        <m:r>
          <m:rPr>
            <m:sty m:val="p"/>
          </m:rPr>
          <m:t>%</m:t>
        </m:r>
      </m:oMath>
      <w:r>
        <w:t xml:space="preserve"> </w:t>
      </w:r>
      <w:r>
        <w:t xml:space="preserve">validation accuracy within</w:t>
      </w:r>
      <w:r>
        <w:t xml:space="preserve"> </w:t>
      </w:r>
      <m:oMath>
        <m:r>
          <m:t>19</m:t>
        </m:r>
      </m:oMath>
      <w:r>
        <w:t xml:space="preserve"> </w:t>
      </w:r>
      <w:r>
        <w:t xml:space="preserve">epochs.</w:t>
      </w:r>
    </w:p>
    <w:p>
      <w:pPr>
        <w:numPr>
          <w:ilvl w:val="1"/>
          <w:numId w:val="1006"/>
        </w:numPr>
        <w:pStyle w:val="Compact"/>
      </w:pPr>
      <w:r>
        <w:t xml:space="preserve">Conversely, the continuous learner exhibited noticeable inertia: its learning rate slope was roughly half that of the baseline, requiring</w:t>
      </w:r>
      <w:r>
        <w:t xml:space="preserve"> </w:t>
      </w:r>
      <m:oMath>
        <m:r>
          <m:t>38</m:t>
        </m:r>
      </m:oMath>
      <w:r>
        <w:t xml:space="preserve"> </w:t>
      </w:r>
      <w:r>
        <w:t xml:space="preserve">epochs to attain the same threshold.</w:t>
      </w:r>
    </w:p>
    <w:p>
      <w:pPr>
        <w:numPr>
          <w:ilvl w:val="1"/>
          <w:numId w:val="1006"/>
        </w:numPr>
        <w:pStyle w:val="Compact"/>
      </w:pPr>
      <w:r>
        <w:t xml:space="preserve">Furthermore, the continuous model plateaued at</w:t>
      </w:r>
      <w:r>
        <w:t xml:space="preserve"> </w:t>
      </w:r>
      <m:oMath>
        <m:r>
          <m:t>88.1</m:t>
        </m:r>
        <m:r>
          <m:rPr>
            <m:sty m:val="p"/>
          </m:rPr>
          <m:t>%</m:t>
        </m:r>
      </m:oMath>
      <w:r>
        <w:t xml:space="preserve"> </w:t>
      </w:r>
      <w:r>
        <w:t xml:space="preserve">final accuracy, displaying an unrecovered gap of</w:t>
      </w:r>
      <w:r>
        <w:t xml:space="preserve"> </w:t>
      </w:r>
      <m:oMath>
        <m:r>
          <m:t>7.7</m:t>
        </m:r>
        <m:r>
          <m:rPr>
            <m:sty m:val="p"/>
          </m:rPr>
          <m:t>%</m:t>
        </m:r>
      </m:oMath>
      <w:r>
        <w:t xml:space="preserve"> </w:t>
      </w:r>
      <w:r>
        <w:t xml:space="preserve">relative to the fresh baseline (</w:t>
      </w:r>
      <m:oMath>
        <m:r>
          <m:t>95.8</m:t>
        </m:r>
        <m:r>
          <m:rPr>
            <m:sty m:val="p"/>
          </m:rPr>
          <m:t>%</m:t>
        </m:r>
      </m:oMath>
      <w:r>
        <w:t xml:space="preserve">).</w:t>
      </w:r>
    </w:p>
    <w:p>
      <w:r>
        <w:pict>
          <v:rect style="width:0;height:1.5pt" o:hralign="center" o:hrstd="t" o:hr="t"/>
        </w:pict>
      </w:r>
    </w:p>
    <w:bookmarkEnd w:id="26"/>
    <w:bookmarkEnd w:id="27"/>
    <w:bookmarkStart w:id="33" w:name="stabilityplasticity-diagnostic"/>
    <w:p>
      <w:pPr>
        <w:pStyle w:val="Heading1"/>
      </w:pPr>
      <w:r>
        <w:t xml:space="preserve">5. Stability–Plasticity Diagnostic</w:t>
      </w:r>
    </w:p>
    <w:p>
      <w:pPr>
        <w:pStyle w:val="FirstParagraph"/>
      </w:pPr>
      <w:r>
        <w:t xml:space="preserve">To rigorously evaluate the mechanism behind the observed performance discrepancy, the formal five-step diagnostic pipeline is applied:</w:t>
      </w:r>
    </w:p>
    <w:bookmarkStart w:id="28" w:name="change-environmental-transition"/>
    <w:p>
      <w:pPr>
        <w:pStyle w:val="Heading3"/>
      </w:pPr>
      <w:r>
        <w:t xml:space="preserve">5.0.1 1. CHANGE (Environmental Transition)</w:t>
      </w:r>
    </w:p>
    <w:p>
      <w:pPr>
        <w:pStyle w:val="FirstParagraph"/>
      </w:pPr>
      <w:r>
        <w:t xml:space="preserve">An explicit distributional shift was introduced into the learning environment at step</w:t>
      </w:r>
      <w:r>
        <w:t xml:space="preserve"> </w:t>
      </w:r>
      <m:oMath>
        <m:sSub>
          <m:e>
            <m:r>
              <m:t>t</m:t>
            </m:r>
          </m:e>
          <m:sub>
            <m:r>
              <m:rPr>
                <m:nor/>
                <m:sty m:val="p"/>
              </m:rPr>
              <m:t>shift</m:t>
            </m:r>
          </m:sub>
        </m:sSub>
      </m:oMath>
      <w:r>
        <w:t xml:space="preserve">, fundamentally changing the input-to-label mappings and rendering previous representations partially misaligned.</w:t>
      </w:r>
    </w:p>
    <w:bookmarkEnd w:id="28"/>
    <w:bookmarkStart w:id="29" w:name="Xdf799557c6a72ba36a8ba524690c42f3faec984"/>
    <w:p>
      <w:pPr>
        <w:pStyle w:val="Heading3"/>
      </w:pPr>
      <w:r>
        <w:t xml:space="preserve">5.0.2 2. RETENTION (Preservation of Prior Capability)</w:t>
      </w:r>
    </w:p>
    <w:p>
      <w:pPr>
        <w:pStyle w:val="FirstParagraph"/>
      </w:pPr>
      <w:r>
        <w:t xml:space="preserve">When evaluated selectively against invariant latent features or frozen base task validation probes, the continuous learner demonstrated residual parameter structure from Phase 1 rather than complete reset.</w:t>
      </w:r>
    </w:p>
    <w:bookmarkEnd w:id="29"/>
    <w:bookmarkStart w:id="30" w:name="X22117ed6789bc20430374d6400a00b0534f9115"/>
    <w:p>
      <w:pPr>
        <w:pStyle w:val="Heading3"/>
      </w:pPr>
      <w:r>
        <w:t xml:space="preserve">5.0.3 3. NEW LEARNING (Post-Shift Capability Acquisition)</w:t>
      </w:r>
    </w:p>
    <w:p>
      <w:pPr>
        <w:pStyle w:val="FirstParagraph"/>
      </w:pPr>
      <w:r>
        <w:t xml:space="preserve">The continuous model did not completely freeze; it preserved positive gradient progress, demonstrating that learning mechanisms remained operational. However, its overall capacity was severely attenuated relative to its virgin state.</w:t>
      </w:r>
    </w:p>
    <w:bookmarkEnd w:id="30"/>
    <w:bookmarkStart w:id="31" w:name="rate-convergence-and-slope-disparity"/>
    <w:p>
      <w:pPr>
        <w:pStyle w:val="Heading3"/>
      </w:pPr>
      <w:r>
        <w:t xml:space="preserve">5.0.4 4. RATE (Convergence and Slope Disparity)</w:t>
      </w:r>
    </w:p>
    <w:p>
      <w:pPr>
        <w:pStyle w:val="FirstParagraph"/>
      </w:pPr>
      <w:r>
        <w:t xml:space="preserve">The post-shift trajectory exhibited a pronounced reduction in learning velocity:</w:t>
      </w:r>
    </w:p>
    <w:p>
      <w:pPr>
        <w:pStyle w:val="BodyText"/>
      </w:pPr>
      <m:oMathPara>
        <m:oMathParaPr>
          <m:jc m:val="center"/>
        </m:oMathParaPr>
        <m:oMath>
          <m:sSub>
            <m:e>
              <m:r>
                <m:rPr>
                  <m:nor/>
                  <m:sty m:val="p"/>
                </m:rPr>
                <m:t>Rate</m:t>
              </m:r>
            </m:e>
            <m:sub>
              <m:r>
                <m:rPr>
                  <m:nor/>
                  <m:sty m:val="p"/>
                </m:rPr>
                <m:t>Continuous</m:t>
              </m:r>
            </m:sub>
          </m:sSub>
          <m:r>
            <m:rPr>
              <m:sty m:val="p"/>
            </m:rPr>
            <m:t>≈</m:t>
          </m:r>
          <m:r>
            <m:t>0.53</m:t>
          </m:r>
          <m:r>
            <m:rPr>
              <m:sty m:val="p"/>
            </m:rPr>
            <m:t>×</m:t>
          </m:r>
          <m:sSub>
            <m:e>
              <m:r>
                <m:rPr>
                  <m:nor/>
                  <m:sty m:val="p"/>
                </m:rPr>
                <m:t>Rate</m:t>
              </m:r>
            </m:e>
            <m:sub>
              <m:r>
                <m:rPr>
                  <m:nor/>
                  <m:sty m:val="p"/>
                </m:rPr>
                <m:t>Scratch</m:t>
              </m:r>
            </m:sub>
          </m:sSub>
        </m:oMath>
      </m:oMathPara>
    </w:p>
    <w:p>
      <w:pPr>
        <w:pStyle w:val="FirstParagraph"/>
      </w:pPr>
      <w:r>
        <w:t xml:space="preserve">The model exhibited optimization sluggishness, struggling to escape parameter basins consolidated during Phase 1.</w:t>
      </w:r>
    </w:p>
    <w:bookmarkEnd w:id="31"/>
    <w:bookmarkStart w:id="32" w:name="X21726a25ba052c7dba48fd361263af16e6ba4cf"/>
    <w:p>
      <w:pPr>
        <w:pStyle w:val="Heading3"/>
      </w:pPr>
      <w:r>
        <w:t xml:space="preserve">5.0.5 5. TRADEOFF (Stability vs. Plasticity Balance)</w:t>
      </w:r>
    </w:p>
    <w:p>
      <w:pPr>
        <w:pStyle w:val="FirstParagraph"/>
      </w:pPr>
      <w:r>
        <w:t xml:space="preserve">The empirical evidence indicates that parameter retention came directly at the expense of adaptive plasticity. The consolidation of representations in early layers constrained subsequent gradient descent paths, causing persistent plasticity loss (Klein et al., 2024).</w:t>
      </w:r>
    </w:p>
    <w:p>
      <w:r>
        <w:pict>
          <v:rect style="width:0;height:1.5pt" o:hralign="center" o:hrstd="t" o:hr="t"/>
        </w:pict>
      </w:r>
    </w:p>
    <w:bookmarkEnd w:id="32"/>
    <w:bookmarkEnd w:id="33"/>
    <w:bookmarkStart w:id="34" w:name="diagnostic-interpretation"/>
    <w:p>
      <w:pPr>
        <w:pStyle w:val="Heading1"/>
      </w:pPr>
      <w:r>
        <w:t xml:space="preserve">6. Diagnostic Interpretation</w:t>
      </w:r>
    </w:p>
    <w:p>
      <w:pPr>
        <w:pStyle w:val="FirstParagraph"/>
      </w:pPr>
      <w:r>
        <w:t xml:space="preserve">The diagnostic indicates genuine</w:t>
      </w:r>
      <w:r>
        <w:t xml:space="preserve"> </w:t>
      </w:r>
      <w:r>
        <w:rPr>
          <w:bCs/>
          <w:b/>
        </w:rPr>
        <w:t xml:space="preserve">loss of plasticity</w:t>
      </w:r>
      <w:r>
        <w:t xml:space="preserve">:</w:t>
      </w:r>
      <w:r>
        <w:t xml:space="preserve"> </w:t>
      </w:r>
      <w:r>
        <w:t xml:space="preserve">* The observed deficit cannot be attributed to the instantaneous shock drop at</w:t>
      </w:r>
      <w:r>
        <w:t xml:space="preserve"> </w:t>
      </w:r>
      <m:oMath>
        <m:sSub>
          <m:e>
            <m:r>
              <m:t>t</m:t>
            </m:r>
          </m:e>
          <m:sub>
            <m:r>
              <m:rPr>
                <m:nor/>
                <m:sty m:val="p"/>
              </m:rPr>
              <m:t>shift</m:t>
            </m:r>
          </m:sub>
        </m:sSub>
      </m:oMath>
      <w:r>
        <w:t xml:space="preserve">, but rather to the</w:t>
      </w:r>
      <w:r>
        <w:t xml:space="preserve"> </w:t>
      </w:r>
      <w:r>
        <w:rPr>
          <w:bCs/>
          <w:b/>
        </w:rPr>
        <w:t xml:space="preserve">depressed recovery rate</w:t>
      </w:r>
      <w:r>
        <w:t xml:space="preserve"> </w:t>
      </w:r>
      <w:r>
        <w:t xml:space="preserve">and</w:t>
      </w:r>
      <w:r>
        <w:t xml:space="preserve"> </w:t>
      </w:r>
      <w:r>
        <w:rPr>
          <w:bCs/>
          <w:b/>
        </w:rPr>
        <w:t xml:space="preserve">sub-optimal asymptotic plateau</w:t>
      </w:r>
      <w:r>
        <w:t xml:space="preserve">.</w:t>
      </w:r>
      <w:r>
        <w:t xml:space="preserve"> </w:t>
      </w:r>
      <w:r>
        <w:t xml:space="preserve">* The continuous learner required double the sample complexity of the freshly initialized network, yet still failed to close the performance gap.</w:t>
      </w:r>
      <w:r>
        <w:t xml:space="preserve"> </w:t>
      </w:r>
      <w:r>
        <w:t xml:space="preserve">* This pattern confirms that naive gradient descent in deep architectures under sequential shifts induces implicit regularization or dead units (loss of effective rank in representation space), restricting ongoing adaptability (Klein et al., 2024).</w:t>
      </w:r>
    </w:p>
    <w:p>
      <w:r>
        <w:pict>
          <v:rect style="width:0;height:1.5pt" o:hralign="center" o:hrstd="t" o:hr="t"/>
        </w:pict>
      </w:r>
    </w:p>
    <w:bookmarkEnd w:id="34"/>
    <w:bookmarkStart w:id="35" w:name="extensions-and-mitigations"/>
    <w:p>
      <w:pPr>
        <w:pStyle w:val="Heading1"/>
      </w:pPr>
      <w:r>
        <w:t xml:space="preserve">7. Extensions and Mitigations</w:t>
      </w:r>
    </w:p>
    <w:p>
      <w:pPr>
        <w:pStyle w:val="FirstParagraph"/>
      </w:pPr>
      <w:r>
        <w:t xml:space="preserve">To validate and build upon this proxy replication, the following experimental extensions are recommended:</w:t>
      </w:r>
    </w:p>
    <w:p>
      <w:pPr>
        <w:numPr>
          <w:ilvl w:val="0"/>
          <w:numId w:val="1007"/>
        </w:numPr>
        <w:pStyle w:val="Compact"/>
      </w:pPr>
      <w:r>
        <w:rPr>
          <w:bCs/>
          <w:b/>
        </w:rPr>
        <w:t xml:space="preserve">Weight &amp; Activation Reset Interventions:</w:t>
      </w:r>
    </w:p>
    <w:p>
      <w:pPr>
        <w:numPr>
          <w:ilvl w:val="1"/>
          <w:numId w:val="1008"/>
        </w:numPr>
        <w:pStyle w:val="Compact"/>
      </w:pPr>
      <w:r>
        <w:t xml:space="preserve">Evaluate</w:t>
      </w:r>
      <w:r>
        <w:t xml:space="preserve"> </w:t>
      </w:r>
      <w:r>
        <w:rPr>
          <w:iCs/>
          <w:i/>
        </w:rPr>
        <w:t xml:space="preserve">Selective Plasticity Injection</w:t>
      </w:r>
      <w:r>
        <w:t xml:space="preserve"> </w:t>
      </w:r>
      <w:r>
        <w:t xml:space="preserve">(e.g., continual backpropagation, dead neuron re-initialization, or Shrink and Perturb mechanisms) to verify whether resetting inactive units restores the post-shift learning slope to match the scratch baseline (Klein et al., 2024).</w:t>
      </w:r>
    </w:p>
    <w:p>
      <w:pPr>
        <w:numPr>
          <w:ilvl w:val="0"/>
          <w:numId w:val="1007"/>
        </w:numPr>
        <w:pStyle w:val="Compact"/>
      </w:pPr>
      <w:r>
        <w:rPr>
          <w:bCs/>
          <w:b/>
        </w:rPr>
        <w:t xml:space="preserve">Representation Rank Tracking:</w:t>
      </w:r>
    </w:p>
    <w:p>
      <w:pPr>
        <w:numPr>
          <w:ilvl w:val="1"/>
          <w:numId w:val="1009"/>
        </w:numPr>
        <w:pStyle w:val="Compact"/>
      </w:pPr>
      <w:r>
        <w:t xml:space="preserve">Compute the stable rank of post-activation feature representations across layers over time to measure whether feature collapse correlates directly with the drop in learning rate.</w:t>
      </w:r>
    </w:p>
    <w:p>
      <w:pPr>
        <w:numPr>
          <w:ilvl w:val="0"/>
          <w:numId w:val="1007"/>
        </w:numPr>
        <w:pStyle w:val="Compact"/>
      </w:pPr>
      <w:r>
        <w:rPr>
          <w:bCs/>
          <w:b/>
        </w:rPr>
        <w:t xml:space="preserve">Gradual vs. Abrupt Nonstationarity:</w:t>
      </w:r>
    </w:p>
    <w:p>
      <w:pPr>
        <w:numPr>
          <w:ilvl w:val="1"/>
          <w:numId w:val="1010"/>
        </w:numPr>
        <w:pStyle w:val="Compact"/>
      </w:pPr>
      <w:r>
        <w:t xml:space="preserve">Compare discrete task swaps against continuous, drift-based nonstationary schedules to observe whether smooth transitions mitigate or accelerate plasticity decay.</w:t>
      </w:r>
    </w:p>
    <w:p>
      <w:r>
        <w:pict>
          <v:rect style="width:0;height:1.5pt" o:hralign="center" o:hrstd="t" o:hr="t"/>
        </w:pict>
      </w:r>
    </w:p>
    <w:bookmarkEnd w:id="35"/>
    <w:bookmarkStart w:id="37" w:name="replication-verdict"/>
    <w:p>
      <w:pPr>
        <w:pStyle w:val="Heading1"/>
      </w:pPr>
      <w:r>
        <w:t xml:space="preserve">8. Replication Verdict</w:t>
      </w:r>
    </w:p>
    <w:p>
      <w:pPr>
        <w:pStyle w:val="FirstParagraph"/>
      </w:pPr>
      <w:r>
        <w:rPr>
          <w:bCs/>
          <w:b/>
        </w:rPr>
        <w:t xml:space="preserve">Verdict:</w:t>
      </w:r>
      <w:r>
        <w:t xml:space="preserve"> </w:t>
      </w:r>
      <w:r>
        <w:rPr>
          <w:bCs/>
          <w:b/>
        </w:rPr>
        <w:t xml:space="preserve">Partially Reproduced</w:t>
      </w:r>
    </w:p>
    <w:bookmarkStart w:id="36" w:name="justification"/>
    <w:p>
      <w:pPr>
        <w:pStyle w:val="Heading3"/>
      </w:pPr>
      <w:r>
        <w:t xml:space="preserve">8.0.1 Justification</w:t>
      </w:r>
    </w:p>
    <w:p>
      <w:pPr>
        <w:numPr>
          <w:ilvl w:val="0"/>
          <w:numId w:val="1011"/>
        </w:numPr>
        <w:pStyle w:val="Compact"/>
      </w:pPr>
      <w:r>
        <w:rPr>
          <w:bCs/>
          <w:b/>
        </w:rPr>
        <w:t xml:space="preserve">Supported:</w:t>
      </w:r>
      <w:r>
        <w:t xml:space="preserve"> </w:t>
      </w:r>
      <w:r>
        <w:t xml:space="preserve">The core empirical claim from Week 4 literature—that continuous adaptation under nonstationary conditions degrades the rate and ultimate ceiling of subsequent learning relative to fresh models—is confirmed by the observed trajectory gap and rate disparity.</w:t>
      </w:r>
    </w:p>
    <w:p>
      <w:pPr>
        <w:numPr>
          <w:ilvl w:val="0"/>
          <w:numId w:val="1011"/>
        </w:numPr>
        <w:pStyle w:val="Compact"/>
      </w:pPr>
      <w:r>
        <w:rPr>
          <w:bCs/>
          <w:b/>
        </w:rPr>
        <w:t xml:space="preserve">Limitations of Scope:</w:t>
      </w:r>
      <w:r>
        <w:t xml:space="preserve"> </w:t>
      </w:r>
      <w:r>
        <w:t xml:space="preserve">Because this implementation serves as a proxy replication using a scaled feedforward setup rather than the full suite of extensive reinforcement learning and continuous vision benchmarks evaluated in Klein et al. (2024), the verdict is scoped as</w:t>
      </w:r>
      <w:r>
        <w:t xml:space="preserve"> </w:t>
      </w:r>
      <w:r>
        <w:rPr>
          <w:iCs/>
          <w:i/>
        </w:rPr>
        <w:t xml:space="preserve">Partially Reproduced</w:t>
      </w:r>
      <w:r>
        <w:t xml:space="preserve">. The primary mechanism is supported within the boundaries of the tested proxy environment.</w:t>
      </w:r>
    </w:p>
    <w:p>
      <w:r>
        <w:pict>
          <v:rect style="width:0;height:1.5pt" o:hralign="center" o:hrstd="t" o:hr="t"/>
        </w:pict>
      </w:r>
    </w:p>
    <w:bookmarkEnd w:id="36"/>
    <w:bookmarkEnd w:id="37"/>
    <w:bookmarkStart w:id="38" w:name="references"/>
    <w:p>
      <w:pPr>
        <w:pStyle w:val="Heading1"/>
      </w:pPr>
      <w:r>
        <w:t xml:space="preserve">9. References</w:t>
      </w:r>
    </w:p>
    <w:p>
      <w:pPr>
        <w:pStyle w:val="FirstParagraph"/>
      </w:pPr>
      <w:r>
        <w:t xml:space="preserve">Klein, T., Luther, C., McAuliffe, M., Miklautz, L., Plant, C., &amp; Tschiatschek, S. (2024).</w:t>
      </w:r>
      <w:r>
        <w:t xml:space="preserve"> </w:t>
      </w:r>
      <w:r>
        <w:rPr>
          <w:iCs/>
          <w:i/>
        </w:rPr>
        <w:t xml:space="preserve">Plasticity loss in deep reinforcement learning: A survey</w:t>
      </w:r>
      <w:r>
        <w:t xml:space="preserve">. arXiv. https://arxiv.org/abs/2411.04832</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#2: Can the Model Keep Learning?</dc:title>
  <dc:creator>Halson Ogeto Nyaberi</dc:creator>
  <cp:keywords/>
  <dcterms:created xsi:type="dcterms:W3CDTF">2026-09-23T21:39:12Z</dcterms:created>
  <dcterms:modified xsi:type="dcterms:W3CDTF">2026-09-23T21:39:12Z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Investigating Plasticity Loss and Adaptation Under Nonstationary Conditions</vt:lpwstr>
  </property>
  <property fmtid="{D5CDD505-2E9C-101B-9397-08002B2CF9AE}" pid="12" name="toc-title">
    <vt:lpwstr>Table of contents</vt:lpwstr>
  </property>
</Properties>
</file>