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PAIR</w:t>
      </w:r>
      <w:r>
        <w:t xml:space="preserve"> </w:t>
      </w:r>
      <w:r>
        <w:t xml:space="preserve">Scholarly</w:t>
      </w:r>
      <w:r>
        <w:t xml:space="preserve"> </w:t>
      </w:r>
      <w:r>
        <w:t xml:space="preserve">Reflection:</w:t>
      </w:r>
      <w:r>
        <w:t xml:space="preserve"> </w:t>
      </w:r>
      <w:r>
        <w:t xml:space="preserve">Unveil</w:t>
      </w:r>
      <w:r>
        <w:t xml:space="preserve"> </w:t>
      </w:r>
      <w:r>
        <w:t xml:space="preserve">Sources</w:t>
      </w:r>
      <w:r>
        <w:t xml:space="preserve"> </w:t>
      </w:r>
      <w:r>
        <w:t xml:space="preserve">of</w:t>
      </w:r>
      <w:r>
        <w:t xml:space="preserve"> </w:t>
      </w:r>
      <w:r>
        <w:t xml:space="preserve">Uncertainty:</w:t>
      </w:r>
      <w:r>
        <w:t xml:space="preserve"> </w:t>
      </w:r>
      <w:r>
        <w:t xml:space="preserve">Feature</w:t>
      </w:r>
      <w:r>
        <w:t xml:space="preserve"> </w:t>
      </w:r>
      <w:r>
        <w:t xml:space="preserve">Contribution</w:t>
      </w:r>
      <w:r>
        <w:t xml:space="preserve"> </w:t>
      </w:r>
      <w:r>
        <w:t xml:space="preserve">to</w:t>
      </w:r>
      <w:r>
        <w:t xml:space="preserve"> </w:t>
      </w:r>
      <w:r>
        <w:t xml:space="preserve">Conformal</w:t>
      </w:r>
      <w:r>
        <w:t xml:space="preserve"> </w:t>
      </w:r>
      <w:r>
        <w:t xml:space="preserve">Prediction</w:t>
      </w:r>
      <w:r>
        <w:t xml:space="preserve"> </w:t>
      </w:r>
      <w:r>
        <w:t xml:space="preserve">Interval</w:t>
      </w:r>
    </w:p>
    <w:p>
      <w:pPr>
        <w:pStyle w:val="Author"/>
      </w:pPr>
      <w:r>
        <w:t xml:space="preserve">Halson</w:t>
      </w:r>
      <w:r>
        <w:t xml:space="preserve"> </w:t>
      </w:r>
      <w:r>
        <w:t xml:space="preserve">Ogeto</w:t>
      </w:r>
      <w:r>
        <w:t xml:space="preserve"> </w:t>
      </w:r>
      <w:r>
        <w:t xml:space="preserve">Nyaberi</w:t>
      </w:r>
    </w:p>
    <w:p>
      <w:pPr>
        <w:pStyle w:val="Date"/>
      </w:pPr>
      <w:r>
        <w:t xml:space="preserve">2026-10-03</w:t>
      </w:r>
    </w:p>
    <w:bookmarkStart w:id="20" w:name="position"/>
    <w:p>
      <w:pPr>
        <w:pStyle w:val="Heading1"/>
      </w:pPr>
      <w:r>
        <w:t xml:space="preserve">Position</w:t>
      </w:r>
    </w:p>
    <w:p>
      <w:pPr>
        <w:pStyle w:val="FirstParagraph"/>
      </w:pPr>
      <w:r>
        <w:t xml:space="preserve">Conventional Explainable Artificial Intelligence (XAI) operates under a major blind spot: frameworks like SHAP predominantly attribute conditional mean predictions (</w:t>
      </w:r>
      <m:oMath>
        <m:acc>
          <m:accPr>
            <m:chr m:val="̂"/>
          </m:accPr>
          <m:e>
            <m:r>
              <m:t>f</m:t>
            </m:r>
          </m:e>
        </m:acc>
        <m:d>
          <m:dPr>
            <m:begChr m:val="("/>
            <m:endChr m:val=")"/>
            <m:sepChr m:val=""/>
            <m:grow/>
          </m:dPr>
          <m:e>
            <m:r>
              <m:t>x</m:t>
            </m:r>
          </m:e>
        </m:d>
      </m:oMath>
      <w:r>
        <w:t xml:space="preserve">), obscuring the predictive variance, tail risk, and epistemic boundaries inherent to complex models. Idrissi et al. (2025) address this deficit by unifying split conformal prediction (SCP) with cooperative game theory to establish a model-agnostic Uncertainty Attribution (UA) framework. Rather than treating uncertainty as an uninspected scalar margin, their approach introduces cooperative games where interval width (</w:t>
      </w:r>
      <m:oMath>
        <m:r>
          <m:t>Δ</m:t>
        </m:r>
        <m:acc>
          <m:accPr>
            <m:chr m:val="̂"/>
          </m:accPr>
          <m:e>
            <m:r>
              <m:t>C</m:t>
            </m:r>
          </m:e>
        </m:acc>
        <m:d>
          <m:dPr>
            <m:begChr m:val="("/>
            <m:endChr m:val=")"/>
            <m:sepChr m:val=""/>
            <m:grow/>
          </m:dPr>
          <m:e>
            <m:r>
              <m:t>x</m:t>
            </m:r>
          </m:e>
        </m:d>
      </m:oMath>
      <w:r>
        <w:t xml:space="preserve">) and boundary quantiles (</w:t>
      </w:r>
      <m:oMath>
        <m:r>
          <m:t>i</m:t>
        </m:r>
        <m:r>
          <m:t>n</m:t>
        </m:r>
        <m:r>
          <m:t>f</m:t>
        </m:r>
        <m:acc>
          <m:accPr>
            <m:chr m:val="̂"/>
          </m:accPr>
          <m:e>
            <m:r>
              <m:t>C</m:t>
            </m:r>
          </m:e>
        </m:acc>
        <m:d>
          <m:dPr>
            <m:begChr m:val="("/>
            <m:endChr m:val=")"/>
            <m:sepChr m:val=""/>
            <m:grow/>
          </m:dPr>
          <m:e>
            <m:r>
              <m:t>x</m:t>
            </m:r>
          </m:e>
        </m:d>
        <m:r>
          <m:rPr>
            <m:sty m:val="p"/>
          </m:rPr>
          <m:t>,</m:t>
        </m:r>
        <m:r>
          <m:t>s</m:t>
        </m:r>
        <m:r>
          <m:t>u</m:t>
        </m:r>
        <m:r>
          <m:t>p</m:t>
        </m:r>
        <m:acc>
          <m:accPr>
            <m:chr m:val="̂"/>
          </m:accPr>
          <m:e>
            <m:r>
              <m:t>C</m:t>
            </m:r>
          </m:e>
        </m:acc>
        <m:d>
          <m:dPr>
            <m:begChr m:val="("/>
            <m:endChr m:val=")"/>
            <m:sepChr m:val=""/>
            <m:grow/>
          </m:dPr>
          <m:e>
            <m:r>
              <m:t>x</m:t>
            </m:r>
          </m:e>
        </m:d>
      </m:oMath>
      <w:r>
        <w:t xml:space="preserve">) act as characteristic value functions.</w:t>
      </w:r>
    </w:p>
    <w:p>
      <w:pPr>
        <w:pStyle w:val="BodyText"/>
      </w:pPr>
      <w:r>
        <w:t xml:space="preserve">By expanding attribution beyond egalitarian Shapley values to the broader Harsanyi allocation family—specifically proportional Shapley values—and providing a permutation-based Monte Carlo scheme with asymptotic normality guarantees, this study fundamentally redefines predictive AI trustworthiness. Trust in an individual prediction can no longer be predicated solely on knowing which features drove the point estimate; it requires knowing which features govern the margin of doubt and tail risk (Idrissi et al., 2025).</w:t>
      </w:r>
    </w:p>
    <w:bookmarkEnd w:id="20"/>
    <w:bookmarkStart w:id="21" w:name="analyze"/>
    <w:p>
      <w:pPr>
        <w:pStyle w:val="Heading1"/>
      </w:pPr>
      <w:r>
        <w:t xml:space="preserve">Analyze</w:t>
      </w:r>
    </w:p>
    <w:p>
      <w:pPr>
        <w:pStyle w:val="FirstParagraph"/>
      </w:pPr>
      <w:r>
        <w:t xml:space="preserve">The authors evaluate their framework across synthetic benchmarks (Sobol-Levitan, modified Friedman) and seven diverse real-world benchmarks (e.g., bike, casp, facebook, UScrime) across Standard Mean Regression (SMR), Locally Adaptive Conformal Prediction (LACP), and Conformalized Quantile Regression (CQR) (Idrissi et al., 2025).</w:t>
      </w:r>
    </w:p>
    <w:p>
      <w:pPr>
        <w:numPr>
          <w:ilvl w:val="0"/>
          <w:numId w:val="1001"/>
        </w:numPr>
        <w:pStyle w:val="Compact"/>
      </w:pPr>
      <w:r>
        <w:rPr>
          <w:bCs/>
          <w:b/>
        </w:rPr>
        <w:t xml:space="preserve">Moment vs. Quantile Divergence:</w:t>
      </w:r>
      <w:r>
        <w:t xml:space="preserve"> </w:t>
      </w:r>
      <w:r>
        <w:t xml:space="preserve">On the modified Friedman benchmark, where mean and heteroskedastic dispersion are explicitly decoupled (</w:t>
      </w:r>
      <m:oMath>
        <m:sSub>
          <m:e>
            <m:r>
              <m:t>X</m:t>
            </m:r>
          </m:e>
          <m:sub>
            <m:r>
              <m:t>6</m:t>
            </m:r>
          </m:sub>
        </m:sSub>
        <m:r>
          <m:rPr>
            <m:nor/>
            <m:sty m:val="p"/>
          </m:rPr>
          <m:t>–</m:t>
        </m:r>
        <m:sSub>
          <m:e>
            <m:r>
              <m:t>X</m:t>
            </m:r>
          </m:e>
          <m:sub>
            <m:r>
              <m:t>10</m:t>
            </m:r>
          </m:sub>
        </m:sSub>
      </m:oMath>
      <w:r>
        <w:t xml:space="preserve"> </w:t>
      </w:r>
      <w:r>
        <w:t xml:space="preserve">vs. </w:t>
      </w:r>
      <m:oMath>
        <m:sSub>
          <m:e>
            <m:r>
              <m:t>X</m:t>
            </m:r>
          </m:e>
          <m:sub>
            <m:r>
              <m:t>1</m:t>
            </m:r>
          </m:sub>
        </m:sSub>
        <m:r>
          <m:rPr>
            <m:nor/>
            <m:sty m:val="p"/>
          </m:rPr>
          <m:t>–</m:t>
        </m:r>
        <m:sSub>
          <m:e>
            <m:r>
              <m:t>X</m:t>
            </m:r>
          </m:e>
          <m:sub>
            <m:r>
              <m:t>5</m:t>
            </m:r>
          </m:sub>
        </m:sSub>
      </m:oMath>
      <w:r>
        <w:t xml:space="preserve">), LACP and CQR width attributions distinctly isolate the variance-inducing covariates without conflating them with mean drivers. This validates the theoretical premise that quantile-derived uncertainty captures distributional behavior inaccessible to standard moment-based SHAP.</w:t>
      </w:r>
    </w:p>
    <w:p>
      <w:pPr>
        <w:numPr>
          <w:ilvl w:val="0"/>
          <w:numId w:val="1001"/>
        </w:numPr>
        <w:pStyle w:val="Compact"/>
      </w:pPr>
      <w:r>
        <w:rPr>
          <w:bCs/>
          <w:b/>
        </w:rPr>
        <w:t xml:space="preserve">Allocation Sensitivity:</w:t>
      </w:r>
      <w:r>
        <w:t xml:space="preserve"> </w:t>
      </w:r>
      <w:r>
        <w:t xml:space="preserve">Real-world testing across model classes (LightGBM, Random Forests, Quantile Regressors) demonstrates that Shapley and Proportional Shapley rankings often diverge on complex manifolds (e.g., the facebook dataset). When both allocation schemes align, practitioner confidence in the explanation increases; when they disagree, it reveals non-linear interaction dynamics across coalitions.</w:t>
      </w:r>
    </w:p>
    <w:p>
      <w:pPr>
        <w:numPr>
          <w:ilvl w:val="0"/>
          <w:numId w:val="1001"/>
        </w:numPr>
        <w:pStyle w:val="Compact"/>
      </w:pPr>
      <w:r>
        <w:rPr>
          <w:bCs/>
          <w:b/>
        </w:rPr>
        <w:t xml:space="preserve">Computational Feasibility:</w:t>
      </w:r>
      <w:r>
        <w:t xml:space="preserve"> </w:t>
      </w:r>
      <w:r>
        <w:t xml:space="preserve">The permutation-based Monte Carlo estimator achieves asymptotic normality and consistent convergence with model evaluations scaling well below the worst-case</w:t>
      </w:r>
      <w:r>
        <w:t xml:space="preserve"> </w:t>
      </w:r>
      <m:oMath>
        <m:r>
          <m:t>m</m:t>
        </m:r>
        <m:r>
          <m:rPr>
            <m:sty m:val="p"/>
          </m:rPr>
          <m:t>×</m:t>
        </m:r>
        <m:r>
          <m:t>d</m:t>
        </m:r>
      </m:oMath>
      <w:r>
        <w:t xml:space="preserve"> </w:t>
      </w:r>
      <w:r>
        <w:t xml:space="preserve">bound, demonstrating empirical speedups exceeding an order of magnitude.</w:t>
      </w:r>
    </w:p>
    <w:p>
      <w:pPr>
        <w:pStyle w:val="FirstParagraph"/>
      </w:pPr>
      <w:r>
        <w:t xml:space="preserve">The evidence rigorously supports the authors’ conclusion: uncertainty attribution behaves fundamentally differently from point-prediction attribution, providing a necessary, orthogonal diagnostic for auditing predictive reliability.</w:t>
      </w:r>
    </w:p>
    <w:bookmarkEnd w:id="21"/>
    <w:bookmarkStart w:id="22" w:name="interrogate"/>
    <w:p>
      <w:pPr>
        <w:pStyle w:val="Heading1"/>
      </w:pPr>
      <w:r>
        <w:t xml:space="preserve">Interrogate</w:t>
      </w:r>
    </w:p>
    <w:p>
      <w:pPr>
        <w:pStyle w:val="FirstParagraph"/>
      </w:pPr>
      <w:r>
        <w:t xml:space="preserve">A critical methodological vulnerability lies in the framework’s handling of feature dependence and model retraining. The exact and Monte Carlo formulations require retraining sub-models</w:t>
      </w:r>
      <w:r>
        <w:t xml:space="preserve"> </w:t>
      </w:r>
      <m:oMath>
        <m:sSub>
          <m:e>
            <m:acc>
              <m:accPr>
                <m:chr m:val="̂"/>
              </m:accPr>
              <m:e>
                <m:r>
                  <m:t>f</m:t>
                </m:r>
              </m:e>
            </m:acc>
          </m:e>
          <m:sub>
            <m:r>
              <m:t>A</m:t>
            </m:r>
          </m:sub>
        </m:sSub>
      </m:oMath>
      <w:r>
        <w:t xml:space="preserve"> </w:t>
      </w:r>
      <w:r>
        <w:t xml:space="preserve">and calibrating score sets</w:t>
      </w:r>
      <w:r>
        <w:t xml:space="preserve"> </w:t>
      </w:r>
      <m:oMath>
        <m:sSub>
          <m:e>
            <m:r>
              <m:rPr>
                <m:sty m:val="p"/>
                <m:scr m:val="script"/>
              </m:rPr>
              <m:t>S</m:t>
            </m:r>
          </m:e>
          <m:sub>
            <m:r>
              <m:t>A</m:t>
            </m:r>
          </m:sub>
        </m:sSub>
      </m:oMath>
      <w:r>
        <w:t xml:space="preserve"> </w:t>
      </w:r>
      <w:r>
        <w:t xml:space="preserve">across feature coalitions</w:t>
      </w:r>
      <w:r>
        <w:t xml:space="preserve"> </w:t>
      </w:r>
      <m:oMath>
        <m:r>
          <m:t>A</m:t>
        </m:r>
        <m:r>
          <m:rPr>
            <m:sty m:val="p"/>
          </m:rPr>
          <m:t>∈</m:t>
        </m:r>
        <m:sSub>
          <m:e>
            <m:r>
              <m:rPr>
                <m:sty m:val="p"/>
                <m:scr m:val="script"/>
              </m:rPr>
              <m:t>P</m:t>
            </m:r>
          </m:e>
          <m:sub>
            <m:r>
              <m:t>D</m:t>
            </m:r>
          </m:sub>
        </m:sSub>
      </m:oMath>
      <w:r>
        <w:t xml:space="preserve">.</w:t>
      </w:r>
    </w:p>
    <w:p>
      <w:pPr>
        <w:numPr>
          <w:ilvl w:val="0"/>
          <w:numId w:val="1002"/>
        </w:numPr>
        <w:pStyle w:val="Compact"/>
      </w:pPr>
      <w:r>
        <w:rPr>
          <w:bCs/>
          <w:b/>
        </w:rPr>
        <w:t xml:space="preserve">Exchangeability and Off-Manifold Extrapolation:</w:t>
      </w:r>
      <w:r>
        <w:t xml:space="preserve"> </w:t>
      </w:r>
      <w:r>
        <w:t xml:space="preserve">Conformal prediction guarantees finite-sample marginal coverage under the strict assumption that calibration and test instances are exchangeable. However, dropping subsets of correlated features during sub-model evaluation alters conditional data geometry. Fitting arbitrary sub-models on marginal projections can distort residual error distributions, inducing uncalibrated conformity scores on out-of-distribution manifolds.</w:t>
      </w:r>
    </w:p>
    <w:p>
      <w:pPr>
        <w:numPr>
          <w:ilvl w:val="0"/>
          <w:numId w:val="1002"/>
        </w:numPr>
        <w:pStyle w:val="Compact"/>
      </w:pPr>
      <w:r>
        <w:rPr>
          <w:bCs/>
          <w:b/>
        </w:rPr>
        <w:t xml:space="preserve">Absence of Monotonicity:</w:t>
      </w:r>
      <w:r>
        <w:t xml:space="preserve"> </w:t>
      </w:r>
      <w:r>
        <w:t xml:space="preserve">As the authors note, nested conformal prediction sets lack monotonicity guarantees (</w:t>
      </w:r>
      <m:oMath>
        <m:r>
          <m:t>A</m:t>
        </m:r>
        <m:r>
          <m:rPr>
            <m:sty m:val="p"/>
          </m:rPr>
          <m:t>⊂</m:t>
        </m:r>
        <m:r>
          <m:t>B</m:t>
        </m:r>
        <m:box>
          <m:boxPr>
            <m:opEmu m:val="on"/>
          </m:boxPr>
          <m:e>
            <m:r>
              <m:rPr>
                <m:sty m:val="p"/>
              </m:rPr>
              <m:t>⇏</m:t>
            </m:r>
          </m:e>
        </m:box>
        <m:sSub>
          <m:e>
            <m:r>
              <m:t>v</m:t>
            </m:r>
          </m:e>
          <m:sub>
            <m:r>
              <m:t>ω</m:t>
            </m:r>
            <m:r>
              <m:t>C</m:t>
            </m:r>
            <m:r>
              <m:t>P</m:t>
            </m:r>
          </m:sub>
        </m:sSub>
        <m:d>
          <m:dPr>
            <m:begChr m:val="("/>
            <m:endChr m:val=")"/>
            <m:sepChr m:val=""/>
            <m:grow/>
          </m:dPr>
          <m:e>
            <m:r>
              <m:t>A</m:t>
            </m:r>
          </m:e>
        </m:d>
        <m:r>
          <m:rPr>
            <m:sty m:val="p"/>
          </m:rPr>
          <m:t>≤</m:t>
        </m:r>
        <m:sSub>
          <m:e>
            <m:r>
              <m:t>v</m:t>
            </m:r>
          </m:e>
          <m:sub>
            <m:r>
              <m:t>ω</m:t>
            </m:r>
            <m:r>
              <m:t>C</m:t>
            </m:r>
            <m:r>
              <m:t>P</m:t>
            </m:r>
          </m:sub>
        </m:sSub>
        <m:d>
          <m:dPr>
            <m:begChr m:val="("/>
            <m:endChr m:val=")"/>
            <m:sepChr m:val=""/>
            <m:grow/>
          </m:dPr>
          <m:e>
            <m:r>
              <m:t>B</m:t>
            </m:r>
          </m:e>
        </m:d>
      </m:oMath>
      <w:r>
        <w:t xml:space="preserve">). Consequently, normalized attributions can yield counter-intuitive negative contributions to prediction interval width, meaning the addition of informative features can paradoxically inflate interval widths due to finite-sample calibration variance rather than underlying aleatoric noise.</w:t>
      </w:r>
    </w:p>
    <w:p>
      <w:pPr>
        <w:numPr>
          <w:ilvl w:val="0"/>
          <w:numId w:val="1002"/>
        </w:numPr>
        <w:pStyle w:val="Compact"/>
      </w:pPr>
      <w:r>
        <w:rPr>
          <w:bCs/>
          <w:b/>
        </w:rPr>
        <w:t xml:space="preserve">Operational Threats to Trust:</w:t>
      </w:r>
      <w:r>
        <w:t xml:space="preserve"> </w:t>
      </w:r>
      <w:r>
        <w:t xml:space="preserve">In regulated settings (e.g., credit underwriting or clinical risk), presenting end-users with negative uncertainty attributions or highly divergent rankings between Shapley and P-Shapley allocations risks explanation gaming and stakeholder confusion, weakening procedural accountability.</w:t>
      </w:r>
    </w:p>
    <w:bookmarkEnd w:id="22"/>
    <w:bookmarkStart w:id="23" w:name="reimagine"/>
    <w:p>
      <w:pPr>
        <w:pStyle w:val="Heading1"/>
      </w:pPr>
      <w:r>
        <w:t xml:space="preserve">Reimagine</w:t>
      </w:r>
    </w:p>
    <w:p>
      <w:pPr>
        <w:pStyle w:val="FirstParagraph"/>
      </w:pPr>
      <w:r>
        <w:t xml:space="preserve">To address feature entanglement without combinatorial retraining, future work should develop an In-Manifold Masked Conformal Uncertainty Attribution framework.</w:t>
      </w:r>
    </w:p>
    <w:p>
      <w:pPr>
        <w:numPr>
          <w:ilvl w:val="0"/>
          <w:numId w:val="1003"/>
        </w:numPr>
        <w:pStyle w:val="Compact"/>
      </w:pPr>
      <w:r>
        <w:rPr>
          <w:bCs/>
          <w:b/>
        </w:rPr>
        <w:t xml:space="preserve">Methodological Extension:</w:t>
      </w:r>
      <w:r>
        <w:t xml:space="preserve"> </w:t>
      </w:r>
      <w:r>
        <w:t xml:space="preserve">Instead of retraining</w:t>
      </w:r>
      <w:r>
        <w:t xml:space="preserve"> </w:t>
      </w:r>
      <m:oMath>
        <m:sSup>
          <m:e>
            <m:r>
              <m:t>2</m:t>
            </m:r>
          </m:e>
          <m:sup>
            <m:r>
              <m:t>d</m:t>
            </m:r>
          </m:sup>
        </m:sSup>
      </m:oMath>
      <w:r>
        <w:t xml:space="preserve"> </w:t>
      </w:r>
      <w:r>
        <w:t xml:space="preserve">separate estimators on sub-vectors</w:t>
      </w:r>
      <w:r>
        <w:t xml:space="preserve"> </w:t>
      </w:r>
      <m:oMath>
        <m:sSub>
          <m:e>
            <m:r>
              <m:t>X</m:t>
            </m:r>
          </m:e>
          <m:sub>
            <m:r>
              <m:t>A</m:t>
            </m:r>
          </m:sub>
        </m:sSub>
      </m:oMath>
      <w:r>
        <w:t xml:space="preserve">, deploy conditional generative diffusion or masked autoencoders to marginalize out excluded features</w:t>
      </w:r>
      <w:r>
        <w:t xml:space="preserve"> </w:t>
      </w:r>
      <m:oMath>
        <m:r>
          <m:t>D</m:t>
        </m:r>
        <m:r>
          <m:rPr>
            <m:sty m:val="p"/>
          </m:rPr>
          <m:t>\</m:t>
        </m:r>
        <m:r>
          <m:t>A</m:t>
        </m:r>
      </m:oMath>
      <w:r>
        <w:t xml:space="preserve"> </w:t>
      </w:r>
      <w:r>
        <w:t xml:space="preserve">while preserving the joint observational manifold</w:t>
      </w:r>
      <w:r>
        <w:t xml:space="preserve"> </w:t>
      </w:r>
      <m:oMath>
        <m:r>
          <m:t>P</m:t>
        </m:r>
        <m:d>
          <m:dPr>
            <m:begChr m:val="("/>
            <m:endChr m:val=")"/>
            <m:sepChr m:val=""/>
            <m:grow/>
          </m:dPr>
          <m:e>
            <m:r>
              <m:t>X</m:t>
            </m:r>
          </m:e>
        </m:d>
      </m:oMath>
      <w:r>
        <w:t xml:space="preserve">.</w:t>
      </w:r>
    </w:p>
    <w:p>
      <w:pPr>
        <w:numPr>
          <w:ilvl w:val="0"/>
          <w:numId w:val="1003"/>
        </w:numPr>
        <w:pStyle w:val="Compact"/>
      </w:pPr>
      <w:r>
        <w:rPr>
          <w:bCs/>
          <w:b/>
        </w:rPr>
        <w:t xml:space="preserve">Surrogate Amortization:</w:t>
      </w:r>
      <w:r>
        <w:t xml:space="preserve"> </w:t>
      </w:r>
      <w:r>
        <w:t xml:space="preserve">Combine this with an amortized actor-critic network (extending FastSHAP principles) trained to predict the conformal quantile boundaries directly for any arbitrary coalition mask.</w:t>
      </w:r>
    </w:p>
    <w:p>
      <w:pPr>
        <w:numPr>
          <w:ilvl w:val="0"/>
          <w:numId w:val="1003"/>
        </w:numPr>
        <w:pStyle w:val="Compact"/>
      </w:pPr>
      <w:r>
        <w:rPr>
          <w:bCs/>
          <w:b/>
        </w:rPr>
        <w:t xml:space="preserve">Validation Protocol:</w:t>
      </w:r>
      <w:r>
        <w:t xml:space="preserve"> </w:t>
      </w:r>
      <w:r>
        <w:t xml:space="preserve">Evaluate this pipeline against Il Idrissi et al.’s exact retrained baseline across high-dimensional tabular datasets exhibiting severe multicollinearity (e.g., spatial gene expression or macroeconomic time series).</w:t>
      </w:r>
    </w:p>
    <w:p>
      <w:pPr>
        <w:numPr>
          <w:ilvl w:val="0"/>
          <w:numId w:val="1003"/>
        </w:numPr>
        <w:pStyle w:val="Compact"/>
      </w:pPr>
      <w:r>
        <w:rPr>
          <w:bCs/>
          <w:b/>
        </w:rPr>
        <w:t xml:space="preserve">Target Knowledge:</w:t>
      </w:r>
      <w:r>
        <w:t xml:space="preserve"> </w:t>
      </w:r>
      <w:r>
        <w:t xml:space="preserve">This extension would establish whether conditional in-manifold imputation eliminates spurious negative allocations, mitigates exchangeability degradation during calibration, and enables real-time uncertainty explanations suitable for live operational pipelines.</w:t>
      </w:r>
    </w:p>
    <w:bookmarkEnd w:id="23"/>
    <w:bookmarkStart w:id="24" w:name="reference"/>
    <w:p>
      <w:pPr>
        <w:pStyle w:val="Heading1"/>
      </w:pPr>
      <w:r>
        <w:t xml:space="preserve">Reference</w:t>
      </w:r>
    </w:p>
    <w:p>
      <w:pPr>
        <w:pStyle w:val="FirstParagraph"/>
      </w:pPr>
      <w:r>
        <w:t xml:space="preserve">Idrissi, M. I., Machado, A. F., Gallic, E., &amp; Charpentier, A. (2025). Unveil sources of uncertainty: Feature contribution to conformal prediction intervals. arXiv preprint arXiv:2505.13118.</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PAIR Scholarly Reflection: Unveil Sources of Uncertainty: Feature Contribution to Conformal Prediction Interval</dc:title>
  <dc:creator>Halson Ogeto Nyaberi</dc:creator>
  <cp:keywords/>
  <dcterms:created xsi:type="dcterms:W3CDTF">2026-10-03T05:11:55Z</dcterms:created>
  <dcterms:modified xsi:type="dcterms:W3CDTF">2026-10-03T05:11:55Z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2026-10-03</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