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PAIR</w:t>
      </w:r>
      <w:r>
        <w:t xml:space="preserve"> </w:t>
      </w:r>
      <w:r>
        <w:t xml:space="preserve">Scholarly</w:t>
      </w:r>
      <w:r>
        <w:t xml:space="preserve"> </w:t>
      </w:r>
      <w:r>
        <w:t xml:space="preserve">Reflection</w:t>
      </w:r>
      <w:r>
        <w:t xml:space="preserve"> </w:t>
      </w:r>
      <w:r>
        <w:t xml:space="preserve">#3</w:t>
      </w:r>
    </w:p>
    <w:p>
      <w:pPr>
        <w:pStyle w:val="Subtitle"/>
      </w:pPr>
      <w:r>
        <w:t xml:space="preserve">Deconstructing</w:t>
      </w:r>
      <w:r>
        <w:t xml:space="preserve"> </w:t>
      </w:r>
      <w:r>
        <w:t xml:space="preserve">Predictive</w:t>
      </w:r>
      <w:r>
        <w:t xml:space="preserve"> </w:t>
      </w:r>
      <w:r>
        <w:t xml:space="preserve">Uncertainty</w:t>
      </w:r>
      <w:r>
        <w:t xml:space="preserve"> </w:t>
      </w:r>
      <w:r>
        <w:t xml:space="preserve">and</w:t>
      </w:r>
      <w:r>
        <w:t xml:space="preserve"> </w:t>
      </w:r>
      <w:r>
        <w:t xml:space="preserve">Individual</w:t>
      </w:r>
      <w:r>
        <w:t xml:space="preserve"> </w:t>
      </w:r>
      <w:r>
        <w:t xml:space="preserve">Trust</w:t>
      </w:r>
    </w:p>
    <w:p>
      <w:pPr>
        <w:pStyle w:val="Author"/>
      </w:pPr>
      <w:r>
        <w:t xml:space="preserve">Halson</w:t>
      </w:r>
      <w:r>
        <w:t xml:space="preserve"> </w:t>
      </w:r>
      <w:r>
        <w:t xml:space="preserve">Ogeto</w:t>
      </w:r>
      <w:r>
        <w:t xml:space="preserve"> </w:t>
      </w:r>
      <w:r>
        <w:t xml:space="preserve">Nyaberi</w:t>
      </w:r>
    </w:p>
    <w:p>
      <w:pPr>
        <w:pStyle w:val="Date"/>
      </w:pPr>
      <w:r>
        <w:t xml:space="preserve">2026-10-02</w:t>
      </w:r>
    </w:p>
    <w:p>
      <w:pPr>
        <w:pStyle w:val="FirstParagraph"/>
      </w:pPr>
      <w:r>
        <w:t xml:space="preserve">title:</w:t>
      </w:r>
      <w:r>
        <w:t xml:space="preserve"> </w:t>
      </w:r>
      <w:r>
        <w:t xml:space="preserve">“</w:t>
      </w:r>
      <w:r>
        <w:t xml:space="preserve">PAIR Scholarly Reflection #3</w:t>
      </w:r>
      <w:r>
        <w:t xml:space="preserve">”</w:t>
      </w:r>
      <w:r>
        <w:t xml:space="preserve"> </w:t>
      </w:r>
      <w:r>
        <w:t xml:space="preserve">subtitle:</w:t>
      </w:r>
      <w:r>
        <w:t xml:space="preserve"> </w:t>
      </w:r>
      <w:r>
        <w:t xml:space="preserve">“</w:t>
      </w:r>
      <w:r>
        <w:t xml:space="preserve">Deconstructing Predictive Uncertainty and Individual Trust</w:t>
      </w:r>
      <w:r>
        <w:t xml:space="preserve">”</w:t>
      </w:r>
      <w:r>
        <w:t xml:space="preserve"> </w:t>
      </w:r>
      <w:r>
        <w:t xml:space="preserve">author:</w:t>
      </w:r>
      <w:r>
        <w:t xml:space="preserve"> </w:t>
      </w:r>
      <w:r>
        <w:t xml:space="preserve">“</w:t>
      </w:r>
      <w:r>
        <w:t xml:space="preserve">Halson Ogeto Nyaberi</w:t>
      </w:r>
      <w:r>
        <w:t xml:space="preserve">”</w:t>
      </w:r>
      <w:r>
        <w:t xml:space="preserve"> </w:t>
      </w:r>
      <w:r>
        <w:t xml:space="preserve">date:</w:t>
      </w:r>
      <w:r>
        <w:t xml:space="preserve"> </w:t>
      </w:r>
      <w:r>
        <w:t xml:space="preserve">“</w:t>
      </w:r>
      <w:r>
        <w:t xml:space="preserve">October 2, 2026</w:t>
      </w:r>
      <w:r>
        <w:t xml:space="preserve">”</w:t>
      </w:r>
      <w:r>
        <w:t xml:space="preserve"> </w:t>
      </w:r>
      <w:r>
        <w:t xml:space="preserve">format:</w:t>
      </w:r>
      <w:r>
        <w:t xml:space="preserve"> </w:t>
      </w:r>
      <w:r>
        <w:t xml:space="preserve">html:</w:t>
      </w:r>
      <w:r>
        <w:t xml:space="preserve"> </w:t>
      </w:r>
      <w:r>
        <w:t xml:space="preserve">toc: true</w:t>
      </w:r>
      <w:r>
        <w:t xml:space="preserve"> </w:t>
      </w:r>
      <w:r>
        <w:t xml:space="preserve">number-sections: true</w:t>
      </w:r>
      <w:r>
        <w:t xml:space="preserve"> </w:t>
      </w:r>
      <w:r>
        <w:t xml:space="preserve">theme: cosmo</w:t>
      </w:r>
      <w:r>
        <w:t xml:space="preserve"> </w:t>
      </w:r>
      <w:r>
        <w:t xml:space="preserve">code-fold: true</w:t>
      </w:r>
      <w:r>
        <w:t xml:space="preserve"> </w:t>
      </w:r>
      <w:r>
        <w:t xml:space="preserve">pdf:</w:t>
      </w:r>
      <w:r>
        <w:t xml:space="preserve"> </w:t>
      </w:r>
      <w:r>
        <w:t xml:space="preserve">toc: true</w:t>
      </w:r>
      <w:r>
        <w:t xml:space="preserve"> </w:t>
      </w:r>
      <w:r>
        <w:t xml:space="preserve">number-sections: true</w:t>
      </w:r>
      <w:r>
        <w:t xml:space="preserve"> </w:t>
      </w:r>
      <w:r>
        <w:t xml:space="preserve">geometry: margin=1in</w:t>
      </w:r>
    </w:p>
    <w:p>
      <w:r>
        <w:pict>
          <v:rect style="width:0;height:1.5pt" o:hralign="center" o:hrstd="t" o:hr="t"/>
        </w:pict>
      </w:r>
    </w:p>
    <w:bookmarkStart w:id="20" w:name="position"/>
    <w:p>
      <w:pPr>
        <w:pStyle w:val="Heading1"/>
      </w:pPr>
      <w:r>
        <w:t xml:space="preserve">Position</w:t>
      </w:r>
    </w:p>
    <w:p>
      <w:pPr>
        <w:pStyle w:val="FirstParagraph"/>
      </w:pPr>
      <w:r>
        <w:t xml:space="preserve">Conventional Explainable Artificial Intelligence (XAI) frameworks—most notably SHAP—operate under a critical limitation: they decompose conditional mean expectations (</w:t>
      </w:r>
      <m:oMath>
        <m:acc>
          <m:accPr>
            <m:chr m:val="̂"/>
          </m:accPr>
          <m:e>
            <m:r>
              <m:t>f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), largely ignoring model variance, tail risk, and epistemic boundaries[cite: 1, 4, 18]. When evaluating high-stakes decision workflows (e.g., healthcare diagnostics, recidivism estimation, credit underwriting), knowing why a model selected a single point value is insufficient to assess whether that output is dependable[cite: 1, 2].</w:t>
      </w:r>
    </w:p>
    <w:p>
      <w:pPr>
        <w:pStyle w:val="BodyText"/>
      </w:pPr>
      <w:r>
        <w:t xml:space="preserve">@ilidrissi2025unveil</w:t>
      </w:r>
      <w:r>
        <w:t xml:space="preserve"> </w:t>
      </w:r>
      <w:r>
        <w:t xml:space="preserve">address this disconnect by bridging split conformal prediction (SCP) with cooperative game theory to establish a model-agnostic Uncertainty Attribution (UA) framework[cite: 1, 4]. Instead of treating predictive intervals as uninspected scalar margins, their approach formulates cooperative games whose characteristic value functions directly reflect interval properties: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Prediction Interval Width:</w:t>
      </w:r>
      <w:r>
        <w:t xml:space="preserve"> </w:t>
      </w:r>
      <m:oMath>
        <m:sSub>
          <m:e>
            <m:r>
              <m:t>v</m:t>
            </m:r>
          </m:e>
          <m:sub>
            <m:r>
              <m:t>w</m:t>
            </m:r>
            <m:r>
              <m:t>C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x</m:t>
            </m:r>
          </m:e>
        </m:d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Δ</m:t>
        </m:r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A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</m:sup>
            </m:sSup>
          </m:e>
        </m:d>
      </m:oMath>
      <w:r>
        <w:t xml:space="preserve">[cite: 5]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Lower Bound:</w:t>
      </w:r>
      <w: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o</m:t>
            </m:r>
            <m:r>
              <m:t>w</m:t>
            </m:r>
            <m:r>
              <m:t>C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x</m:t>
            </m:r>
          </m:e>
        </m:d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inf</m:t>
        </m:r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A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</m:sup>
            </m:sSup>
          </m:e>
        </m:d>
      </m:oMath>
      <w:r>
        <w:t xml:space="preserve">[cite: 5]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Upper Bound:</w:t>
      </w:r>
      <w:r>
        <w:t xml:space="preserve"> </w:t>
      </w:r>
      <m:oMath>
        <m:sSub>
          <m:e>
            <m:r>
              <m:t>v</m:t>
            </m:r>
          </m:e>
          <m:sub>
            <m:r>
              <m:t>u</m:t>
            </m:r>
            <m:r>
              <m:t>p</m:t>
            </m:r>
            <m:r>
              <m:t>C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x</m:t>
            </m:r>
          </m:e>
        </m:d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sup</m:t>
        </m:r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A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</m:sup>
            </m:sSup>
          </m:e>
        </m:d>
      </m:oMath>
      <w:r>
        <w:t xml:space="preserve">[cite: 5]</w:t>
      </w:r>
    </w:p>
    <w:p>
      <w:pPr>
        <w:pStyle w:val="FirstParagraph"/>
      </w:pPr>
      <w:r>
        <w:t xml:space="preserve">The central contribution of the study is twofold: generalizing beyond standard Shapley values to the broader class of Harsanyi allocations (specifically proportional Shapley values) and providing an efficient Monte Carlo permutation-sampling scheme backed by asymptotic normality guarantees[cite: 1, 4, 6, 24].</w:t>
      </w:r>
    </w:p>
    <w:p>
      <w:pPr>
        <w:pStyle w:val="BodyText"/>
      </w:pPr>
      <w:r>
        <w:t xml:space="preserve">This work fundamentally recalibrates trustworthy predictive AI:</w:t>
      </w:r>
      <w:r>
        <w:t xml:space="preserve"> </w:t>
      </w:r>
      <w:r>
        <w:rPr>
          <w:bCs/>
          <w:b/>
        </w:rPr>
        <w:t xml:space="preserve">individual prediction trust shifts from a reliance on the feature drivers of a point estimate to a verified understanding of which inputs govern the margin of error and boundary risks</w:t>
      </w:r>
      <w:r>
        <w:t xml:space="preserve">[cite: 1, 2, 4].</w:t>
      </w:r>
    </w:p>
    <w:bookmarkEnd w:id="20"/>
    <w:bookmarkStart w:id="21" w:name="analyze"/>
    <w:p>
      <w:pPr>
        <w:pStyle w:val="Heading1"/>
      </w:pPr>
      <w:r>
        <w:t xml:space="preserve">Analyze</w:t>
      </w:r>
    </w:p>
    <w:p>
      <w:pPr>
        <w:pStyle w:val="FirstParagraph"/>
      </w:pPr>
      <w:r>
        <w:t xml:space="preserve">The authors assess their framework across synthetic settings (Sobol-Levitan and modified Friedman benchmarks) and seven real-world datasets spanning diverse dimensionalities and sample sizes (e.g.,</w:t>
      </w:r>
      <w:r>
        <w:t xml:space="preserve"> </w:t>
      </w:r>
      <w:r>
        <w:rPr>
          <w:iCs/>
          <w:i/>
        </w:rPr>
        <w:t xml:space="preserve">bike</w:t>
      </w:r>
      <w:r>
        <w:t xml:space="preserve">,</w:t>
      </w:r>
      <w:r>
        <w:t xml:space="preserve"> </w:t>
      </w:r>
      <w:r>
        <w:rPr>
          <w:iCs/>
          <w:i/>
        </w:rPr>
        <w:t xml:space="preserve">casp</w:t>
      </w:r>
      <w:r>
        <w:t xml:space="preserve">,</w:t>
      </w:r>
      <w:r>
        <w:t xml:space="preserve"> </w:t>
      </w:r>
      <w:r>
        <w:rPr>
          <w:iCs/>
          <w:i/>
        </w:rPr>
        <w:t xml:space="preserve">concrete</w:t>
      </w:r>
      <w:r>
        <w:t xml:space="preserve">,</w:t>
      </w:r>
      <w:r>
        <w:t xml:space="preserve"> </w:t>
      </w:r>
      <w:r>
        <w:rPr>
          <w:iCs/>
          <w:i/>
        </w:rPr>
        <w:t xml:space="preserve">facebook</w:t>
      </w:r>
      <w:r>
        <w:t xml:space="preserve">,</w:t>
      </w:r>
      <w:r>
        <w:t xml:space="preserve"> </w:t>
      </w:r>
      <w:r>
        <w:rPr>
          <w:iCs/>
          <w:i/>
        </w:rPr>
        <w:t xml:space="preserve">UScrime</w:t>
      </w:r>
      <w:r>
        <w:t xml:space="preserve">)[cite: 7, 8, 9, 10, 26]. The empirical evidence provides compelling support for their primary theoretical claims: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Decoupling Moments from Quantiles:</w:t>
      </w:r>
      <w:r>
        <w:t xml:space="preserve"> </w:t>
      </w:r>
      <w:r>
        <w:t xml:space="preserve">On the modified Friedman benchmark—where conditional mean (</w:t>
      </w:r>
      <m:oMath>
        <m:sSub>
          <m:e>
            <m:r>
              <m:t>X</m:t>
            </m:r>
          </m:e>
          <m:sub>
            <m:r>
              <m:t>6</m:t>
            </m:r>
          </m:sub>
        </m:sSub>
        <m:r>
          <m:rPr>
            <m:nor/>
            <m:sty m:val="p"/>
          </m:rPr>
          <m:t>–</m:t>
        </m:r>
        <m:sSub>
          <m:e>
            <m:r>
              <m:t>X</m:t>
            </m:r>
          </m:e>
          <m:sub>
            <m:r>
              <m:t>10</m:t>
            </m:r>
          </m:sub>
        </m:sSub>
      </m:oMath>
      <w:r>
        <w:t xml:space="preserve">) and conditional variance (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nor/>
            <m:sty m:val="p"/>
          </m:rPr>
          <m:t>–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) are driven by disjoint sets of covariates—interval width attributions via Locally Adaptive Conformal Prediction (LACP) and Conformalized Quantile Regression (CQR) correctly isolate dispersion drivers without mistaking them for mean effectors[cite: 8]. This empirically proves that quantile-based conformal attribution captures structural dispersion inaccessible to standard moment-based SHAP[cite: 8, 10].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Sensitivity to Allocation Norms:</w:t>
      </w:r>
      <w:r>
        <w:t xml:space="preserve"> </w:t>
      </w:r>
      <w:r>
        <w:t xml:space="preserve">Evaluated across LightGBM, Random Forests, and Quantile Regressors, Shapley and Proportional Shapley (P-Shapley) values yield divergent rankings on complex real manifolds such as the</w:t>
      </w:r>
      <w:r>
        <w:t xml:space="preserve"> </w:t>
      </w:r>
      <w:r>
        <w:rPr>
          <w:iCs/>
          <w:i/>
        </w:rPr>
        <w:t xml:space="preserve">facebook</w:t>
      </w:r>
      <w:r>
        <w:t xml:space="preserve"> </w:t>
      </w:r>
      <w:r>
        <w:t xml:space="preserve">dataset[cite: 8, 9, 10]. Concordance between allocations acts as an indicator of explanatory stability, while divergence highlights coalition dividend dynamics that egalitarian Shapley values flatten[cite: 4, 5, 10].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Computational Guarantees:</w:t>
      </w:r>
      <w:r>
        <w:t xml:space="preserve"> </w:t>
      </w:r>
      <w:r>
        <w:t xml:space="preserve">The permutation-based Monte Carlo sampling scheme achieves empirical convergence to exact values with model evaluations scaling significantly below the theoretical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ceiling, delivering order-of-magnitude wall-clock speedups[cite: 6, 7, 24].</w:t>
      </w:r>
    </w:p>
    <w:p>
      <w:pPr>
        <w:pStyle w:val="FirstParagraph"/>
      </w:pPr>
      <w:r>
        <w:t xml:space="preserve">The authors’ experimental pipeline successfully demonstrates that uncertainty attribution is orthogonal to point attribution, offering an indispensable diagnostic layer for validating model predictions[cite: 1, 8, 10].</w:t>
      </w:r>
    </w:p>
    <w:bookmarkEnd w:id="21"/>
    <w:bookmarkStart w:id="22" w:name="interrogate"/>
    <w:p>
      <w:pPr>
        <w:pStyle w:val="Heading1"/>
      </w:pPr>
      <w:r>
        <w:t xml:space="preserve">Interrogate</w:t>
      </w:r>
    </w:p>
    <w:p>
      <w:pPr>
        <w:pStyle w:val="FirstParagraph"/>
      </w:pPr>
      <w:r>
        <w:t xml:space="preserve">Applying the</w:t>
      </w:r>
      <w:r>
        <w:t xml:space="preserve"> </w:t>
      </w:r>
      <w:r>
        <w:rPr>
          <w:bCs/>
          <w:b/>
        </w:rPr>
        <w:t xml:space="preserve">Prediction Trust Audit</w:t>
      </w:r>
      <w:r>
        <w:t xml:space="preserve"> </w:t>
      </w:r>
      <w:r>
        <w:t xml:space="preserve">reveals key methodological tensions and validity boundaries in the proposed setup: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Sub-model Retraining and Exchangeability Violations:</w:t>
      </w:r>
      <w:r>
        <w:t xml:space="preserve"> </w:t>
      </w:r>
      <w:r>
        <w:t xml:space="preserve">Both the exact (Algorithm 1) and Monte Carlo (Algorithm 2) procedures require retraining models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 computing calibration scores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across feature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D</m:t>
        </m:r>
      </m:oMath>
      <w:r>
        <w:t xml:space="preserve">[cite: 5, 6]. Conformal validity relies strictly on the exchangeability of calibration and test data[cite: 3]. Projecting data onto lower-dimensional subspaces</w:t>
      </w:r>
      <w:r>
        <w:t xml:space="preserve"> </w:t>
      </w:r>
      <m:oMath>
        <m:sSup>
          <m:e>
            <m:r>
              <m:t>X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</m:e>
            </m:d>
          </m:sup>
        </m:sSup>
      </m:oMath>
      <w:r>
        <w:t xml:space="preserve"> </w:t>
      </w:r>
      <w:r>
        <w:t xml:space="preserve">alters the correlation structure and residual behavior, potentially violating exchangeability across sub-coalitions when variables are highly correlated[cite: 3, 5, 6].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Non-Monotonicity and Negative Allocations:</w:t>
      </w:r>
      <w:r>
        <w:t xml:space="preserve"> </w:t>
      </w:r>
      <w:r>
        <w:t xml:space="preserve">Unlike probability measures, conformal intervals for nested sub-models are not monotonic: adding features does not guarantee a narrower interval (</w:t>
      </w:r>
      <m:oMath>
        <m:r>
          <m:t>A</m:t>
        </m:r>
        <m:r>
          <m:rPr>
            <m:sty m:val="p"/>
          </m:rPr>
          <m:t>⊂</m:t>
        </m:r>
        <m:r>
          <m:t>B</m:t>
        </m:r>
        <m:box>
          <m:boxPr>
            <m:opEmu m:val="on"/>
          </m:boxPr>
          <m:e>
            <m:r>
              <m:rPr>
                <m:sty m:val="p"/>
              </m:rPr>
              <m:t>⇏</m:t>
            </m:r>
          </m:e>
        </m:box>
        <m:sSub>
          <m:e>
            <m:r>
              <m:t>v</m:t>
            </m:r>
          </m:e>
          <m:sub>
            <m:r>
              <m:t>ω</m:t>
            </m:r>
            <m:r>
              <m:t>C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ω</m:t>
            </m:r>
            <m:r>
              <m:t>C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</m:oMath>
      <w:r>
        <w:t xml:space="preserve">)[cite: 5]. Normalizing allocations against baseline empty sets can consequently generate negative contributions to interval width, implying that including informative features could paradoxically expand predictive uncertainty due to finite-sample calibration variance[cite: 5].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Operational and Regulatory Friction:</w:t>
      </w:r>
      <w:r>
        <w:t xml:space="preserve"> </w:t>
      </w:r>
      <w:r>
        <w:t xml:space="preserve">In high-stakes settings (e.g., healthcare or lending), presenting end-users or compliance auditors with divergent Shapley vs. P-Shapley rankings or counter-intuitive negative uncertainty attributions can compromise procedural trust, increasing the risk of misinterpretation[cite: 1, 5, 10].</w:t>
      </w:r>
    </w:p>
    <w:bookmarkEnd w:id="22"/>
    <w:bookmarkStart w:id="23" w:name="reimagine"/>
    <w:p>
      <w:pPr>
        <w:pStyle w:val="Heading1"/>
      </w:pPr>
      <w:r>
        <w:t xml:space="preserve">Reimagine</w:t>
      </w:r>
    </w:p>
    <w:p>
      <w:pPr>
        <w:pStyle w:val="FirstParagraph"/>
      </w:pPr>
      <w:r>
        <w:t xml:space="preserve">To resolve the combinatorial burden and manifold disruptions caused by retraining sub-models, future work should develop an</w:t>
      </w:r>
      <w:r>
        <w:t xml:space="preserve"> </w:t>
      </w:r>
      <w:r>
        <w:rPr>
          <w:bCs/>
          <w:b/>
        </w:rPr>
        <w:t xml:space="preserve">In-Manifold Masked Conformal Uncertainty Attribution</w:t>
      </w:r>
      <w:r>
        <w:t xml:space="preserve"> </w:t>
      </w:r>
      <w:r>
        <w:t xml:space="preserve">framework: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In-Manifold Masked Ensembles:</w:t>
      </w:r>
      <w:r>
        <w:t xml:space="preserve"> </w:t>
      </w:r>
      <w:r>
        <w:t xml:space="preserve">Rather than refitting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distinct models on marginal projections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A</m:t>
            </m:r>
          </m:sub>
        </m:sSub>
      </m:oMath>
      <w:r>
        <w:t xml:space="preserve">, train a single backbone conditioned on feature inclusion masks, paired with conditional generative diffusion or masked autoencoders to integrate over missing features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within the empirical data manifold[cite: 3, 5, 6].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Amortized Quantile Surrogates:</w:t>
      </w:r>
      <w:r>
        <w:t xml:space="preserve"> </w:t>
      </w:r>
      <w:r>
        <w:t xml:space="preserve">Train an amortized surrogate network—extending FastSHAP principles to conformal value functions—to predict the calibrated quantile intervals directly for any coalition vector, eliminating the need to re-evaluate conformity scores over permutations[cite: 6, 10, 13].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Hypothesis and Empirical Verification:</w:t>
      </w:r>
      <w:r>
        <w:t xml:space="preserve"> </w:t>
      </w:r>
      <w:r>
        <w:t xml:space="preserve">Test this architecture on high-dimensional clinical and spatial datasets against Il Idrissi et al.’s exact retrained baseline[cite: 8, 26].</w:t>
      </w:r>
    </w:p>
    <w:p>
      <w:pPr>
        <w:pStyle w:val="FirstParagraph"/>
      </w:pPr>
      <w:r>
        <w:t xml:space="preserve">This extension would directly assess whether in-manifold imputation eliminates spurious negative allocations, preserves conformal exchangeability guarantees, and reduces computational latency to millisecond intervals required for production deployment[cite: 3, 5, 6].</w:t>
      </w:r>
    </w:p>
    <w:bookmarkEnd w:id="23"/>
    <w:bookmarkStart w:id="24" w:name="references"/>
    <w:p>
      <w:pPr>
        <w:pStyle w:val="Heading1"/>
      </w:pPr>
      <w:r>
        <w:t xml:space="preserve">References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PAIR Scholarly Reflection #3</dc:title>
  <dc:creator>Halson Ogeto Nyaberi</dc:creator>
  <cp:keywords/>
  <dcterms:created xsi:type="dcterms:W3CDTF">2026-10-03T01:48:53Z</dcterms:created>
  <dcterms:modified xsi:type="dcterms:W3CDTF">2026-10-03T01:48:53Z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Deconstructing Predictive Uncertainty and Individual Trust</vt:lpwstr>
  </property>
  <property fmtid="{D5CDD505-2E9C-101B-9397-08002B2CF9AE}" pid="11" name="toc-title">
    <vt:lpwstr>Table of contents</vt:lpwstr>
  </property>
</Properties>
</file>