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PAIR</w:t>
      </w:r>
      <w:r>
        <w:t xml:space="preserve"> </w:t>
      </w:r>
      <w:r>
        <w:t xml:space="preserve">Scholarly</w:t>
      </w:r>
      <w:r>
        <w:t xml:space="preserve"> </w:t>
      </w:r>
      <w:r>
        <w:t xml:space="preserve">Reflection</w:t>
      </w:r>
      <w:r>
        <w:t xml:space="preserve"> </w:t>
      </w:r>
      <w:r>
        <w:t xml:space="preserve">#3:</w:t>
      </w:r>
      <w:r>
        <w:t xml:space="preserve"> </w:t>
      </w:r>
      <w:r>
        <w:t xml:space="preserve">Epistemic</w:t>
      </w:r>
      <w:r>
        <w:t xml:space="preserve"> </w:t>
      </w:r>
      <w:r>
        <w:t xml:space="preserve">Bounds</w:t>
      </w:r>
      <w:r>
        <w:t xml:space="preserve"> </w:t>
      </w:r>
      <w:r>
        <w:t xml:space="preserve">and</w:t>
      </w:r>
      <w:r>
        <w:t xml:space="preserve"> </w:t>
      </w:r>
      <w:r>
        <w:t xml:space="preserve">Prediction</w:t>
      </w:r>
      <w:r>
        <w:t xml:space="preserve"> </w:t>
      </w:r>
      <w:r>
        <w:t xml:space="preserve">Trust</w:t>
      </w:r>
    </w:p>
    <w:p>
      <w:pPr>
        <w:pStyle w:val="Subtitle"/>
      </w:pPr>
      <w:r>
        <w:t xml:space="preserve">Deconstructing</w:t>
      </w:r>
      <w:r>
        <w:t xml:space="preserve"> </w:t>
      </w:r>
      <w:r>
        <w:t xml:space="preserve">Predictive</w:t>
      </w:r>
      <w:r>
        <w:t xml:space="preserve"> </w:t>
      </w:r>
      <w:r>
        <w:t xml:space="preserve">Uncertainty</w:t>
      </w:r>
      <w:r>
        <w:t xml:space="preserve"> </w:t>
      </w:r>
      <w:r>
        <w:t xml:space="preserve">in</w:t>
      </w:r>
      <w:r>
        <w:t xml:space="preserve"> </w:t>
      </w:r>
      <w:r>
        <w:t xml:space="preserve">Decision-Critical</w:t>
      </w:r>
      <w:r>
        <w:t xml:space="preserve"> </w:t>
      </w:r>
      <w:r>
        <w:t xml:space="preserve">AI</w:t>
      </w:r>
    </w:p>
    <w:p>
      <w:pPr>
        <w:pStyle w:val="Author"/>
      </w:pPr>
      <w:r>
        <w:t xml:space="preserve">Halson</w:t>
      </w:r>
      <w:r>
        <w:t xml:space="preserve"> </w:t>
      </w:r>
      <w:r>
        <w:t xml:space="preserve">Ogeto</w:t>
      </w:r>
      <w:r>
        <w:t xml:space="preserve"> </w:t>
      </w:r>
      <w:r>
        <w:t xml:space="preserve">Nyaberi</w:t>
      </w:r>
    </w:p>
    <w:p>
      <w:pPr>
        <w:pStyle w:val="Date"/>
      </w:pPr>
      <w:r>
        <w:t xml:space="preserve">2026-10-02</w:t>
      </w:r>
    </w:p>
    <w:p>
      <w:pPr>
        <w:pStyle w:val="FirstParagraph"/>
      </w:pPr>
      <w:r>
        <w:t xml:space="preserve">title:</w:t>
      </w:r>
      <w:r>
        <w:t xml:space="preserve"> </w:t>
      </w:r>
      <w:r>
        <w:t xml:space="preserve">“</w:t>
      </w:r>
      <w:r>
        <w:t xml:space="preserve">PAIR Scholarly Reflection #3: Epistemic Bounds and Prediction Trust</w:t>
      </w:r>
      <w:r>
        <w:t xml:space="preserve">”</w:t>
      </w:r>
      <w:r>
        <w:t xml:space="preserve"> </w:t>
      </w:r>
      <w:r>
        <w:t xml:space="preserve">subtitle:</w:t>
      </w:r>
      <w:r>
        <w:t xml:space="preserve"> </w:t>
      </w:r>
      <w:r>
        <w:t xml:space="preserve">“</w:t>
      </w:r>
      <w:r>
        <w:t xml:space="preserve">Deconstructing Predictive Uncertainty in Decision-Critical AI</w:t>
      </w:r>
      <w:r>
        <w:t xml:space="preserve">”</w:t>
      </w:r>
      <w:r>
        <w:t xml:space="preserve"> </w:t>
      </w:r>
      <w:r>
        <w:t xml:space="preserve">author:</w:t>
      </w:r>
      <w:r>
        <w:t xml:space="preserve"> </w:t>
      </w:r>
      <w:r>
        <w:t xml:space="preserve">“</w:t>
      </w:r>
      <w:r>
        <w:t xml:space="preserve">Halson Ogeto Nyaberi</w:t>
      </w:r>
      <w:r>
        <w:t xml:space="preserve">”</w:t>
      </w:r>
      <w:r>
        <w:t xml:space="preserve"> </w:t>
      </w:r>
      <w:r>
        <w:t xml:space="preserve">date:</w:t>
      </w:r>
      <w:r>
        <w:t xml:space="preserve"> </w:t>
      </w:r>
      <w:r>
        <w:t xml:space="preserve">“</w:t>
      </w:r>
      <w:r>
        <w:t xml:space="preserve">October 2, 2026</w:t>
      </w:r>
      <w:r>
        <w:t xml:space="preserve">”</w:t>
      </w:r>
      <w:r>
        <w:t xml:space="preserve"> </w:t>
      </w:r>
      <w:r>
        <w:t xml:space="preserve">format:</w:t>
      </w:r>
      <w:r>
        <w:t xml:space="preserve"> </w:t>
      </w:r>
      <w:r>
        <w:t xml:space="preserve">pdf:</w:t>
      </w:r>
      <w:r>
        <w:t xml:space="preserve"> </w:t>
      </w:r>
      <w:r>
        <w:t xml:space="preserve">documentclass: article</w:t>
      </w:r>
      <w:r>
        <w:t xml:space="preserve"> </w:t>
      </w:r>
      <w:r>
        <w:t xml:space="preserve">geometry:</w:t>
      </w:r>
      <w:r>
        <w:t xml:space="preserve"> </w:t>
      </w:r>
      <w:r>
        <w:t xml:space="preserve">- margin=1in</w:t>
      </w:r>
      <w:r>
        <w:t xml:space="preserve"> </w:t>
      </w:r>
      <w:r>
        <w:t xml:space="preserve">linestretch: 1.15</w:t>
      </w:r>
      <w:r>
        <w:t xml:space="preserve"> </w:t>
      </w:r>
      <w:r>
        <w:t xml:space="preserve">fontsize: 11pt</w:t>
      </w:r>
      <w:r>
        <w:t xml:space="preserve"> </w:t>
      </w:r>
      <w:r>
        <w:t xml:space="preserve">html:</w:t>
      </w:r>
      <w:r>
        <w:t xml:space="preserve"> </w:t>
      </w:r>
      <w:r>
        <w:t xml:space="preserve">theme: cosmo</w:t>
      </w:r>
      <w:r>
        <w:t xml:space="preserve"> </w:t>
      </w:r>
      <w:r>
        <w:t xml:space="preserve">toc: true</w:t>
      </w:r>
      <w:r>
        <w:t xml:space="preserve"> </w:t>
      </w:r>
      <w:r>
        <w:t xml:space="preserve">number-sections: true</w:t>
      </w:r>
    </w:p>
    <w:p>
      <w:r>
        <w:pict>
          <v:rect style="width:0;height:1.5pt" o:hralign="center" o:hrstd="t" o:hr="t"/>
        </w:pict>
      </w:r>
    </w:p>
    <w:bookmarkStart w:id="20" w:name="introduction"/>
    <w:p>
      <w:pPr>
        <w:pStyle w:val="Heading1"/>
      </w:pPr>
      <w:r>
        <w:t xml:space="preserve">Introduction</w:t>
      </w:r>
    </w:p>
    <w:p>
      <w:pPr>
        <w:pStyle w:val="FirstParagraph"/>
      </w:pPr>
      <w:r>
        <w:t xml:space="preserve">High-stakes machine learning applications routinely treat model outputs as definitive point estimates, collapsing rich posterior distributions into single, actionable values. When deploying predictive systems across domains such as clinical risk scoring, optimal control, algorithmic logistics, or macroeconomic forecasting, confidence cannot simply be an operational proxy for high softmax probabilities or narrow empirical loss values.</w:t>
      </w:r>
    </w:p>
    <w:p>
      <w:pPr>
        <w:pStyle w:val="BodyText"/>
      </w:pPr>
      <w:r>
        <w:t xml:space="preserve">Understanding predictive uncertainty reshapes what it means to trust an individual prediction: trust shifts from a binary judgment of historical accuracy to an active assessment of whether the model understands the limits of its own knowledge space.</w:t>
      </w:r>
    </w:p>
    <w:p>
      <w:r>
        <w:pict>
          <v:rect style="width:0;height:1.5pt" o:hralign="center" o:hrstd="t" o:hr="t"/>
        </w:pict>
      </w:r>
    </w:p>
    <w:bookmarkEnd w:id="20"/>
    <w:bookmarkStart w:id="21" w:name="position"/>
    <w:p>
      <w:pPr>
        <w:pStyle w:val="Heading1"/>
      </w:pPr>
      <w:r>
        <w:t xml:space="preserve">Position</w:t>
      </w:r>
    </w:p>
    <w:p>
      <w:pPr>
        <w:pStyle w:val="FirstParagraph"/>
      </w:pPr>
      <w:r>
        <w:t xml:space="preserve">The central research problem addressed in this anchor study is the conflation of predictive confidence with true certainty in modern neural architectures. While contemporary predictive AI achieves state-of-the-art benchmark loss across complex spatial and temporal datasets, conventional optimization functions produce poorly calibrated, overconfident estimators when exposed to non-stationary environments, distribution shifts, or sparse feature regimes.</w:t>
      </w:r>
    </w:p>
    <w:p>
      <w:pPr>
        <w:pStyle w:val="BodyText"/>
      </w:pPr>
      <w:r>
        <w:t xml:space="preserve">The primary purpose of the work is to operationalize predictive uncertainty quantification (UQ)—principally separating data-inherent noise (</w:t>
      </w:r>
      <w:r>
        <w:rPr>
          <w:bCs/>
          <w:b/>
        </w:rPr>
        <w:t xml:space="preserve">aleatoric uncertainty</w:t>
      </w:r>
      <w:r>
        <w:t xml:space="preserve">) from model-specification gaps and epistemic deficits (</w:t>
      </w:r>
      <w:r>
        <w:rPr>
          <w:bCs/>
          <w:b/>
        </w:rPr>
        <w:t xml:space="preserve">epistemic uncertainty</w:t>
      </w:r>
      <w:r>
        <w:t xml:space="preserve">).</w:t>
      </w:r>
    </w:p>
    <w:p>
      <w:pPr>
        <w:pStyle w:val="BodyText"/>
      </w:pPr>
      <w:r>
        <w:t xml:space="preserve">The paper’s core contribution lies in establishing that an individual prediction cannot be validated purely via aggregate holdout metrics (e.g., RMSE, AUC-ROC, or global F1-scores). Instead, reliable decision support requires an explicit, localized confidence interval or posterior variance estimate coupled to every inferred instance.</w:t>
      </w:r>
    </w:p>
    <w:p>
      <w:pPr>
        <w:pStyle w:val="BodyText"/>
      </w:pPr>
      <w:r>
        <w:t xml:space="preserve">In predictive AI, this work is foundational: it formally transitions the definition of model trustworthiness from aggregate historical performance to calibrated instance-level reliability.</w:t>
      </w:r>
    </w:p>
    <w:p>
      <w:r>
        <w:pict>
          <v:rect style="width:0;height:1.5pt" o:hralign="center" o:hrstd="t" o:hr="t"/>
        </w:pict>
      </w:r>
    </w:p>
    <w:bookmarkEnd w:id="21"/>
    <w:bookmarkStart w:id="24" w:name="analyze"/>
    <w:p>
      <w:pPr>
        <w:pStyle w:val="Heading1"/>
      </w:pPr>
      <w:r>
        <w:t xml:space="preserve">Analyze</w:t>
      </w:r>
    </w:p>
    <w:p>
      <w:pPr>
        <w:pStyle w:val="FirstParagraph"/>
      </w:pPr>
      <w:r>
        <w:t xml:space="preserve">The authors evaluate predictive uncertainty using post-hoc calibration and ensemble-based approximations (e.g., Deep Ensembles, Monte Carlo Dropout, and Conformal Prediction). Their methodology measures performance not solely on raw predictive error, but on expected calibration error (ECE), negative log-likelihood (NLL), and prediction interval coverage probability (PICP).</w:t>
      </w:r>
    </w:p>
    <w:bookmarkStart w:id="22" w:name="methodological-strengths"/>
    <w:p>
      <w:pPr>
        <w:pStyle w:val="Heading3"/>
      </w:pPr>
      <w:r>
        <w:t xml:space="preserve">Methodological Strengths</w:t>
      </w:r>
    </w:p>
    <w:p>
      <w:pPr>
        <w:numPr>
          <w:ilvl w:val="0"/>
          <w:numId w:val="1001"/>
        </w:numPr>
        <w:pStyle w:val="Compact"/>
      </w:pPr>
      <w:r>
        <w:rPr>
          <w:bCs/>
          <w:b/>
        </w:rPr>
        <w:t xml:space="preserve">Decoupled Error Spaces:</w:t>
      </w:r>
      <w:r>
        <w:t xml:space="preserve"> </w:t>
      </w:r>
      <w:r>
        <w:t xml:space="preserve">The analytical decomposition of predictive variance allows practitioners to differentiate irreducible measurement noise from out-of-distribution (OOD) novelty.</w:t>
      </w:r>
    </w:p>
    <w:p>
      <w:pPr>
        <w:numPr>
          <w:ilvl w:val="0"/>
          <w:numId w:val="1001"/>
        </w:numPr>
        <w:pStyle w:val="Compact"/>
      </w:pPr>
      <w:r>
        <w:rPr>
          <w:bCs/>
          <w:b/>
        </w:rPr>
        <w:t xml:space="preserve">Empirical Rigor:</w:t>
      </w:r>
      <w:r>
        <w:t xml:space="preserve"> </w:t>
      </w:r>
      <w:r>
        <w:t xml:space="preserve">The empirical evaluations confirm that ensemble variance tracks structural residual spikes more effectively than conventional single-point approximations, providing an intuitive, interpretable signal for human decision-makers.</w:t>
      </w:r>
    </w:p>
    <w:bookmarkEnd w:id="22"/>
    <w:bookmarkStart w:id="23" w:name="methodological-gaps"/>
    <w:p>
      <w:pPr>
        <w:pStyle w:val="Heading3"/>
      </w:pPr>
      <w:r>
        <w:t xml:space="preserve">Methodological Gaps</w:t>
      </w:r>
    </w:p>
    <w:p>
      <w:pPr>
        <w:pStyle w:val="FirstParagraph"/>
      </w:pPr>
      <w:r>
        <w:t xml:space="preserve">The empirical evidence partially diverges from the authors’ strongest theoretical assertions:</w:t>
      </w:r>
      <w:r>
        <w:t xml:space="preserve"> </w:t>
      </w:r>
      <w:r>
        <w:t xml:space="preserve">1.</w:t>
      </w:r>
      <w:r>
        <w:t xml:space="preserve"> </w:t>
      </w:r>
      <w:r>
        <w:rPr>
          <w:bCs/>
          <w:b/>
        </w:rPr>
        <w:t xml:space="preserve">Computational Overhead vs. Practical Feasibility:</w:t>
      </w:r>
      <w:r>
        <w:t xml:space="preserve"> </w:t>
      </w:r>
      <w:r>
        <w:t xml:space="preserve">Monte Carlo approximations and deep ensembling introduce linear computational penalties during inference, making real-time deployment in latency-sensitive pipelines questionable.</w:t>
      </w:r>
      <w:r>
        <w:t xml:space="preserve"> </w:t>
      </w:r>
      <w:r>
        <w:t xml:space="preserve">2.</w:t>
      </w:r>
      <w:r>
        <w:t xml:space="preserve"> </w:t>
      </w:r>
      <w:r>
        <w:rPr>
          <w:bCs/>
          <w:b/>
        </w:rPr>
        <w:t xml:space="preserve">Pathological Calibration in Extremes:</w:t>
      </w:r>
      <w:r>
        <w:t xml:space="preserve"> </w:t>
      </w:r>
      <w:r>
        <w:t xml:space="preserve">While the aggregate calibration (ECE) improves, localized tail-risk predictions remain volatile. The empirical support degrades precisely where the feature manifold thins, revealing that aggregate calibration metrics still mask localized overconfidence in high-consequence regions.</w:t>
      </w:r>
    </w:p>
    <w:p>
      <w:r>
        <w:pict>
          <v:rect style="width:0;height:1.5pt" o:hralign="center" o:hrstd="t" o:hr="t"/>
        </w:pict>
      </w:r>
    </w:p>
    <w:bookmarkEnd w:id="23"/>
    <w:bookmarkEnd w:id="24"/>
    <w:bookmarkStart w:id="25" w:name="interrogate"/>
    <w:p>
      <w:pPr>
        <w:pStyle w:val="Heading1"/>
      </w:pPr>
      <w:r>
        <w:t xml:space="preserve">Interrogate</w:t>
      </w:r>
    </w:p>
    <w:p>
      <w:pPr>
        <w:pStyle w:val="FirstParagraph"/>
      </w:pPr>
      <w:r>
        <w:t xml:space="preserve">Applying the</w:t>
      </w:r>
      <w:r>
        <w:t xml:space="preserve"> </w:t>
      </w:r>
      <w:r>
        <w:rPr>
          <w:bCs/>
          <w:b/>
        </w:rPr>
        <w:t xml:space="preserve">Prediction Trust Audit Lens</w:t>
      </w:r>
      <w:r>
        <w:t xml:space="preserve">, the paper’s primary vulnerability lies in its implicit stationarity assumption: that calibrated uncertainties observed over validation manifolds will faithfully bound errors under real-world covariate and concept shifts.</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Audit Dimension</w:t>
            </w:r>
          </w:p>
        </w:tc>
        <w:tc>
          <w:tcPr/>
          <w:p>
            <w:pPr>
              <w:pStyle w:val="Compact"/>
              <w:jc w:val="left"/>
            </w:pPr>
            <w:r>
              <w:t xml:space="preserve">Core Assumption / Vulnerability</w:t>
            </w:r>
          </w:p>
        </w:tc>
        <w:tc>
          <w:tcPr/>
          <w:p>
            <w:pPr>
              <w:pStyle w:val="Compact"/>
              <w:jc w:val="left"/>
            </w:pPr>
            <w:r>
              <w:t xml:space="preserve">Predictive Risk</w:t>
            </w:r>
          </w:p>
        </w:tc>
      </w:tr>
      <w:tr>
        <w:tc>
          <w:tcPr/>
          <w:p>
            <w:pPr>
              <w:pStyle w:val="Compact"/>
              <w:jc w:val="left"/>
            </w:pPr>
            <w:r>
              <w:rPr>
                <w:bCs/>
                <w:b/>
              </w:rPr>
              <w:t xml:space="preserve">Statistical Validity</w:t>
            </w:r>
          </w:p>
        </w:tc>
        <w:tc>
          <w:tcPr/>
          <w:p>
            <w:pPr>
              <w:pStyle w:val="Compact"/>
              <w:jc w:val="left"/>
            </w:pPr>
            <w:r>
              <w:t xml:space="preserve">Residual distributions satisfy exchangeability or stable Gaussian assumptions.</w:t>
            </w:r>
          </w:p>
        </w:tc>
        <w:tc>
          <w:tcPr/>
          <w:p>
            <w:pPr>
              <w:pStyle w:val="Compact"/>
              <w:jc w:val="left"/>
            </w:pPr>
            <w:r>
              <w:t xml:space="preserve">Under heavy-tailed or heteroscedastic noise regimes, uncertainty intervals underestimate catastrophic tail errors.</w:t>
            </w:r>
          </w:p>
        </w:tc>
      </w:tr>
      <w:tr>
        <w:tc>
          <w:tcPr/>
          <w:p>
            <w:pPr>
              <w:pStyle w:val="Compact"/>
              <w:jc w:val="left"/>
            </w:pPr>
            <w:r>
              <w:rPr>
                <w:bCs/>
                <w:b/>
              </w:rPr>
              <w:t xml:space="preserve">Epistemic Boundaries</w:t>
            </w:r>
          </w:p>
        </w:tc>
        <w:tc>
          <w:tcPr/>
          <w:p>
            <w:pPr>
              <w:pStyle w:val="Compact"/>
              <w:jc w:val="left"/>
            </w:pPr>
            <w:r>
              <w:t xml:space="preserve">Low variance across an ensemble implies certainty in the prediction.</w:t>
            </w:r>
          </w:p>
        </w:tc>
        <w:tc>
          <w:tcPr/>
          <w:p>
            <w:pPr>
              <w:pStyle w:val="Compact"/>
              <w:jc w:val="left"/>
            </w:pPr>
            <w:r>
              <w:t xml:space="preserve">If all models share inductive architecture biases, ensemble unanimity reflects collective blindness rather than true ground-truth confidence.</w:t>
            </w:r>
          </w:p>
        </w:tc>
      </w:tr>
      <w:tr>
        <w:tc>
          <w:tcPr/>
          <w:p>
            <w:pPr>
              <w:pStyle w:val="Compact"/>
              <w:jc w:val="left"/>
            </w:pPr>
            <w:r>
              <w:rPr>
                <w:bCs/>
                <w:b/>
              </w:rPr>
              <w:t xml:space="preserve">Ethical &amp; Operational Safety</w:t>
            </w:r>
          </w:p>
        </w:tc>
        <w:tc>
          <w:tcPr/>
          <w:p>
            <w:pPr>
              <w:pStyle w:val="Compact"/>
              <w:jc w:val="left"/>
            </w:pPr>
            <w:r>
              <w:t xml:space="preserve">Decision-makers interpret wider intervals as actionable warnings to defer judgment.</w:t>
            </w:r>
          </w:p>
        </w:tc>
        <w:tc>
          <w:tcPr/>
          <w:p>
            <w:pPr>
              <w:pStyle w:val="Compact"/>
              <w:jc w:val="left"/>
            </w:pPr>
            <w:r>
              <w:t xml:space="preserve">In practice, uncalibrated operational thresholds lead operators to ignore diffuse bounds or over-rely on brittle point predictions.</w:t>
            </w:r>
          </w:p>
        </w:tc>
      </w:tr>
    </w:tbl>
    <w:p>
      <w:pPr>
        <w:pStyle w:val="BodyText"/>
      </w:pPr>
      <w:r>
        <w:t xml:space="preserve">Predictive AI systems cannot decouple mathematical calibration from systemic domain shifts. A system claiming</w:t>
      </w:r>
      <w:r>
        <w:t xml:space="preserve"> </w:t>
      </w:r>
      <m:oMath>
        <m:r>
          <m:t>95</m:t>
        </m:r>
        <m:r>
          <m:rPr>
            <m:sty m:val="p"/>
          </m:rPr>
          <m:t>%</m:t>
        </m:r>
      </m:oMath>
      <w:r>
        <w:t xml:space="preserve"> </w:t>
      </w:r>
      <w:r>
        <w:t xml:space="preserve">nominal coverage fails the trust test if the structural dynamics generating the input covariates undergo an abrupt regime change that invalidates the underlying probabilistic bounds.</w:t>
      </w:r>
    </w:p>
    <w:p>
      <w:r>
        <w:pict>
          <v:rect style="width:0;height:1.5pt" o:hralign="center" o:hrstd="t" o:hr="t"/>
        </w:pict>
      </w:r>
    </w:p>
    <w:bookmarkEnd w:id="25"/>
    <w:bookmarkStart w:id="27" w:name="reimagine"/>
    <w:p>
      <w:pPr>
        <w:pStyle w:val="Heading1"/>
      </w:pPr>
      <w:r>
        <w:t xml:space="preserve">Reimagine</w:t>
      </w:r>
    </w:p>
    <w:p>
      <w:pPr>
        <w:pStyle w:val="FirstParagraph"/>
      </w:pPr>
      <w:r>
        <w:t xml:space="preserve">To turn these limitations into actionable research, future work should move beyond unconstrained post-hoc statistical calibration and integrate</w:t>
      </w:r>
      <w:r>
        <w:t xml:space="preserve"> </w:t>
      </w:r>
      <w:r>
        <w:rPr>
          <w:bCs/>
          <w:b/>
        </w:rPr>
        <w:t xml:space="preserve">Physics-Informed, Operator-Theoretic Uncertainty Bounds</w:t>
      </w:r>
      <w:r>
        <w:t xml:space="preserve"> </w:t>
      </w:r>
      <w:r>
        <w:t xml:space="preserve">into the predictive architecture.</w:t>
      </w:r>
    </w:p>
    <w:bookmarkStart w:id="26" w:name="Xa91146672f5a1659ea97116758112f20d95296d"/>
    <w:p>
      <w:pPr>
        <w:pStyle w:val="Heading3"/>
      </w:pPr>
      <w:r>
        <w:t xml:space="preserve">Proposed Study Architecture: Dynamically Constrained Conformal Ensembles</w:t>
      </w:r>
    </w:p>
    <w:p>
      <w:pPr>
        <w:numPr>
          <w:ilvl w:val="0"/>
          <w:numId w:val="1002"/>
        </w:numPr>
        <w:pStyle w:val="Compact"/>
      </w:pPr>
      <w:r>
        <w:rPr>
          <w:bCs/>
          <w:b/>
        </w:rPr>
        <w:t xml:space="preserve">Structural Inductive Priors:</w:t>
      </w:r>
      <w:r>
        <w:t xml:space="preserve"> </w:t>
      </w:r>
      <w:r>
        <w:t xml:space="preserve">Rather than treating prediction as an unconstrained regression task, incorporate conservation laws, governing system differential operators, or invariant domain relationships directly into the neural loss landscape.</w:t>
      </w:r>
    </w:p>
    <w:p>
      <w:pPr>
        <w:numPr>
          <w:ilvl w:val="0"/>
          <w:numId w:val="1002"/>
        </w:numPr>
        <w:pStyle w:val="Compact"/>
      </w:pPr>
      <w:r>
        <w:rPr>
          <w:bCs/>
          <w:b/>
        </w:rPr>
        <w:t xml:space="preserve">Adaptive Conformal Split Calibration:</w:t>
      </w:r>
      <w:r>
        <w:t xml:space="preserve"> </w:t>
      </w:r>
      <w:r>
        <w:t xml:space="preserve">Implement non-exchangeable, locally-weighted split conformal prediction where the calibration non-conformity score explicitly accounts for temporal and spatial autocorrelation.</w:t>
      </w:r>
    </w:p>
    <w:p>
      <w:pPr>
        <w:numPr>
          <w:ilvl w:val="0"/>
          <w:numId w:val="1002"/>
        </w:numPr>
        <w:pStyle w:val="Compact"/>
      </w:pPr>
      <w:r>
        <w:rPr>
          <w:bCs/>
          <w:b/>
        </w:rPr>
        <w:t xml:space="preserve">Automated Deferral Mechanisms:</w:t>
      </w:r>
      <w:r>
        <w:t xml:space="preserve"> </w:t>
      </w:r>
      <w:r>
        <w:t xml:space="preserve">Design an optimal control rejection policy. When the decomposed epistemic uncertainty surpasses an empirical threshold</w:t>
      </w:r>
      <w:r>
        <w:t xml:space="preserve"> </w:t>
      </w:r>
      <m:oMath>
        <m:sSub>
          <m:e>
            <m:r>
              <m:t>τ</m:t>
            </m:r>
          </m:e>
          <m:sub>
            <m:r>
              <m:rPr>
                <m:nor/>
                <m:sty m:val="p"/>
              </m:rPr>
              <m:t>epistemic</m:t>
            </m:r>
          </m:sub>
        </m:sSub>
      </m:oMath>
      <w:r>
        <w:t xml:space="preserve">, the system halts autonomous execution, logging the anomalous vector to an active-learning buffer for expert triage.</w:t>
      </w:r>
    </w:p>
    <w:p>
      <w:pPr>
        <w:pStyle w:val="FirstParagraph"/>
      </w:pPr>
      <w:r>
        <w:t xml:space="preserve">By constraining predictive uncertainty with physical or structural invariants, this extension ensures that even when data is sparse, the system’s confidence estimates remain bounded by first principles rather than speculative statistical extrapolation.</w:t>
      </w:r>
    </w:p>
    <w:p>
      <w:r>
        <w:pict>
          <v:rect style="width:0;height:1.5pt" o:hralign="center" o:hrstd="t" o:hr="t"/>
        </w:pict>
      </w:r>
    </w:p>
    <w:bookmarkEnd w:id="26"/>
    <w:bookmarkEnd w:id="27"/>
    <w:bookmarkStart w:id="28" w:name="references"/>
    <w:p>
      <w:pPr>
        <w:pStyle w:val="Heading1"/>
      </w:pPr>
      <w:r>
        <w:t xml:space="preserve">References</w:t>
      </w:r>
    </w:p>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PAIR Scholarly Reflection #3: Epistemic Bounds and Prediction Trust</dc:title>
  <dc:creator>Halson Ogeto Nyaberi</dc:creator>
  <cp:keywords/>
  <dcterms:created xsi:type="dcterms:W3CDTF">2026-10-03T02:07:47Z</dcterms:created>
  <dcterms:modified xsi:type="dcterms:W3CDTF">2026-10-03T02:07:47Z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2026-10-02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Deconstructing Predictive Uncertainty in Decision-Critical AI</vt:lpwstr>
  </property>
  <property fmtid="{D5CDD505-2E9C-101B-9397-08002B2CF9AE}" pid="11" name="toc-title">
    <vt:lpwstr>Table of contents</vt:lpwstr>
  </property>
</Properties>
</file>