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PAIR</w:t>
      </w:r>
      <w:r>
        <w:t xml:space="preserve"> </w:t>
      </w:r>
      <w:r>
        <w:t xml:space="preserve">Scholarly</w:t>
      </w:r>
      <w:r>
        <w:t xml:space="preserve"> </w:t>
      </w:r>
      <w:r>
        <w:t xml:space="preserve">Reflection</w:t>
      </w:r>
      <w:r>
        <w:t xml:space="preserve"> </w:t>
      </w:r>
      <w:r>
        <w:t xml:space="preserve">#4:</w:t>
      </w:r>
      <w:r>
        <w:t xml:space="preserve"> </w:t>
      </w:r>
      <w:r>
        <w:t xml:space="preserve">AlphaEvolve</w:t>
      </w:r>
      <w:r>
        <w:t xml:space="preserve"> </w:t>
      </w:r>
      <w:r>
        <w:t xml:space="preserve">and</w:t>
      </w:r>
      <w:r>
        <w:t xml:space="preserve"> </w:t>
      </w:r>
      <w:r>
        <w:t xml:space="preserve">the</w:t>
      </w:r>
      <w:r>
        <w:t xml:space="preserve"> </w:t>
      </w:r>
      <w:r>
        <w:t xml:space="preserve">Boundaries</w:t>
      </w:r>
      <w:r>
        <w:t xml:space="preserve"> </w:t>
      </w:r>
      <w:r>
        <w:t xml:space="preserve">of</w:t>
      </w:r>
      <w:r>
        <w:t xml:space="preserve"> </w:t>
      </w:r>
      <w:r>
        <w:t xml:space="preserve">Algorithmic</w:t>
      </w:r>
      <w:r>
        <w:t xml:space="preserve"> </w:t>
      </w:r>
      <w:r>
        <w:t xml:space="preserve">Discovery</w:t>
      </w:r>
    </w:p>
    <w:p>
      <w:pPr>
        <w:pStyle w:val="Subtitle"/>
      </w:pPr>
      <w:r>
        <w:t xml:space="preserve">ANLY</w:t>
      </w:r>
      <w:r>
        <w:t xml:space="preserve"> </w:t>
      </w:r>
      <w:r>
        <w:t xml:space="preserve">735:</w:t>
      </w:r>
      <w:r>
        <w:t xml:space="preserve"> </w:t>
      </w:r>
      <w:r>
        <w:t xml:space="preserve">Predictive</w:t>
      </w:r>
      <w:r>
        <w:t xml:space="preserve"> </w:t>
      </w:r>
      <w:r>
        <w:t xml:space="preserve">AI</w:t>
      </w:r>
      <w:r>
        <w:t xml:space="preserve"> </w:t>
      </w:r>
      <w:r>
        <w:t xml:space="preserve">|</w:t>
      </w:r>
      <w:r>
        <w:t xml:space="preserve"> </w:t>
      </w:r>
      <w:r>
        <w:t xml:space="preserve">Week</w:t>
      </w:r>
      <w:r>
        <w:t xml:space="preserve"> </w:t>
      </w:r>
      <w:r>
        <w:t xml:space="preserve">7</w:t>
      </w:r>
      <w:r>
        <w:t xml:space="preserve"> </w:t>
      </w:r>
      <w:r>
        <w:t xml:space="preserve">Reflection</w:t>
      </w:r>
    </w:p>
    <w:p>
      <w:pPr>
        <w:pStyle w:val="Author"/>
      </w:pPr>
      <w:r>
        <w:t xml:space="preserve">Graduate</w:t>
      </w:r>
      <w:r>
        <w:t xml:space="preserve"> </w:t>
      </w:r>
      <w:r>
        <w:t xml:space="preserve">Student</w:t>
      </w:r>
    </w:p>
    <w:p>
      <w:pPr>
        <w:pStyle w:val="Date"/>
      </w:pPr>
      <w:r>
        <w:t xml:space="preserve">2026-10-14</w:t>
      </w:r>
    </w:p>
    <w:bookmarkStart w:id="20" w:name="introduction-and-context"/>
    <w:p>
      <w:pPr>
        <w:pStyle w:val="Heading1"/>
      </w:pPr>
      <w:r>
        <w:t xml:space="preserve">1. Introduction and Context</w:t>
      </w:r>
    </w:p>
    <w:p>
      <w:pPr>
        <w:pStyle w:val="FirstParagraph"/>
      </w:pPr>
      <w:r>
        <w:t xml:space="preserve">This scholarly reflection utilizes the</w:t>
      </w:r>
      <w:r>
        <w:t xml:space="preserve"> </w:t>
      </w:r>
      <w:r>
        <w:rPr>
          <w:bCs/>
          <w:b/>
        </w:rPr>
        <w:t xml:space="preserve">PAIR Framework</w:t>
      </w:r>
      <w:r>
        <w:t xml:space="preserve"> </w:t>
      </w:r>
      <w:r>
        <w:t xml:space="preserve">(Position, Analyze, Interrogate, Reimagine) to critically evaluate Google DeepMind’s research white paper introducing AlphaEvolve (Novikov et al., 2025). The analysis directly addresses the central inquiry:</w:t>
      </w:r>
      <w:r>
        <w:t xml:space="preserve"> </w:t>
      </w:r>
      <w:r>
        <w:rPr>
          <w:iCs/>
          <w:i/>
        </w:rPr>
        <w:t xml:space="preserve">To what extent does AlphaEvolve demonstrate that AI can participate meaningfully in scientific or algorithmic discovery?</w:t>
      </w:r>
    </w:p>
    <w:bookmarkEnd w:id="20"/>
    <w:bookmarkStart w:id="24" w:name="position"/>
    <w:p>
      <w:pPr>
        <w:pStyle w:val="Heading1"/>
      </w:pPr>
      <w:r>
        <w:t xml:space="preserve">2. POSITION</w:t>
      </w:r>
    </w:p>
    <w:bookmarkStart w:id="21" w:name="research-problem-and-purpose"/>
    <w:p>
      <w:pPr>
        <w:pStyle w:val="Heading2"/>
      </w:pPr>
      <w:r>
        <w:t xml:space="preserve">2.1 Research Problem and Purpose</w:t>
      </w:r>
    </w:p>
    <w:p>
      <w:pPr>
        <w:pStyle w:val="FirstParagraph"/>
      </w:pPr>
      <w:r>
        <w:t xml:space="preserve">Automating scientific hypothesis formation and algorithmic discovery remains a fundamental challenge in artificial intelligence (Novikov et al., 2025). Although contemporary large language models (LLMs) demonstrate strong capabilities in localized synthesis, competitive programming, and short heuristic generation, their capacity to produce sustained discoveries has been fundamentally constrained by programmatic hallucinations, bounded context windows, and an inability to iteratively improve complex, multi-component software stacks (Novikov et al., 2025). Novikov et al. (2025) address this bottleneck by introducing</w:t>
      </w:r>
      <w:r>
        <w:t xml:space="preserve"> </w:t>
      </w:r>
      <w:r>
        <w:rPr>
          <w:bCs/>
          <w:b/>
        </w:rPr>
        <w:t xml:space="preserve">AlphaEvolve</w:t>
      </w:r>
      <w:r>
        <w:t xml:space="preserve">, an autonomous evolutionary coding agent designed to optimize algorithms and solve open computational and mathematical problems by making direct, multi-line modifications across entire codebases.</w:t>
      </w:r>
    </w:p>
    <w:bookmarkEnd w:id="21"/>
    <w:bookmarkStart w:id="22" w:name="central-contribution"/>
    <w:p>
      <w:pPr>
        <w:pStyle w:val="Heading2"/>
      </w:pPr>
      <w:r>
        <w:t xml:space="preserve">2.2 Central Contribution</w:t>
      </w:r>
    </w:p>
    <w:p>
      <w:pPr>
        <w:pStyle w:val="FirstParagraph"/>
      </w:pPr>
      <w:r>
        <w:t xml:space="preserve">AlphaEvolve coordinates an ensemble of frontier LLMs—combining the high throughput of Gemini 2.0 Flash with the deeper reasoning capabilities of Gemini 2.0 Pro—within an evolutionary optimization framework (Novikov et al., 2025). Its population database uses an evolutionary algorithm inspired by a combination of MAP-Elites and island-based models to balance the exploitation of high-scoring code against the exploration of architectural diversity (Novikov et al., 2025). Unlike its predecessor, FunSearch, which was restricted to single Python functions of 10–20 lines under a single scalar metric, AlphaEvolve introduces substantial structural advancements:</w:t>
      </w:r>
    </w:p>
    <w:p>
      <w:pPr>
        <w:numPr>
          <w:ilvl w:val="0"/>
          <w:numId w:val="1001"/>
        </w:numPr>
      </w:pPr>
      <w:r>
        <w:rPr>
          <w:bCs/>
          <w:b/>
        </w:rPr>
        <w:t xml:space="preserve">Full-File, Polyglot Evolution:</w:t>
      </w:r>
      <w:r>
        <w:t xml:space="preserve"> </w:t>
      </w:r>
      <w:r>
        <w:t xml:space="preserve">Evolves entire code repositories comprising hundreds of lines across multiple languages, including Python, C++, Verilog, and compiler intermediate representations (Novikov et al., 2025).</w:t>
      </w:r>
    </w:p>
    <w:p>
      <w:pPr>
        <w:numPr>
          <w:ilvl w:val="0"/>
          <w:numId w:val="1001"/>
        </w:numPr>
      </w:pPr>
      <w:r>
        <w:rPr>
          <w:bCs/>
          <w:b/>
        </w:rPr>
        <w:t xml:space="preserve">Rich Prompting and Meta-Prompt Evolution:</w:t>
      </w:r>
      <w:r>
        <w:t xml:space="preserve"> </w:t>
      </w:r>
      <w:r>
        <w:t xml:space="preserve">Employs long-context prompts that integrate historical execution logs, rendered performance metrics, domain literature, and self-evolved prompting instructions (Novikov et al., 2025).</w:t>
      </w:r>
    </w:p>
    <w:p>
      <w:pPr>
        <w:numPr>
          <w:ilvl w:val="0"/>
          <w:numId w:val="1001"/>
        </w:numPr>
      </w:pPr>
      <w:r>
        <w:rPr>
          <w:bCs/>
          <w:b/>
        </w:rPr>
        <w:t xml:space="preserve">Cascaded Multi-Objective Evaluation:</w:t>
      </w:r>
      <w:r>
        <w:t xml:space="preserve"> </w:t>
      </w:r>
      <w:r>
        <w:t xml:space="preserve">Employs multi-tier test cascades to filter invalid or unpromising code early on small test cases before committing long parallel accelerator runs, while simultaneously optimizing multiple distinct scalar objectives (Novikov et al., 2025).</w:t>
      </w:r>
    </w:p>
    <w:p>
      <w:pPr>
        <w:numPr>
          <w:ilvl w:val="0"/>
          <w:numId w:val="1001"/>
        </w:numPr>
      </w:pPr>
      <w:r>
        <w:rPr>
          <w:bCs/>
          <w:b/>
        </w:rPr>
        <w:t xml:space="preserve">Hierarchical Search Abstraction:</w:t>
      </w:r>
      <w:r>
        <w:t xml:space="preserve"> </w:t>
      </w:r>
      <w:r>
        <w:t xml:space="preserve">Rather than searching only for direct candidate objects, AlphaEvolve can co-evolve intermediate solutions alongside customized heuristic search algorithms that iteratively discover mathematical structures within fixed compute budgets (Novikov et al., 2025).</w:t>
      </w:r>
    </w:p>
    <w:bookmarkEnd w:id="22"/>
    <w:bookmarkStart w:id="23" w:name="X7bcb1202ccbc9a6d125586278d812d51e9863e2"/>
    <w:p>
      <w:pPr>
        <w:pStyle w:val="Heading2"/>
      </w:pPr>
      <w:r>
        <w:t xml:space="preserve">2.3 Significance to Predictive and Agentic AI</w:t>
      </w:r>
    </w:p>
    <w:p>
      <w:pPr>
        <w:pStyle w:val="FirstParagraph"/>
      </w:pPr>
      <w:r>
        <w:t xml:space="preserve">AlphaEvolve is significant for Predictive and Agentic AI because it demonstrates</w:t>
      </w:r>
      <w:r>
        <w:t xml:space="preserve"> </w:t>
      </w:r>
      <w:r>
        <w:rPr>
          <w:bCs/>
          <w:b/>
        </w:rPr>
        <w:t xml:space="preserve">test-time compute scaling grounded through verifiable machine execution</w:t>
      </w:r>
      <w:r>
        <w:t xml:space="preserve"> </w:t>
      </w:r>
      <w:r>
        <w:t xml:space="preserve">(Novikov et al., 2025). Rather than generating speculative natural-language hypotheses, the system uses programmatic execution feedback to anchor the LLM’s generative search space (Novikov et al., 2025). This establishes a closed feedback loop in which predictive code generation directly optimizes the computational stack underpinning the base models themselves, including datacenter cluster schedulers, TPU arithmetic circuits, and low-level training kernels (Novikov et al., 2025).</w:t>
      </w:r>
    </w:p>
    <w:bookmarkEnd w:id="23"/>
    <w:bookmarkEnd w:id="24"/>
    <w:bookmarkStart w:id="27" w:name="analyze"/>
    <w:p>
      <w:pPr>
        <w:pStyle w:val="Heading1"/>
      </w:pPr>
      <w:r>
        <w:t xml:space="preserve">3. ANALYZE</w:t>
      </w:r>
    </w:p>
    <w:p>
      <w:pPr>
        <w:pStyle w:val="FirstParagraph"/>
      </w:pPr>
      <w:r>
        <w:t xml:space="preserve">AlphaEvolve’s claim of achieving meaningful scientific and algorithmic discovery is supported by empirical findings across three domains (Novikov et al., 2025):</w:t>
      </w:r>
    </w:p>
    <w:p>
      <w:pPr>
        <w:pStyle w:val="SourceCode"/>
      </w:pPr>
      <w:r>
        <w:rPr>
          <w:rStyle w:val="VerbatimChar"/>
        </w:rPr>
        <w:t xml:space="preserve">%%| fig-cap: "AlphaEvolve Evolutionary Discovery Architecture (Novikov et al., 2025)"</w:t>
      </w:r>
      <w:r>
        <w:br/>
      </w:r>
      <w:r>
        <w:rPr>
          <w:rStyle w:val="VerbatimChar"/>
        </w:rPr>
        <w:t xml:space="preserve">flowchart TD</w:t>
      </w:r>
      <w:r>
        <w:br/>
      </w:r>
      <w:r>
        <w:rPr>
          <w:rStyle w:val="VerbatimChar"/>
        </w:rPr>
        <w:t xml:space="preserve">    A[Human Expert: Sets 'What'&lt;br/&gt;Problem Skeleton &amp; Evaluator h] --&gt; B[Prompt Sampler&lt;br/&gt;Context, Programs, Meta-Prompts]</w:t>
      </w:r>
      <w:r>
        <w:br/>
      </w:r>
      <w:r>
        <w:rPr>
          <w:rStyle w:val="VerbatimChar"/>
        </w:rPr>
        <w:t xml:space="preserve">    B --&gt; C[LLM Ensemble&lt;br/&gt;Gemini 2.0 Flash &amp; Gemini 2.0 Pro]</w:t>
      </w:r>
      <w:r>
        <w:br/>
      </w:r>
      <w:r>
        <w:rPr>
          <w:rStyle w:val="VerbatimChar"/>
        </w:rPr>
        <w:t xml:space="preserve">    C --&gt;|Code Diffs| D[Evaluator Pool&lt;br/&gt;Multi-Stage Test Cascade]</w:t>
      </w:r>
      <w:r>
        <w:br/>
      </w:r>
      <w:r>
        <w:rPr>
          <w:rStyle w:val="VerbatimChar"/>
        </w:rPr>
        <w:t xml:space="preserve">    D --&gt;|Scalar Metrics &amp; Execution Feedback| E[(Program Database&lt;br/&gt;MAP-Elites / Island Model)]</w:t>
      </w:r>
      <w:r>
        <w:br/>
      </w:r>
      <w:r>
        <w:rPr>
          <w:rStyle w:val="VerbatimChar"/>
        </w:rPr>
        <w:t xml:space="preserve">    E --&gt;|Elite Parents &amp; Inspirations| B</w:t>
      </w:r>
      <w:r>
        <w:br/>
      </w:r>
      <w:r>
        <w:rPr>
          <w:rStyle w:val="VerbatimChar"/>
        </w:rPr>
        <w:t xml:space="preserve">    D --&gt;|Surpasses Benchmark| F[Discovered Algorithm / Mathematical Construction]</w:t>
      </w:r>
    </w:p>
    <w:bookmarkStart w:id="25" w:name="empirical-evidence"/>
    <w:p>
      <w:pPr>
        <w:pStyle w:val="Heading2"/>
      </w:pPr>
      <w:r>
        <w:t xml:space="preserve">3.1 Empirical Evidence</w:t>
      </w:r>
    </w:p>
    <w:p>
      <w:pPr>
        <w:numPr>
          <w:ilvl w:val="0"/>
          <w:numId w:val="1002"/>
        </w:numPr>
      </w:pPr>
      <w:r>
        <w:rPr>
          <w:bCs/>
          <w:b/>
        </w:rPr>
        <w:t xml:space="preserve">Matrix Multiplication Tensor Decomposition:</w:t>
      </w:r>
      <w:r>
        <w:t xml:space="preserve"> </w:t>
      </w:r>
      <w:r>
        <w:t xml:space="preserve">The bilinear complexity of matrix multiplication can be represented as the rank of a 3D tensor (Novikov et al., 2025). AlphaEvolve matched or improved the state-of-the-art across 52 of 54 tested matrix multiplication dimensions, surpassing the state of the art on 14 targets (Novikov et al., 2025). For</w:t>
      </w:r>
      <w:r>
        <w:t xml:space="preserve"> </w:t>
      </w:r>
      <m:oMath>
        <m:r>
          <m:t>4</m:t>
        </m:r>
        <m:r>
          <m:rPr>
            <m:sty m:val="p"/>
          </m:rPr>
          <m:t>×</m:t>
        </m:r>
        <m:r>
          <m:t>4</m:t>
        </m:r>
      </m:oMath>
      <w:r>
        <w:t xml:space="preserve"> </w:t>
      </w:r>
      <w:r>
        <w:t xml:space="preserve">complex-valued matrices, AlphaEvolve discovered an algorithm requiring only 48 scalar multiplications, achieving the first improvement in 56 years over Strassen’s 1969 benchmark of 49 scalar multiplications (Novikov et al., 2025).</w:t>
      </w:r>
    </w:p>
    <w:p>
      <w:pPr>
        <w:numPr>
          <w:ilvl w:val="0"/>
          <w:numId w:val="1002"/>
        </w:numPr>
      </w:pPr>
      <w:r>
        <w:rPr>
          <w:bCs/>
          <w:b/>
        </w:rPr>
        <w:t xml:space="preserve">Constructive Mathematics:</w:t>
      </w:r>
      <w:r>
        <w:t xml:space="preserve"> </w:t>
      </w:r>
      <w:r>
        <w:t xml:space="preserve">Evaluated across a curated set of over 50 open mathematical problems spanning analysis, geometry, number theory, and combinatorics, AlphaEvolve matched best-known constructions in ~75% of instances and surpassed existing bounds in ~20% (Novikov et al., 2025). Key breakthroughs include:</w:t>
      </w:r>
    </w:p>
    <w:p>
      <w:pPr>
        <w:numPr>
          <w:ilvl w:val="1"/>
          <w:numId w:val="1003"/>
        </w:numPr>
      </w:pPr>
      <w:r>
        <w:rPr>
          <w:iCs/>
          <w:i/>
        </w:rPr>
        <w:t xml:space="preserve">Erdős’s Minimum Overlap Problem:</w:t>
      </w:r>
      <w:r>
        <w:t xml:space="preserve"> </w:t>
      </w:r>
      <w:r>
        <w:t xml:space="preserve">Established a tighter upper bound of</w:t>
      </w:r>
      <w:r>
        <w:t xml:space="preserve"> </w:t>
      </w:r>
      <m:oMath>
        <m:sSub>
          <m:e>
            <m:r>
              <m:t>C</m:t>
            </m:r>
          </m:e>
          <m:sub>
            <m:r>
              <m:t>5</m:t>
            </m:r>
          </m:sub>
        </m:sSub>
        <m:r>
          <m:rPr>
            <m:sty m:val="p"/>
          </m:rPr>
          <m:t>≤</m:t>
        </m:r>
        <m:r>
          <m:t>0.380924</m:t>
        </m:r>
      </m:oMath>
      <w:r>
        <w:t xml:space="preserve"> </w:t>
      </w:r>
      <w:r>
        <w:t xml:space="preserve">via an improved step-function construction (Novikov et al., 2025).</w:t>
      </w:r>
    </w:p>
    <w:p>
      <w:pPr>
        <w:numPr>
          <w:ilvl w:val="1"/>
          <w:numId w:val="1003"/>
        </w:numPr>
      </w:pPr>
      <w:r>
        <w:rPr>
          <w:iCs/>
          <w:i/>
        </w:rPr>
        <w:t xml:space="preserve">Kissing Numbers:</w:t>
      </w:r>
      <w:r>
        <w:t xml:space="preserve"> </w:t>
      </w:r>
      <w:r>
        <w:t xml:space="preserve">Discovered a valid packing configuration of 593 non-overlapping unit spheres tangent to a central unit sphere in 11 dimensions, surpassing the prior record of 592 (Novikov et al., 2025).</w:t>
      </w:r>
    </w:p>
    <w:p>
      <w:pPr>
        <w:numPr>
          <w:ilvl w:val="1"/>
          <w:numId w:val="1003"/>
        </w:numPr>
      </w:pPr>
      <w:r>
        <w:rPr>
          <w:iCs/>
          <w:i/>
        </w:rPr>
        <w:t xml:space="preserve">Autocorrelation &amp; Packing:</w:t>
      </w:r>
      <w:r>
        <w:t xml:space="preserve"> </w:t>
      </w:r>
      <w:r>
        <w:t xml:space="preserve">Improved bounds for autoconvolution inequalities and improved packing densities for regular hexagons and circles in bounded containers (Novikov et al., 2025).</w:t>
      </w:r>
    </w:p>
    <w:p>
      <w:pPr>
        <w:numPr>
          <w:ilvl w:val="0"/>
          <w:numId w:val="1002"/>
        </w:numPr>
      </w:pPr>
      <w:r>
        <w:rPr>
          <w:bCs/>
          <w:b/>
        </w:rPr>
        <w:t xml:space="preserve">Systems Infrastructure and Superoptimization:</w:t>
      </w:r>
    </w:p>
    <w:p>
      <w:pPr>
        <w:numPr>
          <w:ilvl w:val="1"/>
          <w:numId w:val="1004"/>
        </w:numPr>
      </w:pPr>
      <w:r>
        <w:rPr>
          <w:iCs/>
          <w:i/>
        </w:rPr>
        <w:t xml:space="preserve">Borg Cluster Management:</w:t>
      </w:r>
      <w:r>
        <w:t xml:space="preserve"> </w:t>
      </w:r>
      <w:r>
        <w:t xml:space="preserve">Evolved an interpretable priority scoring heuristic for vector bin-packing, recovering an average of 0.7% of previously stranded fleet-wide compute resources across Google data centers (Novikov et al., 2025).</w:t>
      </w:r>
    </w:p>
    <w:p>
      <w:pPr>
        <w:numPr>
          <w:ilvl w:val="1"/>
          <w:numId w:val="1004"/>
        </w:numPr>
      </w:pPr>
      <w:r>
        <w:rPr>
          <w:iCs/>
          <w:i/>
        </w:rPr>
        <w:t xml:space="preserve">Gemini Kernel Optimization:</w:t>
      </w:r>
      <w:r>
        <w:t xml:space="preserve"> </w:t>
      </w:r>
      <w:r>
        <w:t xml:space="preserve">Evolved matrix multiplication tiling strategies in Pallas, achieving an average 23% kernel speedup and a 1% reduction in total Gemini training time (Novikov et al., 2025).</w:t>
      </w:r>
    </w:p>
    <w:p>
      <w:pPr>
        <w:numPr>
          <w:ilvl w:val="1"/>
          <w:numId w:val="1004"/>
        </w:numPr>
      </w:pPr>
      <w:r>
        <w:rPr>
          <w:iCs/>
          <w:i/>
        </w:rPr>
        <w:t xml:space="preserve">FlashAttention Compiler Optimization:</w:t>
      </w:r>
      <w:r>
        <w:t xml:space="preserve"> </w:t>
      </w:r>
      <w:r>
        <w:t xml:space="preserve">Sped up compiler-generated intermediate representations (XLA) of FlashAttention kernels by 32% and kernel preprocessing/postprocessing by 15% (Novikov et al., 2025).</w:t>
      </w:r>
    </w:p>
    <w:bookmarkEnd w:id="25"/>
    <w:bookmarkStart w:id="26" w:name="X821fb8c38849938d5bda1ff60929940fdbfdc2f"/>
    <w:p>
      <w:pPr>
        <w:pStyle w:val="Heading2"/>
      </w:pPr>
      <w:r>
        <w:t xml:space="preserve">3.2 Critical Evaluation: Discovery vs. Superoptimization</w:t>
      </w:r>
    </w:p>
    <w:p>
      <w:pPr>
        <w:pStyle w:val="FirstParagraph"/>
      </w:pPr>
      <w:r>
        <w:t xml:space="preserve">Evaluating whether this evidence qualifies as authentic discovery requires examining the level of abstraction at which AlphaEvolve operated (Novikov et al., 2025). In tensor decomposition, AlphaEvolve was not provided with manual algebraic factorization formulas; instead, it began with a standard gradient-based optimization script and evolved a customized optimization algorithm (Novikov et al., 2025). Over 15 mutations, it synthesized:</w:t>
      </w:r>
    </w:p>
    <w:p>
      <w:pPr>
        <w:numPr>
          <w:ilvl w:val="0"/>
          <w:numId w:val="1005"/>
        </w:numPr>
      </w:pPr>
      <w:r>
        <w:t xml:space="preserve">AdamW optimization paired with complex-valued initialization scaling (Novikov et al., 2025).</w:t>
      </w:r>
    </w:p>
    <w:p>
      <w:pPr>
        <w:numPr>
          <w:ilvl w:val="0"/>
          <w:numId w:val="1005"/>
        </w:numPr>
      </w:pPr>
      <w:r>
        <w:t xml:space="preserve">Scheduled parameter-noise injection to escape local minima (Novikov et al., 2025).</w:t>
      </w:r>
    </w:p>
    <w:p>
      <w:pPr>
        <w:numPr>
          <w:ilvl w:val="0"/>
          <w:numId w:val="1005"/>
        </w:numPr>
      </w:pPr>
      <w:r>
        <w:t xml:space="preserve">Separate real and imaginary soft-clipping thresholds governed by cyclical annealing (Novikov et al., 2025).</w:t>
      </w:r>
    </w:p>
    <w:p>
      <w:pPr>
        <w:numPr>
          <w:ilvl w:val="0"/>
          <w:numId w:val="1005"/>
        </w:numPr>
      </w:pPr>
      <w:r>
        <w:t xml:space="preserve">Regularization losses targeting integer and half-integer constraints with dynamic cosine weight decay (Novikov et al., 2025).</w:t>
      </w:r>
    </w:p>
    <w:p>
      <w:pPr>
        <w:pStyle w:val="FirstParagraph"/>
      </w:pPr>
      <w:r>
        <w:t xml:space="preserve">Because the agent discovered the</w:t>
      </w:r>
      <w:r>
        <w:t xml:space="preserve"> </w:t>
      </w:r>
      <w:r>
        <w:rPr>
          <w:iCs/>
          <w:i/>
        </w:rPr>
        <w:t xml:space="preserve">algorithmic procedure</w:t>
      </w:r>
      <w:r>
        <w:t xml:space="preserve"> </w:t>
      </w:r>
      <w:r>
        <w:t xml:space="preserve">that traversed the non-convex landscape to locate the rank-48 tensor, its contribution represents procedural algorithmic discovery rather than brute-force enumeration (Novikov et al., 2025).</w:t>
      </w:r>
    </w:p>
    <w:bookmarkEnd w:id="26"/>
    <w:bookmarkEnd w:id="27"/>
    <w:bookmarkStart w:id="32" w:name="interrogate"/>
    <w:p>
      <w:pPr>
        <w:pStyle w:val="Heading1"/>
      </w:pPr>
      <w:r>
        <w:t xml:space="preserve">4. INTERROGATE</w:t>
      </w:r>
    </w:p>
    <w:p>
      <w:pPr>
        <w:pStyle w:val="FirstParagraph"/>
      </w:pPr>
      <w:r>
        <w:t xml:space="preserve">Despite its empirical achievements, the study’s experimental design and underlying operational assumptions present key methodological constraints (Novikov et al., 2025):</w:t>
      </w:r>
    </w:p>
    <w:bookmarkStart w:id="28" w:name="X9d5f2dd8a46fb01844d39abc483dba3a48dbd77"/>
    <w:p>
      <w:pPr>
        <w:pStyle w:val="Heading2"/>
      </w:pPr>
      <w:r>
        <w:t xml:space="preserve">4.1 Reliance on Machine-Gradeable Evaluation Oracles</w:t>
      </w:r>
    </w:p>
    <w:p>
      <w:pPr>
        <w:pStyle w:val="FirstParagraph"/>
      </w:pPr>
      <w:r>
        <w:t xml:space="preserve">AlphaEvolve requires a deterministic, automated programmatic evaluation function</w:t>
      </w:r>
      <w:r>
        <w:t xml:space="preserve"> </w:t>
      </w:r>
      <m:oMath>
        <m:r>
          <m:t>h</m:t>
        </m:r>
        <m:d>
          <m:dPr>
            <m:begChr m:val="("/>
            <m:endChr m:val=")"/>
            <m:sepChr m:val=""/>
            <m:grow/>
          </m:dPr>
          <m:e>
            <m:r>
              <m:t>x</m:t>
            </m:r>
          </m:e>
        </m:d>
      </m:oMath>
      <w:r>
        <w:t xml:space="preserve"> </w:t>
      </w:r>
      <w:r>
        <w:t xml:space="preserve">to grade proposed code (Novikov et al., 2025). This operational boundary restricts the agent to domains where ground truth can be validated through high-speed simulation or formal computation, such as pure mathematics, compiler profiling, or circuit simulation (Novikov et al., 2025). It cannot operate autonomously in scientific domains that require manual physical experimentation or qualitative evaluation (Novikov et al., 2025).</w:t>
      </w:r>
    </w:p>
    <w:bookmarkEnd w:id="28"/>
    <w:bookmarkStart w:id="29" w:name="the-human-framing-scaffolding"/>
    <w:p>
      <w:pPr>
        <w:pStyle w:val="Heading2"/>
      </w:pPr>
      <w:r>
        <w:t xml:space="preserve">4.2 The Human Framing Scaffolding</w:t>
      </w:r>
    </w:p>
    <w:p>
      <w:pPr>
        <w:pStyle w:val="FirstParagraph"/>
      </w:pPr>
      <w:r>
        <w:t xml:space="preserve">The operational philosophy separates responsibilities:</w:t>
      </w:r>
      <w:r>
        <w:t xml:space="preserve"> </w:t>
      </w:r>
      <w:r>
        <w:rPr>
          <w:iCs/>
          <w:i/>
        </w:rPr>
        <w:t xml:space="preserve">“</w:t>
      </w:r>
      <w:r>
        <w:rPr>
          <w:iCs/>
          <w:i/>
        </w:rPr>
        <w:t xml:space="preserve">Human defines What?; AlphaEvolve figures out How?</w:t>
      </w:r>
      <w:r>
        <w:rPr>
          <w:iCs/>
          <w:i/>
        </w:rPr>
        <w:t xml:space="preserve">”</w:t>
      </w:r>
      <w:r>
        <w:t xml:space="preserve"> </w:t>
      </w:r>
      <w:r>
        <w:t xml:space="preserve">(Novikov et al., 2025). The study’s open mathematical problems were selected, mathematically bounded, and initialized by expert mathematicians (Novikov et al., 2025). For example, in the uncertainty principle task, human experts supplied the structural representation using linear combinations of Hermite polynomials; AlphaEvolve optimized the numerical coefficients and root-finding routines (Novikov et al., 2025). The system executes automated hill-climbing within human-designed search spaces rather than formulating research problems or deriving structural theorems independently (Novikov et al., 2025).</w:t>
      </w:r>
    </w:p>
    <w:bookmarkEnd w:id="29"/>
    <w:bookmarkStart w:id="30" w:name="X95ce978d75944443869c8b2b9c2b1785d2d3341"/>
    <w:p>
      <w:pPr>
        <w:pStyle w:val="Heading2"/>
      </w:pPr>
      <w:r>
        <w:t xml:space="preserve">4.3 Evaluation Leakage and Validation vs. Test Asymmetry</w:t>
      </w:r>
    </w:p>
    <w:p>
      <w:pPr>
        <w:pStyle w:val="FirstParagraph"/>
      </w:pPr>
      <w:r>
        <w:t xml:space="preserve">The separation between search evidence and final validation varies substantially across the reported benchmarks:</w:t>
      </w:r>
    </w:p>
    <w:p>
      <w:pPr>
        <w:numPr>
          <w:ilvl w:val="0"/>
          <w:numId w:val="1006"/>
        </w:numPr>
      </w:pPr>
      <w:r>
        <w:rPr>
          <w:bCs/>
          <w:b/>
        </w:rPr>
        <w:t xml:space="preserve">Separated Generalization (Engineering Tasks):</w:t>
      </w:r>
      <w:r>
        <w:t xml:space="preserve"> </w:t>
      </w:r>
      <w:r>
        <w:t xml:space="preserve">In cluster scheduling and kernel optimization, the authors established clear partitions between training/evolution sets and unseen test datasets (e.g., historical cluster traces vs. future workloads; 50/50 input shape splits for TPU tiling) (Novikov et al., 2025). Generalization was confirmed post-deployment on production hardware (Novikov et al., 2025).</w:t>
      </w:r>
    </w:p>
    <w:p>
      <w:pPr>
        <w:numPr>
          <w:ilvl w:val="0"/>
          <w:numId w:val="1006"/>
        </w:numPr>
      </w:pPr>
      <w:r>
        <w:rPr>
          <w:bCs/>
          <w:b/>
        </w:rPr>
        <w:t xml:space="preserve">Coupled Evaluation Targets (Pure Mathematics):</w:t>
      </w:r>
      <w:r>
        <w:t xml:space="preserve"> </w:t>
      </w:r>
      <w:r>
        <w:t xml:space="preserve">In tensor decomposition and extremal geometry, the search metric and the evaluation test target are structurally identical (Novikov et al., 2025). For example, the heuristic was evolved specifically against the</w:t>
      </w:r>
      <w:r>
        <w:t xml:space="preserve"> </w:t>
      </w:r>
      <m:oMath>
        <m:r>
          <m:rPr>
            <m:sty m:val="p"/>
          </m:rPr>
          <m:t>⟨</m:t>
        </m:r>
        <m:r>
          <m:t>4</m:t>
        </m:r>
        <m:r>
          <m:rPr>
            <m:sty m:val="p"/>
          </m:rPr>
          <m:t>,</m:t>
        </m:r>
        <m:r>
          <m:t>4</m:t>
        </m:r>
        <m:r>
          <m:rPr>
            <m:sty m:val="p"/>
          </m:rPr>
          <m:t>,</m:t>
        </m:r>
        <m:r>
          <m:t>4</m:t>
        </m:r>
        <m:r>
          <m:rPr>
            <m:sty m:val="p"/>
          </m:rPr>
          <m:t>⟩</m:t>
        </m:r>
      </m:oMath>
      <w:r>
        <w:t xml:space="preserve"> </w:t>
      </w:r>
      <w:r>
        <w:t xml:space="preserve">matrix multiplication tensor (Novikov et al., 2025). Consequently, the search process risks overfitting to the idiosyncratic geometry of a single target dimension, rather than finding a generalizable bilinear multiplication theorem (Novikov et al., 2025). Moreover, because canonical problems like Strassen’s matrix decomposition are ubiquitous in academic computer science, the pre-trained LLM base models were exposed to relevant algorithmic formulations during initial pretraining (Novikov et al., 2025).</w:t>
      </w:r>
    </w:p>
    <w:bookmarkEnd w:id="30"/>
    <w:bookmarkStart w:id="31" w:name="compute-disparity-and-reproducibility"/>
    <w:p>
      <w:pPr>
        <w:pStyle w:val="Heading2"/>
      </w:pPr>
      <w:r>
        <w:t xml:space="preserve">4.4 Compute Disparity and Reproducibility</w:t>
      </w:r>
    </w:p>
    <w:p>
      <w:pPr>
        <w:pStyle w:val="FirstParagraph"/>
      </w:pPr>
      <w:r>
        <w:t xml:space="preserve">Evaluating individual candidates regularly required up to 100 compute-hours of parallel accelerator time, orchestrating thousands of distributed model samplers and evaluation nodes (Novikov et al., 2025). In tensor decomposition, scaling beyond</w:t>
      </w:r>
      <w:r>
        <w:t xml:space="preserve"> </w:t>
      </w:r>
      <m:oMath>
        <m:r>
          <m:rPr>
            <m:sty m:val="p"/>
          </m:rPr>
          <m:t>⟨</m:t>
        </m:r>
        <m:r>
          <m:t>5</m:t>
        </m:r>
        <m:r>
          <m:rPr>
            <m:sty m:val="p"/>
          </m:rPr>
          <m:t>,</m:t>
        </m:r>
        <m:r>
          <m:t>5</m:t>
        </m:r>
        <m:r>
          <m:rPr>
            <m:sty m:val="p"/>
          </m:rPr>
          <m:t>,</m:t>
        </m:r>
        <m:r>
          <m:t>5</m:t>
        </m:r>
        <m:r>
          <m:rPr>
            <m:sty m:val="p"/>
          </m:rPr>
          <m:t>⟩</m:t>
        </m:r>
      </m:oMath>
      <w:r>
        <w:t xml:space="preserve"> </w:t>
      </w:r>
      <w:r>
        <w:t xml:space="preserve">led to GPU out-of-memory failures when running 1,000 seeds (Novikov et al., 2025). This level of computational consumption limits independent academic replication to industrial laboratories with large-scale infrastructure (Novikov et al., 2025).</w:t>
      </w:r>
    </w:p>
    <w:bookmarkEnd w:id="31"/>
    <w:bookmarkEnd w:id="32"/>
    <w:bookmarkStart w:id="34" w:name="reimagine"/>
    <w:p>
      <w:pPr>
        <w:pStyle w:val="Heading1"/>
      </w:pPr>
      <w:r>
        <w:t xml:space="preserve">5. REIMAGINE</w:t>
      </w:r>
    </w:p>
    <w:p>
      <w:pPr>
        <w:pStyle w:val="FirstParagraph"/>
      </w:pPr>
      <w:r>
        <w:t xml:space="preserve">To move AlphaEvolve from instance-specific heuristic optimization toward broader scientific discovery, the framework can be extended to support out-of-distribution generalization and formal symbolic synthesis (Novikov et al., 2025).</w:t>
      </w:r>
    </w:p>
    <w:p>
      <w:pPr>
        <w:pStyle w:val="SourceCode"/>
      </w:pPr>
      <w:r>
        <w:rPr>
          <w:rStyle w:val="VerbatimChar"/>
        </w:rPr>
        <w:t xml:space="preserve">┌────────────────────────────────────────────────────────────────────────┐</w:t>
      </w:r>
      <w:r>
        <w:br/>
      </w:r>
      <w:r>
        <w:rPr>
          <w:rStyle w:val="VerbatimChar"/>
        </w:rPr>
        <w:t xml:space="preserve">│                   Proposed Metamorphic Extension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Phase 1: Multi-Scale Heuristic Evolution                               │</w:t>
      </w:r>
      <w:r>
        <w:br/>
      </w:r>
      <w:r>
        <w:rPr>
          <w:rStyle w:val="VerbatimChar"/>
        </w:rPr>
        <w:t xml:space="preserve">│ - Evolve candidate heuristics on small seed targets (N &lt;= 4)           │</w:t>
      </w:r>
      <w:r>
        <w:br/>
      </w:r>
      <w:r>
        <w:rPr>
          <w:rStyle w:val="VerbatimChar"/>
        </w:rPr>
        <w:t xml:space="preserve">│ - Penalize search wall-clock time and parameter count                  │</w:t>
      </w:r>
      <w:r>
        <w:br/>
      </w:r>
      <w:r>
        <w:rPr>
          <w:rStyle w:val="VerbatimChar"/>
        </w:rPr>
        <w:t xml:space="preserve">└───────────────────────────────────┬────────────────────────────────────┘</w:t>
      </w:r>
      <w:r>
        <w:br/>
      </w:r>
      <w:r>
        <w:rPr>
          <w:rStyle w:val="VerbatimChar"/>
        </w:rPr>
        <w:t xml:space="preserve">                                    │ Elite Heuristics</w:t>
      </w:r>
      <w:r>
        <w:br/>
      </w:r>
      <w:r>
        <w:rPr>
          <w:rStyle w:val="VerbatimChar"/>
        </w:rPr>
        <w:t xml:space="preserve">                                    ▼</w:t>
      </w:r>
      <w:r>
        <w:br/>
      </w:r>
      <w:r>
        <w:rPr>
          <w:rStyle w:val="VerbatimChar"/>
        </w:rPr>
        <w:t xml:space="preserve">┌────────────────────────────────────────────────────────────────────────┐</w:t>
      </w:r>
      <w:r>
        <w:br/>
      </w:r>
      <w:r>
        <w:rPr>
          <w:rStyle w:val="VerbatimChar"/>
        </w:rPr>
        <w:t xml:space="preserve">│ Phase 2: Metamorphic Testing Suite (Untouched Test Battery)            │</w:t>
      </w:r>
      <w:r>
        <w:br/>
      </w:r>
      <w:r>
        <w:rPr>
          <w:rStyle w:val="VerbatimChar"/>
        </w:rPr>
        <w:t xml:space="preserve">│ - Evaluate on dimensional scaling families (N -&gt; N+k)                  │</w:t>
      </w:r>
      <w:r>
        <w:br/>
      </w:r>
      <w:r>
        <w:rPr>
          <w:rStyle w:val="VerbatimChar"/>
        </w:rPr>
        <w:t xml:space="preserve">│ - Out-of-distribution non-square matrix topologies                     │</w:t>
      </w:r>
      <w:r>
        <w:br/>
      </w:r>
      <w:r>
        <w:rPr>
          <w:rStyle w:val="VerbatimChar"/>
        </w:rPr>
        <w:t xml:space="preserve">│ - Filter out instance-overfitted heuristics                            │</w:t>
      </w:r>
      <w:r>
        <w:br/>
      </w:r>
      <w:r>
        <w:rPr>
          <w:rStyle w:val="VerbatimChar"/>
        </w:rPr>
        <w:t xml:space="preserve">└───────────────────────────────────┬────────────────────────────────────┘</w:t>
      </w:r>
      <w:r>
        <w:br/>
      </w:r>
      <w:r>
        <w:rPr>
          <w:rStyle w:val="VerbatimChar"/>
        </w:rPr>
        <w:t xml:space="preserve">                                    │ Robust Heuristics</w:t>
      </w:r>
      <w:r>
        <w:br/>
      </w:r>
      <w:r>
        <w:rPr>
          <w:rStyle w:val="VerbatimChar"/>
        </w:rPr>
        <w:t xml:space="preserve">                                    ▼</w:t>
      </w:r>
      <w:r>
        <w:br/>
      </w:r>
      <w:r>
        <w:rPr>
          <w:rStyle w:val="VerbatimChar"/>
        </w:rPr>
        <w:t xml:space="preserve">┌────────────────────────────────────────────────────────────────────────┐</w:t>
      </w:r>
      <w:r>
        <w:br/>
      </w:r>
      <w:r>
        <w:rPr>
          <w:rStyle w:val="VerbatimChar"/>
        </w:rPr>
        <w:t xml:space="preserve">│ Phase 3: Symbolic Distillation and Formal Proof Emission               │</w:t>
      </w:r>
      <w:r>
        <w:br/>
      </w:r>
      <w:r>
        <w:rPr>
          <w:rStyle w:val="VerbatimChar"/>
        </w:rPr>
        <w:t xml:space="preserve">│ - Extract closed-form invariants (Kolmogorov-regularized agent)        │</w:t>
      </w:r>
      <w:r>
        <w:br/>
      </w:r>
      <w:r>
        <w:rPr>
          <w:rStyle w:val="VerbatimChar"/>
        </w:rPr>
        <w:t xml:space="preserve">│ - Emit verifiable Lean 4 / Isabelle formal verification proofs        │</w:t>
      </w:r>
      <w:r>
        <w:br/>
      </w:r>
      <w:r>
        <w:rPr>
          <w:rStyle w:val="VerbatimChar"/>
        </w:rPr>
        <w:t xml:space="preserve">└────────────────────────────────────────────────────────────────────────┘</w:t>
      </w:r>
    </w:p>
    <w:bookmarkStart w:id="33" w:name="concrete-implementation-blueprint"/>
    <w:p>
      <w:pPr>
        <w:pStyle w:val="Heading2"/>
      </w:pPr>
      <w:r>
        <w:t xml:space="preserve">5.1 Concrete Implementation Blueprint</w:t>
      </w:r>
    </w:p>
    <w:p>
      <w:pPr>
        <w:numPr>
          <w:ilvl w:val="0"/>
          <w:numId w:val="1007"/>
        </w:numPr>
      </w:pPr>
      <w:r>
        <w:rPr>
          <w:bCs/>
          <w:b/>
        </w:rPr>
        <w:t xml:space="preserve">Metamorphic Fitness Formulation:</w:t>
      </w:r>
      <w:r>
        <w:t xml:space="preserve"> </w:t>
      </w:r>
      <w:r>
        <w:t xml:space="preserve">Restructure the fitness function</w:t>
      </w:r>
      <w:r>
        <w:t xml:space="preserve"> </w:t>
      </w:r>
      <m:oMath>
        <m:r>
          <m:t>h</m:t>
        </m:r>
        <m:d>
          <m:dPr>
            <m:begChr m:val="("/>
            <m:endChr m:val=")"/>
            <m:sepChr m:val=""/>
            <m:grow/>
          </m:dPr>
          <m:e>
            <m:r>
              <m:t>x</m:t>
            </m:r>
          </m:e>
        </m:d>
      </m:oMath>
      <w:r>
        <w:t xml:space="preserve"> </w:t>
      </w:r>
      <w:r>
        <w:t xml:space="preserve">to evaluate across parameterized families of problems rather than isolated instances (Novikov et al., 2025). In matrix multiplication, rather than evolving specifically for</w:t>
      </w:r>
      <w:r>
        <w:t xml:space="preserve"> </w:t>
      </w:r>
      <m:oMath>
        <m:r>
          <m:rPr>
            <m:sty m:val="p"/>
          </m:rPr>
          <m:t>⟨</m:t>
        </m:r>
        <m:r>
          <m:t>4</m:t>
        </m:r>
        <m:r>
          <m:rPr>
            <m:sty m:val="p"/>
          </m:rPr>
          <m:t>,</m:t>
        </m:r>
        <m:r>
          <m:t>4</m:t>
        </m:r>
        <m:r>
          <m:rPr>
            <m:sty m:val="p"/>
          </m:rPr>
          <m:t>,</m:t>
        </m:r>
        <m:r>
          <m:t>4</m:t>
        </m:r>
        <m:r>
          <m:rPr>
            <m:sty m:val="p"/>
          </m:rPr>
          <m:t>⟩</m:t>
        </m:r>
      </m:oMath>
      <w:r>
        <w:t xml:space="preserve">, candidate optimizers should be evaluated on an ensemble of lower-order dimensions (</w:t>
      </w:r>
      <m:oMath>
        <m:r>
          <m:rPr>
            <m:sty m:val="p"/>
          </m:rPr>
          <m:t>⟨</m:t>
        </m:r>
        <m:r>
          <m:t>2</m:t>
        </m:r>
        <m:r>
          <m:rPr>
            <m:sty m:val="p"/>
          </m:rPr>
          <m:t>,</m:t>
        </m:r>
        <m:r>
          <m:t>2</m:t>
        </m:r>
        <m:r>
          <m:rPr>
            <m:sty m:val="p"/>
          </m:rPr>
          <m:t>,</m:t>
        </m:r>
        <m:r>
          <m:t>2</m:t>
        </m:r>
        <m:r>
          <m:rPr>
            <m:sty m:val="p"/>
          </m:rPr>
          <m:t>⟩</m:t>
        </m:r>
      </m:oMath>
      <w:r>
        <w:t xml:space="preserve">,</w:t>
      </w:r>
      <w:r>
        <w:t xml:space="preserve"> </w:t>
      </w:r>
      <m:oMath>
        <m:r>
          <m:rPr>
            <m:sty m:val="p"/>
          </m:rPr>
          <m:t>⟨</m:t>
        </m:r>
        <m:r>
          <m:t>2</m:t>
        </m:r>
        <m:r>
          <m:rPr>
            <m:sty m:val="p"/>
          </m:rPr>
          <m:t>,</m:t>
        </m:r>
        <m:r>
          <m:t>3</m:t>
        </m:r>
        <m:r>
          <m:rPr>
            <m:sty m:val="p"/>
          </m:rPr>
          <m:t>,</m:t>
        </m:r>
        <m:r>
          <m:t>4</m:t>
        </m:r>
        <m:r>
          <m:rPr>
            <m:sty m:val="p"/>
          </m:rPr>
          <m:t>⟩</m:t>
        </m:r>
      </m:oMath>
      <w:r>
        <w:t xml:space="preserve">) and validated on unseen higher-order targets (</w:t>
      </w:r>
      <m:oMath>
        <m:r>
          <m:rPr>
            <m:sty m:val="p"/>
          </m:rPr>
          <m:t>⟨</m:t>
        </m:r>
        <m:r>
          <m:t>4</m:t>
        </m:r>
        <m:r>
          <m:rPr>
            <m:sty m:val="p"/>
          </m:rPr>
          <m:t>,</m:t>
        </m:r>
        <m:r>
          <m:t>4</m:t>
        </m:r>
        <m:r>
          <m:rPr>
            <m:sty m:val="p"/>
          </m:rPr>
          <m:t>,</m:t>
        </m:r>
        <m:r>
          <m:t>5</m:t>
        </m:r>
        <m:r>
          <m:rPr>
            <m:sty m:val="p"/>
          </m:rPr>
          <m:t>⟩</m:t>
        </m:r>
      </m:oMath>
      <w:r>
        <w:t xml:space="preserve">,</w:t>
      </w:r>
      <w:r>
        <w:t xml:space="preserve"> </w:t>
      </w:r>
      <m:oMath>
        <m:r>
          <m:rPr>
            <m:sty m:val="p"/>
          </m:rPr>
          <m:t>⟨</m:t>
        </m:r>
        <m:r>
          <m:t>6</m:t>
        </m:r>
        <m:r>
          <m:rPr>
            <m:sty m:val="p"/>
          </m:rPr>
          <m:t>,</m:t>
        </m:r>
        <m:r>
          <m:t>6</m:t>
        </m:r>
        <m:r>
          <m:rPr>
            <m:sty m:val="p"/>
          </m:rPr>
          <m:t>,</m:t>
        </m:r>
        <m:r>
          <m:t>6</m:t>
        </m:r>
        <m:r>
          <m:rPr>
            <m:sty m:val="p"/>
          </m:rPr>
          <m:t>⟩</m:t>
        </m:r>
      </m:oMath>
      <w:r>
        <w:t xml:space="preserve">) (Novikov et al., 2025). A heuristic’s fitness score should incorporate a rank-reduction metric and an out-of-distribution transfer score:</w:t>
      </w:r>
    </w:p>
    <w:p>
      <w:pPr>
        <w:pStyle w:val="BodyText"/>
      </w:pPr>
      <m:oMathPara>
        <m:oMathParaPr>
          <m:jc m:val="center"/>
        </m:oMathParaPr>
        <m:oMath>
          <m:r>
            <m:rPr>
              <m:nor/>
              <m:sty m:val="p"/>
            </m:rPr>
            <m:t>Fitness</m:t>
          </m:r>
          <m:d>
            <m:dPr>
              <m:begChr m:val="("/>
              <m:endChr m:val=")"/>
              <m:sepChr m:val=""/>
              <m:grow/>
            </m:dPr>
            <m:e>
              <m:r>
                <m:t>P</m:t>
              </m:r>
            </m:e>
          </m:d>
          <m:r>
            <m:rPr>
              <m:sty m:val="p"/>
            </m:rPr>
            <m:t>=</m:t>
          </m:r>
          <m:nary>
            <m:naryPr>
              <m:chr m:val="∑"/>
              <m:limLoc m:val="undOvr"/>
              <m:subHide m:val="off"/>
              <m:supHide m:val="on"/>
            </m:naryPr>
            <m:sub>
              <m:r>
                <m:t>i</m:t>
              </m:r>
              <m:r>
                <m:rPr>
                  <m:sty m:val="p"/>
                </m:rPr>
                <m:t>∈</m:t>
              </m:r>
              <m:sSub>
                <m:e>
                  <m:r>
                    <m:rPr>
                      <m:sty m:val="p"/>
                      <m:scr m:val="script"/>
                    </m:rPr>
                    <m:t>D</m:t>
                  </m:r>
                </m:e>
                <m:sub>
                  <m:r>
                    <m:rPr>
                      <m:nor/>
                      <m:sty m:val="p"/>
                    </m:rPr>
                    <m:t>train</m:t>
                  </m:r>
                </m:sub>
              </m:sSub>
            </m:sub>
            <m:sup>
              <m:r>
                <m:t>​</m:t>
              </m:r>
            </m:sup>
            <m:e>
              <m:r>
                <m:rPr>
                  <m:nor/>
                  <m:sty m:val="p"/>
                </m:rPr>
                <m:t>Score</m:t>
              </m:r>
            </m:e>
          </m:nary>
          <m:d>
            <m:dPr>
              <m:begChr m:val="("/>
              <m:endChr m:val=")"/>
              <m:sepChr m:val=""/>
              <m:grow/>
            </m:dPr>
            <m:e>
              <m:r>
                <m:t>P</m:t>
              </m:r>
              <m:r>
                <m:rPr>
                  <m:sty m:val="p"/>
                </m:rPr>
                <m:t>,</m:t>
              </m:r>
              <m:r>
                <m:t>i</m:t>
              </m:r>
            </m:e>
          </m:d>
          <m:r>
            <m:rPr>
              <m:sty m:val="p"/>
            </m:rPr>
            <m:t>−</m:t>
          </m:r>
          <m:r>
            <m:t>λ</m:t>
          </m:r>
          <m:r>
            <m:rPr>
              <m:sty m:val="p"/>
            </m:rPr>
            <m:t>⋅</m:t>
          </m:r>
          <m:sSub>
            <m:e>
              <m:r>
                <m:rPr>
                  <m:nor/>
                  <m:sty m:val="p"/>
                </m:rPr>
                <m:t>Variance</m:t>
              </m:r>
            </m:e>
            <m:sub>
              <m:sSub>
                <m:e>
                  <m:r>
                    <m:rPr>
                      <m:sty m:val="p"/>
                      <m:scr m:val="script"/>
                    </m:rPr>
                    <m:t>D</m:t>
                  </m:r>
                </m:e>
                <m:sub>
                  <m:r>
                    <m:rPr>
                      <m:nor/>
                      <m:sty m:val="p"/>
                    </m:rPr>
                    <m:t>transfer</m:t>
                  </m:r>
                </m:sub>
              </m:sSub>
            </m:sub>
          </m:sSub>
          <m:d>
            <m:dPr>
              <m:begChr m:val="("/>
              <m:endChr m:val=")"/>
              <m:sepChr m:val=""/>
              <m:grow/>
            </m:dPr>
            <m:e>
              <m:r>
                <m:rPr>
                  <m:nor/>
                  <m:sty m:val="p"/>
                </m:rPr>
                <m:t>Score</m:t>
              </m:r>
            </m:e>
          </m:d>
        </m:oMath>
      </m:oMathPara>
    </w:p>
    <w:p>
      <w:pPr>
        <w:numPr>
          <w:ilvl w:val="0"/>
          <w:numId w:val="1007"/>
        </w:numPr>
      </w:pPr>
      <w:r>
        <w:rPr>
          <w:bCs/>
          <w:b/>
        </w:rPr>
        <w:t xml:space="preserve">Automated Symbolic Distillation:</w:t>
      </w:r>
      <w:r>
        <w:t xml:space="preserve"> </w:t>
      </w:r>
      <w:r>
        <w:t xml:space="preserve">Integrate a post-discovery distillation module (Novikov et al., 2025). After AlphaEvolve discovers an effective numerical procedure (such as the complex loss schedule in Figure 9 of the white paper), a symbolic translation agent should analyze the execution traces, extract underlying algebraic invariants, and translate the empirical tensor factors into exact algebraic expressions with computer-assisted proofs verified in Lean 4 or Isabelle (Novikov et al., 2025).</w:t>
      </w:r>
    </w:p>
    <w:p>
      <w:pPr>
        <w:numPr>
          <w:ilvl w:val="0"/>
          <w:numId w:val="1007"/>
        </w:numPr>
      </w:pPr>
      <w:r>
        <w:rPr>
          <w:bCs/>
          <w:b/>
        </w:rPr>
        <w:t xml:space="preserve">Interpretability-Driven Evolution:</w:t>
      </w:r>
      <w:r>
        <w:t xml:space="preserve"> </w:t>
      </w:r>
      <w:r>
        <w:t xml:space="preserve">Incorporate code complexity and abstract syntax tree (AST) depth penalties into the multi-objective Pareto front (Novikov et al., 2025). This would encourage the generation of concise, mathematically transparent heuristics—such as the Borg scheduling formula—over complex scripts containing overlapping stochastic parameters (Novikov et al., 2025).</w:t>
      </w:r>
    </w:p>
    <w:bookmarkEnd w:id="33"/>
    <w:bookmarkEnd w:id="34"/>
    <w:bookmarkStart w:id="35" w:name="references"/>
    <w:p>
      <w:pPr>
        <w:pStyle w:val="Heading1"/>
      </w:pPr>
      <w:r>
        <w:t xml:space="preserve">6. References</w:t>
      </w:r>
    </w:p>
    <w:p>
      <w:pPr>
        <w:pStyle w:val="FirstParagraph"/>
      </w:pPr>
      <w:r>
        <w:t xml:space="preserve">Novikov, A., Vũ, N., Eisenberger, M., Dupont, E., Huang, P.-S., Wagner, A. Z., Shirobokov, S., Kozlovskii, B., Ruiz, F. J. R., Mehrabian, A., Kumar, M. P., See, A., Chaudhuri, S., Holland, G., Davies, A., Nowozin, S., Kohli, P., &amp; Balog, M. (2025).</w:t>
      </w:r>
      <w:r>
        <w:t xml:space="preserve"> </w:t>
      </w:r>
      <w:r>
        <w:rPr>
          <w:iCs/>
          <w:i/>
        </w:rPr>
        <w:t xml:space="preserve">AlphaEvolve: A coding agent for scientific and algorithmic discovery</w:t>
      </w:r>
      <w:r>
        <w:t xml:space="preserve">. arXiv preprint arXiv:2506.13131v1 [cs.AI]. https://doi.org/10.48550/arXiv.2506.13131</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 Scholarly Reflection #4: AlphaEvolve and the Boundaries of Algorithmic Discovery</dc:title>
  <dc:creator>Graduate Student</dc:creator>
  <cp:keywords/>
  <dcterms:created xsi:type="dcterms:W3CDTF">2026-10-17T05:48:14Z</dcterms:created>
  <dcterms:modified xsi:type="dcterms:W3CDTF">2026-10-17T05:48:14Z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2026-10-14</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ANLY 735: Predictive AI | Week 7 Reflection</vt:lpwstr>
  </property>
  <property fmtid="{D5CDD505-2E9C-101B-9397-08002B2CF9AE}" pid="11" name="toc-title">
    <vt:lpwstr>Table of contents</vt:lpwstr>
  </property>
</Properties>
</file>