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10.2</w:t>
        <w:br/>
        <w:t>Some Design Methods</w:t>
        <w:br/>
        <w:t>551</w:t>
        <w:br/>
      </w:r>
    </w:p>
    <w:p>
      <w:r>
        <w:t>• By combining the SVD–QR method with a derivative-based or particle-based</w:t>
        <w:br/>
        <w:t>method, one can design all of the parameters of an IT2 fuzzy system including</w:t>
        <w:br/>
        <w:t>the number of the most signiﬁcant rules, M0. The following iterative design</w:t>
        <w:br/>
        <w:t>method can be very successful:</w:t>
        <w:br/>
      </w:r>
    </w:p>
    <w:p>
      <w:r>
        <w:t>1. Fix the number of rules, M, at a reasonable value.</w:t>
        <w:br/>
        <w:t>2. Use a derivative-based or particle-based method to design all the antecedent</w:t>
        <w:br/>
        <w:t>and consequent FOU parameters.</w:t>
        <w:br/>
        <w:t>3. Apply the SVD–QR method to the results of the derivative-based or</w:t>
        <w:br/>
        <w:t>particle-based method to determine M0\M IT2 FBFs.</w:t>
        <w:br/>
        <w:t>4. Renormalize the IT2 FBFs and re-compute the linear combining parameters</w:t>
        <w:br/>
        <w:t>using least-squares.</w:t>
        <w:br/>
        <w:t>5. If performance is acceptable, STOP. Otherwise, return to Step 2 for a</w:t>
        <w:br/>
        <w:t>re-tuning of the antecedent and consequent parameters.</w:t>
        <w:br/>
      </w:r>
    </w:p>
    <w:p>
      <w:r>
        <w:t>• By applying the SVD-QR method to the IT2 FBF matrix that can be created</w:t>
        <w:br/>
        <w:t>after IT2 Zadeh rules are obtained from the IT2 WM method.</w:t>
        <w:br/>
        <w:t>• By using an evolutionary or bio-inspired optimization method that is set up not</w:t>
        <w:br/>
        <w:t>only to optimize FOU parameters, but also other things such as [e.g., Rutkowski</w:t>
        <w:br/>
        <w:t>(2004)]: which antecedents to use as well as their number (i.e., p), the number of</w:t>
        <w:br/>
        <w:t>linguistic terms for each variable (i.e., Q1; . . .; Qp), the number of rules (i.e., M),</w:t>
        <w:br/>
        <w:t>the t-norm used (i.e., minimum or product), Mamdani product or minimum, and</w:t>
        <w:br/>
        <w:t>the type-reduction method (e.g., height or COS).</w:t>
        <w:br/>
      </w:r>
    </w:p>
    <w:p>
      <w:r>
        <w:t>10.2.7</w:t>
        <w:br/>
        <w:t>Remarks</w:t>
        <w:br/>
      </w:r>
    </w:p>
    <w:p>
      <w:r>
        <w:t>10.2.7.1</w:t>
        <w:br/>
        <w:t>General Remarks</w:t>
        <w:br/>
      </w:r>
    </w:p>
    <w:p>
      <w:r>
        <w:t>The following objection to optimal IT2 fuzzy system designs is sometimes raised:</w:t>
        <w:br/>
        <w:t>Because an IT2 fuzzy system is described by more parameters than is a T1 fuzzy</w:t>
        <w:br/>
        <w:t>system, it is unfair to compare the performance from such an IT2 fuzzy system with</w:t>
        <w:br/>
        <w:t>the T1 fuzzy system, that is, it is only fair to compare optimal designs for IT2 and</w:t>
        <w:br/>
        <w:t>T1 fuzzy systems that have exactly the same number of parameters. Interestingly, a</w:t>
        <w:br/>
        <w:t>similar objection is not raised when optimal designs are compared for a T1 fuzzy</w:t>
        <w:br/>
        <w:t>system and a non-fuzzy system, in which the T1 fuzzy system has more design</w:t>
        <w:br/>
        <w:t>degrees of freedom than the non-fuzzy system. The design approach advocated in</w:t>
        <w:br/>
        <w:t>this book is one that ﬁrst begins with a T1 fuzzy system and tries to achieve the</w:t>
        <w:br/>
        <w:t>desired performance. It is only when such desired performance cannot be met that</w:t>
        <w:br/>
        <w:t>this book advocates moving up to an IT2 fuzzy system.</w:t>
        <w:br/>
        <w:t>It is worth restating some of the general remarks that are given in Sect. 4.2.7 but</w:t>
        <w:br/>
        <w:t>in the context of IT2 fuzzy system designs.</w:t>
        <w:br/>
        <w:t>When an IT2 fuzzy system is going to be used as part of a consumer (or military)</w:t>
        <w:br/>
        <w:t>product then it should be designed to meet pre-speciﬁed performance speciﬁcations</w:t>
        <w:br/>
      </w:r>
    </w:p>
    <w:p>
      <w:r>
        <w:t>10.3</w:t>
        <w:br/>
        <w:t>Case Study: Forecasting of Time-Series</w:t>
        <w:br/>
        <w:t>563</w:t>
        <w:br/>
      </w:r>
    </w:p>
    <w:p>
      <w:r>
        <w:t>10.3.2.2</w:t>
        <w:br/>
        <w:t>One-Epoch Combined Derivative-Based and SVD-QR Design</w:t>
        <w:br/>
      </w:r>
    </w:p>
    <w:p>
      <w:r>
        <w:t>In this fuzzy system design, the derivative-based (steepest descent) and SVD–QR</w:t>
        <w:br/>
        <w:t>methods were combined. To do this the steepest descent method was used for just</w:t>
        <w:br/>
        <w:t>one epoch of training after which the SVD–QR method was applied to its results.</w:t>
        <w:br/>
        <w:t>As in the previous section, ﬁve Mamdani fuzzy system forecasters were designed:</w:t>
        <w:br/>
        <w:t>singleton T1, non-singleton T1, singleton IT2, T1 non-singleton IT2, and IT2</w:t>
        <w:br/>
        <w:t>non-singleton IT2. All of the previous section’s discussions about number of data</w:t>
        <w:br/>
        <w:t>points, training points, testing points, number of rule antecedents, number of fuzzy</w:t>
        <w:br/>
        <w:t>sets for each antecedent, number of rules, choices for antecedent, consequent and</w:t>
        <w:br/>
        <w:t>input measurement MFs, initial choices for MF parameters (using the totally</w:t>
        <w:br/>
        <w:t>independent design approach), and evaluation by means of RMSE formulas remain</w:t>
        <w:br/>
        <w:t>the same for the present designs.</w:t>
        <w:br/>
        <w:t>50 Monte Carlo realizations were run for each of the ﬁve designs, and for each</w:t>
        <w:br/>
        <w:t>realization the fuzzy system was tuned before rule-reduction using a simple steepest</w:t>
        <w:br/>
        <w:t>descent algorithm, but only for one epoch. Each fuzzy system was then rule-reduced</w:t>
        <w:br/>
        <w:t>using the appropriate SVD–QR method (see discussions about SVD–QR designs in</w:t>
        <w:br/>
        <w:t>Sects. 4.2.4 and 10.2.4). The number of rules to be retained was established by using</w:t>
        <w:br/>
        <w:t>a threshold, c (set arbitrarily to 1), for the singular values that were computed for the</w:t>
        <w:br/>
        <w:t>SVD of a FBF matrix [e.g., (10.29) and (10.30), making use of the discussions on</w:t>
        <w:br/>
        <w:t>how to use these FBF matrices for an IT2 Mamdani fuzzy system with COS</w:t>
        <w:br/>
        <w:t>type-reduction + defuzziﬁcation, that is, given at the end of Example 10.9]. Let sj</w:t>
        <w:br/>
        <w:t>denote those singular values; then ^</w:t>
        <w:br/>
        <w:t>r was chosen such that s^</w:t>
        <w:br/>
        <w:t xml:space="preserve">r </w:t>
        <w:tab/>
        <w:t xml:space="preserve"> 1.</w:t>
        <w:br/>
        <w:t>RMSEs were computed both before and after rule-reduction. Results are sum-</w:t>
        <w:br/>
        <w:t>marized in Tables 10.8 and 10.9. Observe, from Table 10.9 that there is a very</w:t>
        <w:br/>
        <w:t>substantial reduction in the number of rules, from 16 to anywhere from 4 to 9.</w:t>
        <w:br/>
        <w:t>Unfortunately, there is an accompanying degradation in RMSE performance, as can</w:t>
        <w:br/>
        <w:t>be seen from the entries in Table 10.8. Our next design attempts to both improve</w:t>
        <w:br/>
        <w:t>the rule-reduced RMSEs and to further reduce the number of rules.</w:t>
        <w:br/>
      </w:r>
    </w:p>
    <w:p>
      <w:r>
        <w:t>10.3.2.3</w:t>
        <w:br/>
        <w:t>Six-Epoch Iterative Combined Derivative-Based</w:t>
        <w:br/>
        <w:t>and SVD-QR Design</w:t>
        <w:br/>
      </w:r>
    </w:p>
    <w:p>
      <w:r>
        <w:t>Next, the designs of ﬁve fuzzy system forecasters are compared for the Mackey–</w:t>
        <w:br/>
        <w:t>Glass time-series using an iterative version of combined derivative-based and</w:t>
        <w:br/>
        <w:t>SVD–QR methods. As in the previous sections, ﬁve Mamdani fuzzy system</w:t>
        <w:br/>
        <w:t>forecasters were designed: singleton T1, non-singleton T1, singleton IT2, T1</w:t>
        <w:br/>
        <w:t>non-singleton IT2, and IT2 non-singleton IT2. Additionally, all of Sect. 10.3.2.1’s</w:t>
        <w:br/>
        <w:t>discussions about number of data points, training points, testing points, number of</w:t>
        <w:br/>
        <w:t>rule antecedents, number of fuzzy sets for each antecedent, number of rules, choices</w:t>
        <w:br/>
        <w:t>for antecedent, consequent and input measurement MFs, initial choices for MF</w:t>
        <w:br/>
        <w:t>parameters (using the totally independent design approach), and evaluation by</w:t>
        <w:br/>
        <w:t>means of RMSE formulas remain the same for the present designs.</w:t>
        <w:br/>
      </w:r>
    </w:p>
    <w:p>
      <w:r>
        <w:t>10.4</w:t>
        <w:br/>
        <w:t>Case Study: Knowledge Mining Using Surveys</w:t>
        <w:br/>
        <w:t>581</w:t>
        <w:br/>
      </w:r>
    </w:p>
    <w:p>
      <w:r>
        <w:t>does the EIA. An interesting feature of the HMA is that the word FOUs are</w:t>
        <w:br/>
        <w:t>completely normal (i.e., both their UMF and LMF are normal T1 FSs), whereas</w:t>
        <w:br/>
        <w:t>only the UMFs from the IA and EIA are normal T1 FSs.</w:t>
        <w:br/>
      </w:r>
    </w:p>
    <w:p>
      <w:r>
        <w:t>Regarding the Engine of the Perceptual Computer, Mendel and Wu (2010,</w:t>
        <w:br/>
      </w:r>
    </w:p>
    <w:p>
      <w:r>
        <w:t>Chaps. 5 and 6) describe two kinds of engines—if-then rules and novel weighted</w:t>
        <w:br/>
        <w:t>averages. For if-then rules, they advocate determining a ﬁring level rather than a</w:t>
        <w:br/>
        <w:t>ﬁring interval, by using the Jaccard similarity measure for IT2 FSs (Exercise 7.46),</w:t>
        <w:br/>
        <w:t>so that the ﬁnal combined IT2 FS is more similar looking to an application’s</w:t>
        <w:br/>
        <w:t>codebook FOU than is the ﬁnal combined IT2 FS obtained when ﬁring intervals are</w:t>
        <w:br/>
        <w:t>used.</w:t>
        <w:br/>
      </w:r>
    </w:p>
    <w:p>
      <w:r>
        <w:t>Novel weighted averages range from the IWA (Sect. 8.2) to the fuzzy weighted</w:t>
        <w:br/>
      </w:r>
    </w:p>
    <w:p>
      <w:r>
        <w:t>average (which only uses T1 FSs—see Exercise 8.15) to the linguistic weighted</w:t>
        <w:br/>
        <w:t>average (which uses IT2 FSs, or a mixture of T1 and IT2 FSs). The latter is a</w:t>
        <w:br/>
        <w:t>weighted average, where weights and evaluations are linguistic terms, whose FOUs</w:t>
        <w:br/>
        <w:t>can be modeled, e.g. by using the HMA. Another very powerful NWA is the</w:t>
        <w:br/>
        <w:t>linguistic weighted power mean (Rickard et al. 2011, 2013).</w:t>
        <w:br/>
      </w:r>
    </w:p>
    <w:p>
      <w:r>
        <w:t>Regarding the Decoder of the Perceptual Computer (Mendel and Wu 2010,</w:t>
        <w:br/>
      </w:r>
    </w:p>
    <w:p>
      <w:r>
        <w:t>Chap. 4), similarity and subsethood (Exercise 7.47) play very important roles.</w:t>
        <w:br/>
      </w:r>
    </w:p>
    <w:p>
      <w:r>
        <w:t>An important aspect of the Perceptual Computer is that the complete vocabulary</w:t>
        <w:br/>
      </w:r>
    </w:p>
    <w:p>
      <w:r>
        <w:t>of all of the words that are used in an application must be established before IT2 FS</w:t>
        <w:br/>
        <w:t>models are found for the words. The size of the vocabulary for a linguistic variable</w:t>
        <w:br/>
        <w:t>affects the calibration of the fuzzy sets. If, for example, only three linguistic terms</w:t>
        <w:br/>
        <w:t>are used to describe Proﬁtable, namely {hardly proﬁtable, moderately proﬁtable,</w:t>
        <w:br/>
        <w:t>fully proﬁtable}, then their fuzzy sets will look very different from their fuzzy sets</w:t>
        <w:br/>
        <w:t>when the following six terms are used: {barely proﬁtable, hardly proﬁtable,</w:t>
        <w:br/>
        <w:t>somewhat proﬁtable, moderately proﬁtable, fully proﬁtable, extremely proﬁtable}.</w:t>
        <w:br/>
        <w:t>This is because the term barely proﬁtable now appears before hardly proﬁtable, and</w:t>
        <w:br/>
        <w:t>the term extremely proﬁtable now appears after fully proﬁtable. So, knowing the</w:t>
        <w:br/>
        <w:t>complete vocabulary for all of the linguistic variables is crucial to the proper</w:t>
        <w:br/>
        <w:t>modeling of the words in an application.</w:t>
        <w:br/>
      </w:r>
    </w:p>
    <w:p>
      <w:r>
        <w:t>Another interesting aspect of the Perceptual Computer is that it can only be</w:t>
        <w:br/>
      </w:r>
    </w:p>
    <w:p>
      <w:r>
        <w:t>interacted with using words that are in the codebook. When words are modeled as</w:t>
        <w:br/>
        <w:t>IT2 FSs, and, e.g., the Engine is if-then rules, then one is always in the situation of</w:t>
        <w:br/>
        <w:t>IT2 non-singleton fuzziﬁcation! That is the bad news. The good news is that since</w:t>
        <w:br/>
        <w:t>the vocabulary and codebook are known ahead of time, all possible ﬁring intervals</w:t>
        <w:br/>
        <w:t>can be pre-computed and then stored in a look-up table.</w:t>
        <w:br/>
      </w:r>
    </w:p>
    <w:p>
      <w:r>
        <w:t>Finally, Chap. 6 in Mendel and Wu (2010) gives all of the details for a</w:t>
        <w:br/>
      </w:r>
    </w:p>
    <w:p>
      <w:r>
        <w:t>Perceptual Computer Flirtation Advisor, using the same data that have been used in</w:t>
        <w:br/>
        <w:t>this book.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