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a5f"/>
          <w:sz w:val="56"/>
          <w:szCs w:val="56"/>
        </w:rPr>
        <w:t xml:space="preserve">OPPSCOUT</w:t>
      </w:r>
    </w:p>
    <w:p>
      <w:pPr>
        <w:spacing w:after="100" w:before="200"/>
        <w:jc w:val="center"/>
      </w:pPr>
      <w:r>
        <w:rPr>
          <w:b/>
          <w:bCs/>
          <w:color w:val="2f6fb2"/>
          <w:sz w:val="30"/>
          <w:szCs w:val="30"/>
        </w:rPr>
        <w:t xml:space="preserve">Master Technical Planning Document</w:t>
      </w:r>
    </w:p>
    <w:p>
      <w:pPr>
        <w:spacing w:after="600"/>
        <w:jc w:val="center"/>
      </w:pPr>
      <w:r>
        <w:rPr>
          <w:i/>
          <w:iCs/>
          <w:color w:val="5a5a5a"/>
          <w:sz w:val="22"/>
          <w:szCs w:val="22"/>
        </w:rPr>
        <w:t xml:space="preserve">13 pre-build specifications, consolidated — architecture, data, product logic, trust, non-functional requirements, and delivery plan</w:t>
      </w:r>
    </w:p>
    <w:p>
      <w:pPr>
        <w:spacing w:before="1400"/>
        <w:jc w:val="center"/>
      </w:pPr>
      <w:r>
        <w:rPr>
          <w:color w:val="333333"/>
          <w:sz w:val="22"/>
          <w:szCs w:val="22"/>
        </w:rPr>
        <w:t xml:space="preserve">Prepared for: VAIS Applied Intelligence Systems</w:t>
      </w:r>
    </w:p>
    <w:p>
      <w:pPr>
        <w:spacing w:after="100"/>
        <w:jc w:val="center"/>
      </w:pPr>
      <w:r>
        <w:rPr>
          <w:color w:val="333333"/>
          <w:sz w:val="22"/>
          <w:szCs w:val="22"/>
        </w:rPr>
        <w:t xml:space="preserve">Scope: Uganda-first · Web + USSD + AI</w:t>
      </w:r>
    </w:p>
    <w:p>
      <w:pPr>
        <w:jc w:val="center"/>
      </w:pPr>
      <w:r>
        <w:rPr>
          <w:color w:val="333333"/>
          <w:sz w:val="22"/>
          <w:szCs w:val="22"/>
        </w:rPr>
        <w:t xml:space="preserve">Status: Pre-build planning — v1.0</w:t>
      </w:r>
    </w:p>
    <w:p>
      <w:r>
        <w:br w:type="page"/>
      </w:r>
    </w:p>
    <w:p>
      <w:pPr>
        <w:pStyle w:val="Heading1"/>
        <w:spacing w:after="200" w:before="400"/>
      </w:pPr>
      <w:r>
        <w:rPr>
          <w:b/>
          <w:bCs/>
          <w:color w:val="1f3a5f"/>
        </w:rPr>
        <w:t xml:space="preserve">Table of Contents</w:t>
      </w:r>
    </w:p>
    <w:p>
      <w:pPr>
        <w:spacing w:after="160" w:line="300"/>
      </w:pPr>
      <w:r>
        <w:t xml:space="preserve">0. Introduction &amp; How to Use This Document</w:t>
      </w:r>
    </w:p>
    <w:p>
      <w:pPr>
        <w:spacing w:after="160" w:line="300"/>
      </w:pPr>
      <w:r>
        <w:t xml:space="preserve">1. System Architecture Specification</w:t>
      </w:r>
    </w:p>
    <w:p>
      <w:pPr>
        <w:spacing w:after="160" w:line="300"/>
      </w:pPr>
      <w:r>
        <w:t xml:space="preserve">2. Data Model / Schema Specification</w:t>
      </w:r>
    </w:p>
    <w:p>
      <w:pPr>
        <w:spacing w:after="160" w:line="300"/>
      </w:pPr>
      <w:r>
        <w:t xml:space="preserve">3. API Contract Specification</w:t>
      </w:r>
    </w:p>
    <w:p>
      <w:pPr>
        <w:spacing w:after="160" w:line="300"/>
      </w:pPr>
      <w:r>
        <w:t xml:space="preserve">4. Matching Engine Specification</w:t>
      </w:r>
    </w:p>
    <w:p>
      <w:pPr>
        <w:spacing w:after="160" w:line="300"/>
      </w:pPr>
      <w:r>
        <w:t xml:space="preserve">5. Notification &amp; Alerting Specification</w:t>
      </w:r>
    </w:p>
    <w:p>
      <w:pPr>
        <w:spacing w:after="160" w:line="300"/>
      </w:pPr>
      <w:r>
        <w:t xml:space="preserve">6. USSD Flow Specification</w:t>
      </w:r>
    </w:p>
    <w:p>
      <w:pPr>
        <w:spacing w:after="160" w:line="300"/>
      </w:pPr>
      <w:r>
        <w:t xml:space="preserve">7. Verification &amp; Trust Policy</w:t>
      </w:r>
    </w:p>
    <w:p>
      <w:pPr>
        <w:spacing w:after="160" w:line="300"/>
      </w:pPr>
      <w:r>
        <w:t xml:space="preserve">8. Data Ingestion &amp; Freshness Policy</w:t>
      </w:r>
    </w:p>
    <w:p>
      <w:pPr>
        <w:spacing w:after="160" w:line="300"/>
      </w:pPr>
      <w:r>
        <w:t xml:space="preserve">9. SLO / Reliability Specification</w:t>
      </w:r>
    </w:p>
    <w:p>
      <w:pPr>
        <w:spacing w:after="160" w:line="300"/>
      </w:pPr>
      <w:r>
        <w:t xml:space="preserve">10. Security &amp; Privacy Specification</w:t>
      </w:r>
    </w:p>
    <w:p>
      <w:pPr>
        <w:spacing w:after="160" w:line="300"/>
      </w:pPr>
      <w:r>
        <w:t xml:space="preserve">11. Uganda Regulatory Compliance Specification</w:t>
      </w:r>
    </w:p>
    <w:p>
      <w:pPr>
        <w:spacing w:after="160" w:line="300"/>
      </w:pPr>
      <w:r>
        <w:t xml:space="preserve">12. Phased Rollout Plan</w:t>
      </w:r>
    </w:p>
    <w:p>
      <w:pPr>
        <w:spacing w:after="160" w:line="300"/>
      </w:pPr>
      <w:r>
        <w:t xml:space="preserve">13. KPI &amp; Instrumentation Specification</w:t>
      </w:r>
    </w:p>
    <w:p>
      <w:pPr>
        <w:spacing w:after="160" w:line="300"/>
      </w:pPr>
      <w:r>
        <w:t xml:space="preserve">Appendix A — Glossary</w:t>
      </w:r>
    </w:p>
    <w:p>
      <w:r>
        <w:br w:type="page"/>
      </w:r>
    </w:p>
    <w:p>
      <w:pPr>
        <w:pStyle w:val="Heading1"/>
        <w:spacing w:after="200" w:before="400"/>
      </w:pPr>
      <w:r>
        <w:rPr>
          <w:b/>
          <w:bCs/>
          <w:color w:val="1f3a5f"/>
        </w:rPr>
        <w:t xml:space="preserve">0. Introduction &amp; How to Use This Document</w:t>
      </w:r>
    </w:p>
    <w:p>
      <w:pPr>
        <w:spacing w:after="160" w:line="300"/>
      </w:pPr>
      <w:r>
        <w:t xml:space="preserve">This document consolidates the thirteen planning documents identified as necessary before OppScout enters production build. It exists to answer one question for every subsystem before a single line of production code is written: “what does correct look like, and how will we know if we drifted from it?”</w:t>
      </w:r>
    </w:p>
    <w:p>
      <w:pPr>
        <w:spacing w:after="160" w:line="300"/>
      </w:pPr>
      <w:r>
        <w:t xml:space="preserve">The document definition supplied for OppScout (the Concept Definition &amp; Product Framework) is treated here as the complete and unreduced scope. No feature, section, or capability described in that document has been removed. What this planning document adds is sequencing, interface boundaries, and measurable acceptance criteria — the layer that turns a strategy document into something buildable without the build quality degrading as scope grows.</w:t>
      </w:r>
    </w:p>
    <w:p>
      <w:pPr>
        <w:pStyle w:val="Heading3"/>
        <w:spacing w:after="100" w:before="200"/>
      </w:pPr>
      <w:r>
        <w:rPr>
          <w:b/>
          <w:bCs/>
          <w:color w:val="333333"/>
        </w:rPr>
        <w:t xml:space="preserve">Guiding principle</w:t>
      </w:r>
    </w:p>
    <w:p>
      <w:pPr>
        <w:spacing w:after="160" w:line="300"/>
      </w:pPr>
      <w:r>
        <w:t xml:space="preserve">Every later-phase feature (AI matching, USSD, automated scraping, monetization) is designed as an additional implementation behind an interface that exists from Phase 1, rather than a rebuild of something already shipped. This is what makes “never decline, only improve” structurally true rather than aspirational — see §1 (Architecture) and §12 (Phased Rollout Plan).</w:t>
      </w:r>
    </w:p>
    <w:p>
      <w:pPr>
        <w:pStyle w:val="Heading3"/>
        <w:spacing w:after="100" w:before="200"/>
      </w:pPr>
      <w:r>
        <w:rPr>
          <w:b/>
          <w:bCs/>
          <w:color w:val="333333"/>
        </w:rPr>
        <w:t xml:space="preserve">How to read this document</w:t>
      </w:r>
    </w:p>
    <w:p>
      <w:pPr>
        <w:pStyle w:val="ListParagraph"/>
        <w:numPr>
          <w:ilvl w:val="0"/>
          <w:numId w:val="1"/>
        </w:numPr>
        <w:spacing w:after="80" w:line="280"/>
      </w:pPr>
      <w:r>
        <w:t xml:space="preserve">§1–3 (Architecture, Data Model, API) define the shared spine every other section builds on — read these first.</w:t>
      </w:r>
    </w:p>
    <w:p>
      <w:pPr>
        <w:pStyle w:val="ListParagraph"/>
        <w:numPr>
          <w:ilvl w:val="0"/>
          <w:numId w:val="1"/>
        </w:numPr>
        <w:spacing w:after="80" w:line="280"/>
      </w:pPr>
      <w:r>
        <w:t xml:space="preserve">§4–6 (Matching, Notifications, USSD) are product-logic specs — they define exact behavior, not just intent.</w:t>
      </w:r>
    </w:p>
    <w:p>
      <w:pPr>
        <w:pStyle w:val="ListParagraph"/>
        <w:numPr>
          <w:ilvl w:val="0"/>
          <w:numId w:val="1"/>
        </w:numPr>
        <w:spacing w:after="80" w:line="280"/>
      </w:pPr>
      <w:r>
        <w:t xml:space="preserve">§7–8 (Trust, Data Freshness) protect the two things users can't tolerate failure in: being scammed, and being shown stale information.</w:t>
      </w:r>
    </w:p>
    <w:p>
      <w:pPr>
        <w:pStyle w:val="ListParagraph"/>
        <w:numPr>
          <w:ilvl w:val="0"/>
          <w:numId w:val="1"/>
        </w:numPr>
        <w:spacing w:after="80" w:line="280"/>
      </w:pPr>
      <w:r>
        <w:t xml:space="preserve">§9–11 (SLOs, Security, Regulatory) are non-functional requirements — numbers and constraints, not features.</w:t>
      </w:r>
    </w:p>
    <w:p>
      <w:pPr>
        <w:pStyle w:val="ListParagraph"/>
        <w:numPr>
          <w:ilvl w:val="0"/>
          <w:numId w:val="1"/>
        </w:numPr>
        <w:spacing w:after="80" w:line="280"/>
      </w:pPr>
      <w:r>
        <w:t xml:space="preserve">§12–13 (Rollout Plan, KPIs) translate everything above into an execution order with acceptance criteria.</w:t>
      </w:r>
    </w:p>
    <w:p>
      <w:pPr>
        <w:pBdr>
          <w:bottom w:val="single" w:color="cccccc" w:sz="6" w:space="1"/>
        </w:pBdr>
        <w:spacing w:after="300"/>
      </w:pPr>
    </w:p>
    <w:p>
      <w:pPr>
        <w:pStyle w:val="Heading1"/>
        <w:spacing w:after="200" w:before="400"/>
      </w:pPr>
      <w:r>
        <w:rPr>
          <w:b/>
          <w:bCs/>
          <w:color w:val="1f3a5f"/>
        </w:rPr>
        <w:t xml:space="preserve">1. System Architecture Specification</w:t>
      </w:r>
    </w:p>
    <w:p>
      <w:pPr>
        <w:spacing w:after="200"/>
      </w:pPr>
      <w:r>
        <w:rPr>
          <w:b/>
          <w:bCs/>
          <w:color w:val="5a5a5a"/>
          <w:sz w:val="20"/>
          <w:szCs w:val="20"/>
        </w:rPr>
        <w:t xml:space="preserve">DOCUMENT: </w:t>
      </w:r>
      <w:r>
        <w:rPr>
          <w:b/>
          <w:bCs/>
          <w:color w:val="2f6fb2"/>
          <w:sz w:val="20"/>
          <w:szCs w:val="20"/>
        </w:rPr>
        <w:t xml:space="preserve">System Architecture Specification</w:t>
      </w:r>
    </w:p>
    <w:p>
      <w:pPr>
        <w:spacing w:after="160" w:line="300"/>
      </w:pPr>
      <w:r>
        <w:t xml:space="preserve">Purpose: define the components of OppScout and the interfaces between them so that every feature in the product framework (§1–24 of the source doc) has an explicit, stable place to live — including features scheduled for later phases.</w:t>
      </w:r>
    </w:p>
    <w:p>
      <w:pPr>
        <w:pStyle w:val="Heading2"/>
        <w:spacing w:after="150" w:before="300"/>
      </w:pPr>
      <w:r>
        <w:rPr>
          <w:b/>
          <w:bCs/>
          <w:color w:val="2f6fb2"/>
        </w:rPr>
        <w:t xml:space="preserve">1.1 Architectural approach</w:t>
      </w:r>
    </w:p>
    <w:p>
      <w:pPr>
        <w:spacing w:after="160" w:line="300"/>
      </w:pPr>
      <w:r>
        <w:t xml:space="preserve">OppScout is built around a fixed spine (API layer + data layer) and two pluggable interfaces: MatchEngine and NotificationChannel. Phase 1 ships one concrete implementation of each. Later phases add implementations — an AI-assisted MatchEngine, a USSD NotificationChannel — without altering the interface contract or requiring changes to code that already works in production.</w:t>
      </w:r>
    </w:p>
    <w:p>
      <w:pPr>
        <w:spacing w:after="80" w:before="20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43325"/>
                    </a:xfrm>
                    <a:prstGeom prst="rect">
                      <a:avLst/>
                    </a:prstGeom>
                  </pic:spPr>
                </pic:pic>
              </a:graphicData>
            </a:graphic>
          </wp:inline>
        </w:drawing>
      </w:r>
    </w:p>
    <w:p>
      <w:pPr>
        <w:spacing w:after="300" w:before="100"/>
        <w:jc w:val="center"/>
      </w:pPr>
      <w:r>
        <w:rPr>
          <w:i/>
          <w:iCs/>
          <w:color w:val="5a5a5a"/>
          <w:sz w:val="18"/>
          <w:szCs w:val="18"/>
        </w:rPr>
        <w:t xml:space="preserve">Figure 1.1 — OppScout system architecture, Phase 1 spine with later-phase components marked in amber.</w:t>
      </w:r>
    </w:p>
    <w:p>
      <w:pPr>
        <w:pStyle w:val="Heading2"/>
        <w:spacing w:after="150" w:before="300"/>
      </w:pPr>
      <w:r>
        <w:rPr>
          <w:b/>
          <w:bCs/>
          <w:color w:val="2f6fb2"/>
        </w:rPr>
        <w:t xml:space="preserve">1.2 Components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800"/>
      </w:tblGrid>
      <w:tr>
        <w:trPr>
          <w:tblHeader/>
        </w:trPr>
        <w:tc>
          <w:tcPr>
            <w:tcW w:type="dxa" w:w="2600"/>
            <w:shd w:fill="1f3a5f" w:color="auto" w:val="clear"/>
            <w:tcMar>
              <w:top w:type="dxa" w:w="80"/>
              <w:left w:type="dxa" w:w="100"/>
              <w:bottom w:type="dxa" w:w="80"/>
              <w:right w:type="dxa" w:w="100"/>
            </w:tcMar>
          </w:tcPr>
          <w:p>
            <w:pPr>
              <w:jc w:val="left"/>
            </w:pPr>
            <w:r>
              <w:rPr>
                <w:b/>
                <w:bCs/>
                <w:color w:val="FFFFFF"/>
                <w:sz w:val="19"/>
                <w:szCs w:val="19"/>
              </w:rPr>
              <w:t xml:space="preserve">Component</w:t>
            </w:r>
          </w:p>
        </w:tc>
        <w:tc>
          <w:tcPr>
            <w:tcW w:type="dxa" w:w="5200"/>
            <w:shd w:fill="1f3a5f" w:color="auto" w:val="clear"/>
            <w:tcMar>
              <w:top w:type="dxa" w:w="80"/>
              <w:left w:type="dxa" w:w="100"/>
              <w:bottom w:type="dxa" w:w="80"/>
              <w:right w:type="dxa" w:w="100"/>
            </w:tcMar>
          </w:tcPr>
          <w:p>
            <w:pPr>
              <w:jc w:val="left"/>
            </w:pPr>
            <w:r>
              <w:rPr>
                <w:b/>
                <w:bCs/>
                <w:color w:val="FFFFFF"/>
                <w:sz w:val="19"/>
                <w:szCs w:val="19"/>
              </w:rPr>
              <w:t xml:space="preserve">Responsibility</w:t>
            </w:r>
          </w:p>
        </w:tc>
        <w:tc>
          <w:tcPr>
            <w:tcW w:type="dxa" w:w="1800"/>
            <w:shd w:fill="1f3a5f" w:color="auto" w:val="clear"/>
            <w:tcMar>
              <w:top w:type="dxa" w:w="80"/>
              <w:left w:type="dxa" w:w="100"/>
              <w:bottom w:type="dxa" w:w="80"/>
              <w:right w:type="dxa" w:w="100"/>
            </w:tcMar>
          </w:tcPr>
          <w:p>
            <w:pPr>
              <w:jc w:val="left"/>
            </w:pPr>
            <w:r>
              <w:rPr>
                <w:b/>
                <w:bCs/>
                <w:color w:val="FFFFFF"/>
                <w:sz w:val="19"/>
                <w:szCs w:val="19"/>
              </w:rPr>
              <w:t xml:space="preserve">Phase introduced</w:t>
            </w:r>
          </w:p>
        </w:tc>
      </w:tr>
      <w:tr>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Web Client</w:t>
            </w:r>
          </w:p>
        </w:tc>
        <w:tc>
          <w:tcPr>
            <w:tcW w:type="dxa" w:w="5200"/>
            <w:shd w:fill="FFFFFF" w:color="auto" w:val="clear"/>
            <w:tcMar>
              <w:top w:type="dxa" w:w="80"/>
              <w:left w:type="dxa" w:w="100"/>
              <w:bottom w:type="dxa" w:w="80"/>
              <w:right w:type="dxa" w:w="100"/>
            </w:tcMar>
          </w:tcPr>
          <w:p>
            <w:pPr>
              <w:jc w:val="left"/>
            </w:pPr>
            <w:r>
              <w:rPr>
                <w:b w:val="false"/>
                <w:bCs w:val="false"/>
                <w:color w:val="1a1a1a"/>
                <w:sz w:val="19"/>
                <w:szCs w:val="19"/>
              </w:rPr>
              <w:t xml:space="preserve">Primary user-facing app; profile creation, opportunity feed, save/track</w:t>
            </w:r>
          </w:p>
        </w:tc>
        <w:tc>
          <w:tcPr>
            <w:tcW w:type="dxa" w:w="1800"/>
            <w:shd w:fill="FFFFFF" w:color="auto" w:val="clear"/>
            <w:tcMar>
              <w:top w:type="dxa" w:w="80"/>
              <w:left w:type="dxa" w:w="100"/>
              <w:bottom w:type="dxa" w:w="80"/>
              <w:right w:type="dxa" w:w="100"/>
            </w:tcMar>
          </w:tcPr>
          <w:p>
            <w:pPr>
              <w:jc w:val="left"/>
            </w:pPr>
            <w:r>
              <w:rPr>
                <w:b w:val="false"/>
                <w:bCs w:val="false"/>
                <w:color w:val="1a1a1a"/>
                <w:sz w:val="19"/>
                <w:szCs w:val="19"/>
              </w:rPr>
              <w:t xml:space="preserve">1</w:t>
            </w:r>
          </w:p>
        </w:tc>
      </w:tr>
      <w:tr>
        <w:tc>
          <w:tcPr>
            <w:tcW w:type="dxa" w:w="2600"/>
            <w:shd w:fill="F5F8FC" w:color="auto" w:val="clear"/>
            <w:tcMar>
              <w:top w:type="dxa" w:w="80"/>
              <w:left w:type="dxa" w:w="100"/>
              <w:bottom w:type="dxa" w:w="80"/>
              <w:right w:type="dxa" w:w="100"/>
            </w:tcMar>
          </w:tcPr>
          <w:p>
            <w:pPr>
              <w:jc w:val="left"/>
            </w:pPr>
            <w:r>
              <w:rPr>
                <w:b w:val="false"/>
                <w:bCs w:val="false"/>
                <w:color w:val="1a1a1a"/>
                <w:sz w:val="19"/>
                <w:szCs w:val="19"/>
              </w:rPr>
              <w:t xml:space="preserve">Org / Provider Dashboard</w:t>
            </w:r>
          </w:p>
        </w:tc>
        <w:tc>
          <w:tcPr>
            <w:tcW w:type="dxa" w:w="5200"/>
            <w:shd w:fill="F5F8FC" w:color="auto" w:val="clear"/>
            <w:tcMar>
              <w:top w:type="dxa" w:w="80"/>
              <w:left w:type="dxa" w:w="100"/>
              <w:bottom w:type="dxa" w:w="80"/>
              <w:right w:type="dxa" w:w="100"/>
            </w:tcMar>
          </w:tcPr>
          <w:p>
            <w:pPr>
              <w:jc w:val="left"/>
            </w:pPr>
            <w:r>
              <w:rPr>
                <w:b w:val="false"/>
                <w:bCs w:val="false"/>
                <w:color w:val="1a1a1a"/>
                <w:sz w:val="19"/>
                <w:szCs w:val="19"/>
              </w:rPr>
              <w:t xml:space="preserve">Opportunity publishing, eligibility definition, candidate-interest analytics</w:t>
            </w:r>
          </w:p>
        </w:tc>
        <w:tc>
          <w:tcPr>
            <w:tcW w:type="dxa" w:w="1800"/>
            <w:shd w:fill="F5F8FC" w:color="auto" w:val="clear"/>
            <w:tcMar>
              <w:top w:type="dxa" w:w="80"/>
              <w:left w:type="dxa" w:w="100"/>
              <w:bottom w:type="dxa" w:w="80"/>
              <w:right w:type="dxa" w:w="100"/>
            </w:tcMar>
          </w:tcPr>
          <w:p>
            <w:pPr>
              <w:jc w:val="left"/>
            </w:pPr>
            <w:r>
              <w:rPr>
                <w:b w:val="false"/>
                <w:bCs w:val="false"/>
                <w:color w:val="1a1a1a"/>
                <w:sz w:val="19"/>
                <w:szCs w:val="19"/>
              </w:rPr>
              <w:t xml:space="preserve">1 (basic) → 2 (full)</w:t>
            </w:r>
          </w:p>
        </w:tc>
      </w:tr>
      <w:tr>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USSD Gateway</w:t>
            </w:r>
          </w:p>
        </w:tc>
        <w:tc>
          <w:tcPr>
            <w:tcW w:type="dxa" w:w="5200"/>
            <w:shd w:fill="FFFFFF" w:color="auto" w:val="clear"/>
            <w:tcMar>
              <w:top w:type="dxa" w:w="80"/>
              <w:left w:type="dxa" w:w="100"/>
              <w:bottom w:type="dxa" w:w="80"/>
              <w:right w:type="dxa" w:w="100"/>
            </w:tcMar>
          </w:tcPr>
          <w:p>
            <w:pPr>
              <w:jc w:val="left"/>
            </w:pPr>
            <w:r>
              <w:rPr>
                <w:b w:val="false"/>
                <w:bCs w:val="false"/>
                <w:color w:val="1a1a1a"/>
                <w:sz w:val="19"/>
                <w:szCs w:val="19"/>
              </w:rPr>
              <w:t xml:space="preserve">Feature-phone access via telecom aggregator session API</w:t>
            </w:r>
          </w:p>
        </w:tc>
        <w:tc>
          <w:tcPr>
            <w:tcW w:type="dxa" w:w="1800"/>
            <w:shd w:fill="FFFFFF" w:color="auto" w:val="clear"/>
            <w:tcMar>
              <w:top w:type="dxa" w:w="80"/>
              <w:left w:type="dxa" w:w="100"/>
              <w:bottom w:type="dxa" w:w="80"/>
              <w:right w:type="dxa" w:w="100"/>
            </w:tcMar>
          </w:tcPr>
          <w:p>
            <w:pPr>
              <w:jc w:val="left"/>
            </w:pPr>
            <w:r>
              <w:rPr>
                <w:b w:val="false"/>
                <w:bCs w:val="false"/>
                <w:color w:val="1a1a1a"/>
                <w:sz w:val="19"/>
                <w:szCs w:val="19"/>
              </w:rPr>
              <w:t xml:space="preserve">4</w:t>
            </w:r>
          </w:p>
        </w:tc>
      </w:tr>
      <w:tr>
        <w:tc>
          <w:tcPr>
            <w:tcW w:type="dxa" w:w="2600"/>
            <w:shd w:fill="F5F8FC" w:color="auto" w:val="clear"/>
            <w:tcMar>
              <w:top w:type="dxa" w:w="80"/>
              <w:left w:type="dxa" w:w="100"/>
              <w:bottom w:type="dxa" w:w="80"/>
              <w:right w:type="dxa" w:w="100"/>
            </w:tcMar>
          </w:tcPr>
          <w:p>
            <w:pPr>
              <w:jc w:val="left"/>
            </w:pPr>
            <w:r>
              <w:rPr>
                <w:b w:val="false"/>
                <w:bCs w:val="false"/>
                <w:color w:val="1a1a1a"/>
                <w:sz w:val="19"/>
                <w:szCs w:val="19"/>
              </w:rPr>
              <w:t xml:space="preserve">API Layer</w:t>
            </w:r>
          </w:p>
        </w:tc>
        <w:tc>
          <w:tcPr>
            <w:tcW w:type="dxa" w:w="5200"/>
            <w:shd w:fill="F5F8FC" w:color="auto" w:val="clear"/>
            <w:tcMar>
              <w:top w:type="dxa" w:w="80"/>
              <w:left w:type="dxa" w:w="100"/>
              <w:bottom w:type="dxa" w:w="80"/>
              <w:right w:type="dxa" w:w="100"/>
            </w:tcMar>
          </w:tcPr>
          <w:p>
            <w:pPr>
              <w:jc w:val="left"/>
            </w:pPr>
            <w:r>
              <w:rPr>
                <w:b w:val="false"/>
                <w:bCs w:val="false"/>
                <w:color w:val="1a1a1a"/>
                <w:sz w:val="19"/>
                <w:szCs w:val="19"/>
              </w:rPr>
              <w:t xml:space="preserve">Single versioned contract consumed by every client</w:t>
            </w:r>
          </w:p>
        </w:tc>
        <w:tc>
          <w:tcPr>
            <w:tcW w:type="dxa" w:w="1800"/>
            <w:shd w:fill="F5F8FC" w:color="auto" w:val="clear"/>
            <w:tcMar>
              <w:top w:type="dxa" w:w="80"/>
              <w:left w:type="dxa" w:w="100"/>
              <w:bottom w:type="dxa" w:w="80"/>
              <w:right w:type="dxa" w:w="100"/>
            </w:tcMar>
          </w:tcPr>
          <w:p>
            <w:pPr>
              <w:jc w:val="left"/>
            </w:pPr>
            <w:r>
              <w:rPr>
                <w:b w:val="false"/>
                <w:bCs w:val="false"/>
                <w:color w:val="1a1a1a"/>
                <w:sz w:val="19"/>
                <w:szCs w:val="19"/>
              </w:rPr>
              <w:t xml:space="preserve">1</w:t>
            </w:r>
          </w:p>
        </w:tc>
      </w:tr>
      <w:tr>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MatchEngine (interface)</w:t>
            </w:r>
          </w:p>
        </w:tc>
        <w:tc>
          <w:tcPr>
            <w:tcW w:type="dxa" w:w="5200"/>
            <w:shd w:fill="FFFFFF" w:color="auto" w:val="clear"/>
            <w:tcMar>
              <w:top w:type="dxa" w:w="80"/>
              <w:left w:type="dxa" w:w="100"/>
              <w:bottom w:type="dxa" w:w="80"/>
              <w:right w:type="dxa" w:w="100"/>
            </w:tcMar>
          </w:tcPr>
          <w:p>
            <w:pPr>
              <w:jc w:val="left"/>
            </w:pPr>
            <w:r>
              <w:rPr>
                <w:b w:val="false"/>
                <w:bCs w:val="false"/>
                <w:color w:val="1a1a1a"/>
                <w:sz w:val="19"/>
                <w:szCs w:val="19"/>
              </w:rPr>
              <w:t xml:space="preserve">Compares profile to opportunity, returns score + explanation</w:t>
            </w:r>
          </w:p>
        </w:tc>
        <w:tc>
          <w:tcPr>
            <w:tcW w:type="dxa" w:w="1800"/>
            <w:shd w:fill="FFFFFF" w:color="auto" w:val="clear"/>
            <w:tcMar>
              <w:top w:type="dxa" w:w="80"/>
              <w:left w:type="dxa" w:w="100"/>
              <w:bottom w:type="dxa" w:w="80"/>
              <w:right w:type="dxa" w:w="100"/>
            </w:tcMar>
          </w:tcPr>
          <w:p>
            <w:pPr>
              <w:jc w:val="left"/>
            </w:pPr>
            <w:r>
              <w:rPr>
                <w:b w:val="false"/>
                <w:bCs w:val="false"/>
                <w:color w:val="1a1a1a"/>
                <w:sz w:val="19"/>
                <w:szCs w:val="19"/>
              </w:rPr>
              <w:t xml:space="preserve">1 (rule-based) → 3 (AI)</w:t>
            </w:r>
          </w:p>
        </w:tc>
      </w:tr>
      <w:tr>
        <w:tc>
          <w:tcPr>
            <w:tcW w:type="dxa" w:w="2600"/>
            <w:shd w:fill="F5F8FC" w:color="auto" w:val="clear"/>
            <w:tcMar>
              <w:top w:type="dxa" w:w="80"/>
              <w:left w:type="dxa" w:w="100"/>
              <w:bottom w:type="dxa" w:w="80"/>
              <w:right w:type="dxa" w:w="100"/>
            </w:tcMar>
          </w:tcPr>
          <w:p>
            <w:pPr>
              <w:jc w:val="left"/>
            </w:pPr>
            <w:r>
              <w:rPr>
                <w:b w:val="false"/>
                <w:bCs w:val="false"/>
                <w:color w:val="1a1a1a"/>
                <w:sz w:val="19"/>
                <w:szCs w:val="19"/>
              </w:rPr>
              <w:t xml:space="preserve">NotificationChannel (interface)</w:t>
            </w:r>
          </w:p>
        </w:tc>
        <w:tc>
          <w:tcPr>
            <w:tcW w:type="dxa" w:w="5200"/>
            <w:shd w:fill="F5F8FC" w:color="auto" w:val="clear"/>
            <w:tcMar>
              <w:top w:type="dxa" w:w="80"/>
              <w:left w:type="dxa" w:w="100"/>
              <w:bottom w:type="dxa" w:w="80"/>
              <w:right w:type="dxa" w:w="100"/>
            </w:tcMar>
          </w:tcPr>
          <w:p>
            <w:pPr>
              <w:jc w:val="left"/>
            </w:pPr>
            <w:r>
              <w:rPr>
                <w:b w:val="false"/>
                <w:bCs w:val="false"/>
                <w:color w:val="1a1a1a"/>
                <w:sz w:val="19"/>
                <w:szCs w:val="19"/>
              </w:rPr>
              <w:t xml:space="preserve">Sends alerts through a channel; new channels register against the same interface</w:t>
            </w:r>
          </w:p>
        </w:tc>
        <w:tc>
          <w:tcPr>
            <w:tcW w:type="dxa" w:w="1800"/>
            <w:shd w:fill="F5F8FC" w:color="auto" w:val="clear"/>
            <w:tcMar>
              <w:top w:type="dxa" w:w="80"/>
              <w:left w:type="dxa" w:w="100"/>
              <w:bottom w:type="dxa" w:w="80"/>
              <w:right w:type="dxa" w:w="100"/>
            </w:tcMar>
          </w:tcPr>
          <w:p>
            <w:pPr>
              <w:jc w:val="left"/>
            </w:pPr>
            <w:r>
              <w:rPr>
                <w:b w:val="false"/>
                <w:bCs w:val="false"/>
                <w:color w:val="1a1a1a"/>
                <w:sz w:val="19"/>
                <w:szCs w:val="19"/>
              </w:rPr>
              <w:t xml:space="preserve">1 (email/SMS) → 4 (USSD)</w:t>
            </w:r>
          </w:p>
        </w:tc>
      </w:tr>
      <w:tr>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Verification &amp; Trust Engine</w:t>
            </w:r>
          </w:p>
        </w:tc>
        <w:tc>
          <w:tcPr>
            <w:tcW w:type="dxa" w:w="5200"/>
            <w:shd w:fill="FFFFFF" w:color="auto" w:val="clear"/>
            <w:tcMar>
              <w:top w:type="dxa" w:w="80"/>
              <w:left w:type="dxa" w:w="100"/>
              <w:bottom w:type="dxa" w:w="80"/>
              <w:right w:type="dxa" w:w="100"/>
            </w:tcMar>
          </w:tcPr>
          <w:p>
            <w:pPr>
              <w:jc w:val="left"/>
            </w:pPr>
            <w:r>
              <w:rPr>
                <w:b w:val="false"/>
                <w:bCs w:val="false"/>
                <w:color w:val="1a1a1a"/>
                <w:sz w:val="19"/>
                <w:szCs w:val="19"/>
              </w:rPr>
              <w:t xml:space="preserve">Org/opportunity verification workflow, scam/duplicate detection</w:t>
            </w:r>
          </w:p>
        </w:tc>
        <w:tc>
          <w:tcPr>
            <w:tcW w:type="dxa" w:w="1800"/>
            <w:shd w:fill="FFFFFF" w:color="auto" w:val="clear"/>
            <w:tcMar>
              <w:top w:type="dxa" w:w="80"/>
              <w:left w:type="dxa" w:w="100"/>
              <w:bottom w:type="dxa" w:w="80"/>
              <w:right w:type="dxa" w:w="100"/>
            </w:tcMar>
          </w:tcPr>
          <w:p>
            <w:pPr>
              <w:jc w:val="left"/>
            </w:pPr>
            <w:r>
              <w:rPr>
                <w:b w:val="false"/>
                <w:bCs w:val="false"/>
                <w:color w:val="1a1a1a"/>
                <w:sz w:val="19"/>
                <w:szCs w:val="19"/>
              </w:rPr>
              <w:t xml:space="preserve">1 (manual) → 3 (semi-automated)</w:t>
            </w:r>
          </w:p>
        </w:tc>
      </w:tr>
      <w:tr>
        <w:tc>
          <w:tcPr>
            <w:tcW w:type="dxa" w:w="2600"/>
            <w:shd w:fill="F5F8FC" w:color="auto" w:val="clear"/>
            <w:tcMar>
              <w:top w:type="dxa" w:w="80"/>
              <w:left w:type="dxa" w:w="100"/>
              <w:bottom w:type="dxa" w:w="80"/>
              <w:right w:type="dxa" w:w="100"/>
            </w:tcMar>
          </w:tcPr>
          <w:p>
            <w:pPr>
              <w:jc w:val="left"/>
            </w:pPr>
            <w:r>
              <w:rPr>
                <w:b w:val="false"/>
                <w:bCs w:val="false"/>
                <w:color w:val="1a1a1a"/>
                <w:sz w:val="19"/>
                <w:szCs w:val="19"/>
              </w:rPr>
              <w:t xml:space="preserve">Data Layer</w:t>
            </w:r>
          </w:p>
        </w:tc>
        <w:tc>
          <w:tcPr>
            <w:tcW w:type="dxa" w:w="5200"/>
            <w:shd w:fill="F5F8FC" w:color="auto" w:val="clear"/>
            <w:tcMar>
              <w:top w:type="dxa" w:w="80"/>
              <w:left w:type="dxa" w:w="100"/>
              <w:bottom w:type="dxa" w:w="80"/>
              <w:right w:type="dxa" w:w="100"/>
            </w:tcMar>
          </w:tcPr>
          <w:p>
            <w:pPr>
              <w:jc w:val="left"/>
            </w:pPr>
            <w:r>
              <w:rPr>
                <w:b w:val="false"/>
                <w:bCs w:val="false"/>
                <w:color w:val="1a1a1a"/>
                <w:sz w:val="19"/>
                <w:szCs w:val="19"/>
              </w:rPr>
              <w:t xml:space="preserve">System of record for all entities, see §2</w:t>
            </w:r>
          </w:p>
        </w:tc>
        <w:tc>
          <w:tcPr>
            <w:tcW w:type="dxa" w:w="1800"/>
            <w:shd w:fill="F5F8FC" w:color="auto" w:val="clear"/>
            <w:tcMar>
              <w:top w:type="dxa" w:w="80"/>
              <w:left w:type="dxa" w:w="100"/>
              <w:bottom w:type="dxa" w:w="80"/>
              <w:right w:type="dxa" w:w="100"/>
            </w:tcMar>
          </w:tcPr>
          <w:p>
            <w:pPr>
              <w:jc w:val="left"/>
            </w:pPr>
            <w:r>
              <w:rPr>
                <w:b w:val="false"/>
                <w:bCs w:val="false"/>
                <w:color w:val="1a1a1a"/>
                <w:sz w:val="19"/>
                <w:szCs w:val="19"/>
              </w:rPr>
              <w:t xml:space="preserve">1</w:t>
            </w:r>
          </w:p>
        </w:tc>
      </w:tr>
      <w:tr>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Ingestion</w:t>
            </w:r>
          </w:p>
        </w:tc>
        <w:tc>
          <w:tcPr>
            <w:tcW w:type="dxa" w:w="5200"/>
            <w:shd w:fill="FFFFFF" w:color="auto" w:val="clear"/>
            <w:tcMar>
              <w:top w:type="dxa" w:w="80"/>
              <w:left w:type="dxa" w:w="100"/>
              <w:bottom w:type="dxa" w:w="80"/>
              <w:right w:type="dxa" w:w="100"/>
            </w:tcMar>
          </w:tcPr>
          <w:p>
            <w:pPr>
              <w:jc w:val="left"/>
            </w:pPr>
            <w:r>
              <w:rPr>
                <w:b w:val="false"/>
                <w:bCs w:val="false"/>
                <w:color w:val="1a1a1a"/>
                <w:sz w:val="19"/>
                <w:szCs w:val="19"/>
              </w:rPr>
              <w:t xml:space="preserve">How opportunities enter the system: manual, org-submitted, or scraped</w:t>
            </w:r>
          </w:p>
        </w:tc>
        <w:tc>
          <w:tcPr>
            <w:tcW w:type="dxa" w:w="1800"/>
            <w:shd w:fill="FFFFFF" w:color="auto" w:val="clear"/>
            <w:tcMar>
              <w:top w:type="dxa" w:w="80"/>
              <w:left w:type="dxa" w:w="100"/>
              <w:bottom w:type="dxa" w:w="80"/>
              <w:right w:type="dxa" w:w="100"/>
            </w:tcMar>
          </w:tcPr>
          <w:p>
            <w:pPr>
              <w:jc w:val="left"/>
            </w:pPr>
            <w:r>
              <w:rPr>
                <w:b w:val="false"/>
                <w:bCs w:val="false"/>
                <w:color w:val="1a1a1a"/>
                <w:sz w:val="19"/>
                <w:szCs w:val="19"/>
              </w:rPr>
              <w:t xml:space="preserve">1 (manual/org) → 3 (scraping)</w:t>
            </w:r>
          </w:p>
        </w:tc>
      </w:tr>
      <w:tr>
        <w:tc>
          <w:tcPr>
            <w:tcW w:type="dxa" w:w="2600"/>
            <w:shd w:fill="F5F8FC" w:color="auto" w:val="clear"/>
            <w:tcMar>
              <w:top w:type="dxa" w:w="80"/>
              <w:left w:type="dxa" w:w="100"/>
              <w:bottom w:type="dxa" w:w="80"/>
              <w:right w:type="dxa" w:w="100"/>
            </w:tcMar>
          </w:tcPr>
          <w:p>
            <w:pPr>
              <w:jc w:val="left"/>
            </w:pPr>
            <w:r>
              <w:rPr>
                <w:b w:val="false"/>
                <w:bCs w:val="false"/>
                <w:color w:val="1a1a1a"/>
                <w:sz w:val="19"/>
                <w:szCs w:val="19"/>
              </w:rPr>
              <w:t xml:space="preserve">KPI / Instrumentation Log</w:t>
            </w:r>
          </w:p>
        </w:tc>
        <w:tc>
          <w:tcPr>
            <w:tcW w:type="dxa" w:w="5200"/>
            <w:shd w:fill="F5F8FC" w:color="auto" w:val="clear"/>
            <w:tcMar>
              <w:top w:type="dxa" w:w="80"/>
              <w:left w:type="dxa" w:w="100"/>
              <w:bottom w:type="dxa" w:w="80"/>
              <w:right w:type="dxa" w:w="100"/>
            </w:tcMar>
          </w:tcPr>
          <w:p>
            <w:pPr>
              <w:jc w:val="left"/>
            </w:pPr>
            <w:r>
              <w:rPr>
                <w:b w:val="false"/>
                <w:bCs w:val="false"/>
                <w:color w:val="1a1a1a"/>
                <w:sz w:val="19"/>
                <w:szCs w:val="19"/>
              </w:rPr>
              <w:t xml:space="preserve">Event capture feeding §13 dashboard</w:t>
            </w:r>
          </w:p>
        </w:tc>
        <w:tc>
          <w:tcPr>
            <w:tcW w:type="dxa" w:w="1800"/>
            <w:shd w:fill="F5F8FC" w:color="auto" w:val="clear"/>
            <w:tcMar>
              <w:top w:type="dxa" w:w="80"/>
              <w:left w:type="dxa" w:w="100"/>
              <w:bottom w:type="dxa" w:w="80"/>
              <w:right w:type="dxa" w:w="100"/>
            </w:tcMar>
          </w:tcPr>
          <w:p>
            <w:pPr>
              <w:jc w:val="left"/>
            </w:pPr>
            <w:r>
              <w:rPr>
                <w:b w:val="false"/>
                <w:bCs w:val="false"/>
                <w:color w:val="1a1a1a"/>
                <w:sz w:val="19"/>
                <w:szCs w:val="19"/>
              </w:rPr>
              <w:t xml:space="preserve">1</w:t>
            </w:r>
          </w:p>
        </w:tc>
      </w:tr>
    </w:tbl>
    <w:p>
      <w:pPr>
        <w:pStyle w:val="Heading2"/>
        <w:spacing w:after="150" w:before="300"/>
      </w:pPr>
      <w:r>
        <w:rPr>
          <w:b/>
          <w:bCs/>
          <w:color w:val="2f6fb2"/>
        </w:rPr>
        <w:t xml:space="preserve">1.3 Interface contracts (why nothing gets rebuilt)</w:t>
      </w:r>
    </w:p>
    <w:p>
      <w:pPr>
        <w:pStyle w:val="ListParagraph"/>
        <w:numPr>
          <w:ilvl w:val="0"/>
          <w:numId w:val="1"/>
        </w:numPr>
        <w:spacing w:after="80" w:line="280"/>
      </w:pPr>
      <w:r>
        <w:rPr>
          <w:b/>
          <w:bCs/>
        </w:rPr>
        <w:t xml:space="preserve">MatchEngine: </w:t>
      </w:r>
      <w:r>
        <w:t xml:space="preserve">input = UserProfile + Opportunity, output = { score: 0-100, matched_factors: [], missing_factors: [], generated_by: 'rules' | 'ai' }. The rule-based Phase 1 implementation and the AI Phase 3 implementation both satisfy this exact contract, so the API layer, UI, and explainability rendering never change when the engine swaps.</w:t>
      </w:r>
    </w:p>
    <w:p>
      <w:pPr>
        <w:pStyle w:val="ListParagraph"/>
        <w:numPr>
          <w:ilvl w:val="0"/>
          <w:numId w:val="1"/>
        </w:numPr>
        <w:spacing w:after="80" w:line="280"/>
      </w:pPr>
      <w:r>
        <w:rPr>
          <w:b/>
          <w:bCs/>
        </w:rPr>
        <w:t xml:space="preserve">NotificationChannel: </w:t>
      </w:r>
      <w:r>
        <w:t xml:space="preserve">input = { user_id, message_payload, priority }, output = delivery status. Email/SMS (Phase 1) and USSD/WhatsApp (Phase 4) are separate implementations of the same contract, selected per-user by their registered channel preference.</w:t>
      </w:r>
    </w:p>
    <w:p>
      <w:pPr>
        <w:pStyle w:val="Heading2"/>
        <w:spacing w:after="150" w:before="300"/>
      </w:pPr>
      <w:r>
        <w:rPr>
          <w:b/>
          <w:bCs/>
          <w:color w:val="2f6fb2"/>
        </w:rPr>
        <w:t xml:space="preserve">1.4 Explicit non-goals for Phase 1 architecture</w:t>
      </w:r>
    </w:p>
    <w:p>
      <w:pPr>
        <w:pStyle w:val="ListParagraph"/>
        <w:numPr>
          <w:ilvl w:val="0"/>
          <w:numId w:val="1"/>
        </w:numPr>
        <w:spacing w:after="80" w:line="280"/>
      </w:pPr>
      <w:r>
        <w:t xml:space="preserve">No microservices split — a modular monolith is sufficient at this scale and reduces operational surface area for a small team.</w:t>
      </w:r>
    </w:p>
    <w:p>
      <w:pPr>
        <w:pStyle w:val="ListParagraph"/>
        <w:numPr>
          <w:ilvl w:val="0"/>
          <w:numId w:val="1"/>
        </w:numPr>
        <w:spacing w:after="80" w:line="280"/>
      </w:pPr>
      <w:r>
        <w:t xml:space="preserve">No real-time streaming infrastructure — batch/cron-based matching and notification runs are adequate until volume proves otherwise.</w:t>
      </w:r>
    </w:p>
    <w:p>
      <w:pPr>
        <w:pStyle w:val="ListParagraph"/>
        <w:numPr>
          <w:ilvl w:val="0"/>
          <w:numId w:val="1"/>
        </w:numPr>
        <w:spacing w:after="80" w:line="280"/>
      </w:pPr>
      <w:r>
        <w:t xml:space="preserve">No multi-region deployment — single-region (Africa-proximate) deployment with backups; revisit only if latency data demands it.</w:t>
      </w:r>
    </w:p>
    <w:p>
      <w:pPr>
        <w:pBdr>
          <w:bottom w:val="single" w:color="cccccc" w:sz="6" w:space="1"/>
        </w:pBdr>
        <w:spacing w:after="300"/>
      </w:pPr>
    </w:p>
    <w:p>
      <w:pPr>
        <w:pStyle w:val="Heading1"/>
        <w:spacing w:after="200" w:before="400"/>
      </w:pPr>
      <w:r>
        <w:rPr>
          <w:b/>
          <w:bCs/>
          <w:color w:val="1f3a5f"/>
        </w:rPr>
        <w:t xml:space="preserve">2. Data Model / Schema Specification</w:t>
      </w:r>
    </w:p>
    <w:p>
      <w:pPr>
        <w:spacing w:after="200"/>
      </w:pPr>
      <w:r>
        <w:rPr>
          <w:b/>
          <w:bCs/>
          <w:color w:val="5a5a5a"/>
          <w:sz w:val="20"/>
          <w:szCs w:val="20"/>
        </w:rPr>
        <w:t xml:space="preserve">DOCUMENT: </w:t>
      </w:r>
      <w:r>
        <w:rPr>
          <w:b/>
          <w:bCs/>
          <w:color w:val="2f6fb2"/>
          <w:sz w:val="20"/>
          <w:szCs w:val="20"/>
        </w:rPr>
        <w:t xml:space="preserve">Data Model / Schema Specification</w:t>
      </w:r>
    </w:p>
    <w:p>
      <w:pPr>
        <w:spacing w:after="160" w:line="300"/>
      </w:pPr>
      <w:r>
        <w:t xml:space="preserve">Purpose: define every entity referenced across the product framework in one schema, present from Phase 1, so opportunity records, matches, and profiles never need a breaking migration as later features (AI scoring, scraping, USSD) are added.</w:t>
      </w:r>
    </w:p>
    <w:p>
      <w:pPr>
        <w:spacing w:after="80" w:before="20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76675"/>
                    </a:xfrm>
                    <a:prstGeom prst="rect">
                      <a:avLst/>
                    </a:prstGeom>
                  </pic:spPr>
                </pic:pic>
              </a:graphicData>
            </a:graphic>
          </wp:inline>
        </w:drawing>
      </w:r>
    </w:p>
    <w:p>
      <w:pPr>
        <w:spacing w:after="300" w:before="100"/>
        <w:jc w:val="center"/>
      </w:pPr>
      <w:r>
        <w:rPr>
          <w:i/>
          <w:iCs/>
          <w:color w:val="5a5a5a"/>
          <w:sz w:val="18"/>
          <w:szCs w:val="18"/>
        </w:rPr>
        <w:t xml:space="preserve">Figure 2.1 — Core entity relationships. FK = foreign key.</w:t>
      </w:r>
    </w:p>
    <w:p>
      <w:pPr>
        <w:pStyle w:val="Heading2"/>
        <w:spacing w:after="150" w:before="300"/>
      </w:pPr>
      <w:r>
        <w:rPr>
          <w:b/>
          <w:bCs/>
          <w:color w:val="2f6fb2"/>
        </w:rPr>
        <w:t xml:space="preserve">2.1 Entity field reference</w:t>
      </w:r>
    </w:p>
    <w:p>
      <w:pPr>
        <w:pStyle w:val="Heading3"/>
        <w:spacing w:after="100" w:before="200"/>
      </w:pPr>
      <w:r>
        <w:rPr>
          <w:b/>
          <w:bCs/>
          <w:color w:val="333333"/>
        </w:rPr>
        <w:t xml:space="preserve">UserProfile (§8 of source doc)</w:t>
      </w:r>
    </w:p>
    <w:p>
      <w:pPr>
        <w:pStyle w:val="ListParagraph"/>
        <w:numPr>
          <w:ilvl w:val="0"/>
          <w:numId w:val="1"/>
        </w:numPr>
        <w:spacing w:after="80" w:line="280"/>
      </w:pPr>
      <w:r>
        <w:t xml:space="preserve">Identity &amp; contact: id, name, phone, email, preferred_channel (web | ussd)</w:t>
      </w:r>
    </w:p>
    <w:p>
      <w:pPr>
        <w:pStyle w:val="ListParagraph"/>
        <w:numPr>
          <w:ilvl w:val="0"/>
          <w:numId w:val="1"/>
        </w:numPr>
        <w:spacing w:after="80" w:line="280"/>
      </w:pPr>
      <w:r>
        <w:t xml:space="preserve">Education: level, institution, field_of_study, graduation_status</w:t>
      </w:r>
    </w:p>
    <w:p>
      <w:pPr>
        <w:pStyle w:val="ListParagraph"/>
        <w:numPr>
          <w:ilvl w:val="0"/>
          <w:numId w:val="1"/>
        </w:numPr>
        <w:spacing w:after="80" w:line="280"/>
      </w:pPr>
      <w:r>
        <w:t xml:space="preserve">Skills &amp; experience: skills[], work_experience[], internship_experience[], certifications[]</w:t>
      </w:r>
    </w:p>
    <w:p>
      <w:pPr>
        <w:pStyle w:val="ListParagraph"/>
        <w:numPr>
          <w:ilvl w:val="0"/>
          <w:numId w:val="1"/>
        </w:numPr>
        <w:spacing w:after="80" w:line="280"/>
      </w:pPr>
      <w:r>
        <w:t xml:space="preserve">Preferences: location, preferred_locations[], career_interests[], opportunity_categories[], work_mode_pref (remote|onsite|hybrid), languages[]</w:t>
      </w:r>
    </w:p>
    <w:p>
      <w:pPr>
        <w:pStyle w:val="ListParagraph"/>
        <w:numPr>
          <w:ilvl w:val="0"/>
          <w:numId w:val="1"/>
        </w:numPr>
        <w:spacing w:after="80" w:line="280"/>
      </w:pPr>
      <w:r>
        <w:t xml:space="preserve">System fields: profile_completeness_score, created_at, updated_at</w:t>
      </w:r>
    </w:p>
    <w:p>
      <w:pPr>
        <w:pStyle w:val="Heading3"/>
        <w:spacing w:after="100" w:before="200"/>
      </w:pPr>
      <w:r>
        <w:rPr>
          <w:b/>
          <w:bCs/>
          <w:color w:val="333333"/>
        </w:rPr>
        <w:t xml:space="preserve">Opportunity (§10)</w:t>
      </w:r>
    </w:p>
    <w:p>
      <w:pPr>
        <w:pStyle w:val="ListParagraph"/>
        <w:numPr>
          <w:ilvl w:val="0"/>
          <w:numId w:val="1"/>
        </w:numPr>
        <w:spacing w:after="80" w:line="280"/>
      </w:pPr>
      <w:r>
        <w:t xml:space="preserve">Core: id, title, organization_id (FK), category, description</w:t>
      </w:r>
    </w:p>
    <w:p>
      <w:pPr>
        <w:pStyle w:val="ListParagraph"/>
        <w:numPr>
          <w:ilvl w:val="0"/>
          <w:numId w:val="1"/>
        </w:numPr>
        <w:spacing w:after="80" w:line="280"/>
      </w:pPr>
      <w:r>
        <w:t xml:space="preserve">Eligibility: eligibility{} (structured, not free text — see §4), required_skills[], preferred_skills[]</w:t>
      </w:r>
    </w:p>
    <w:p>
      <w:pPr>
        <w:pStyle w:val="ListParagraph"/>
        <w:numPr>
          <w:ilvl w:val="0"/>
          <w:numId w:val="1"/>
        </w:numPr>
        <w:spacing w:after="80" w:line="280"/>
      </w:pPr>
      <w:r>
        <w:t xml:space="preserve">Logistics: location, work_mode, deadline, application_method, source_url</w:t>
      </w:r>
    </w:p>
    <w:p>
      <w:pPr>
        <w:pStyle w:val="ListParagraph"/>
        <w:numPr>
          <w:ilvl w:val="0"/>
          <w:numId w:val="1"/>
        </w:numPr>
        <w:spacing w:after="80" w:line="280"/>
      </w:pPr>
      <w:r>
        <w:t xml:space="preserve">Trust fields: verification_status (unverified|pending|verified|flagged), source (org_submitted|scraped|partner_feed), publication_date</w:t>
      </w:r>
    </w:p>
    <w:p>
      <w:pPr>
        <w:pStyle w:val="ListParagraph"/>
        <w:numPr>
          <w:ilvl w:val="0"/>
          <w:numId w:val="1"/>
        </w:numPr>
        <w:spacing w:after="80" w:line="280"/>
      </w:pPr>
      <w:r>
        <w:t xml:space="preserve">Lifecycle: status (open|closing_soon|closed|stale|removed)</w:t>
      </w:r>
    </w:p>
    <w:p>
      <w:pPr>
        <w:pStyle w:val="Heading3"/>
        <w:spacing w:after="100" w:before="200"/>
      </w:pPr>
      <w:r>
        <w:rPr>
          <w:b/>
          <w:bCs/>
          <w:color w:val="333333"/>
        </w:rPr>
        <w:t xml:space="preserve">Organization (§14)</w:t>
      </w:r>
    </w:p>
    <w:p>
      <w:pPr>
        <w:pStyle w:val="ListParagraph"/>
        <w:numPr>
          <w:ilvl w:val="0"/>
          <w:numId w:val="1"/>
        </w:numPr>
        <w:spacing w:after="80" w:line="280"/>
      </w:pPr>
      <w:r>
        <w:t xml:space="preserve">id, name, sector, official_links[], verification_status, dashboard_users[], posting_history[]</w:t>
      </w:r>
    </w:p>
    <w:p>
      <w:pPr>
        <w:pStyle w:val="Heading3"/>
        <w:spacing w:after="100" w:before="200"/>
      </w:pPr>
      <w:r>
        <w:rPr>
          <w:b/>
          <w:bCs/>
          <w:color w:val="333333"/>
        </w:rPr>
        <w:t xml:space="preserve">MatchResult</w:t>
      </w:r>
    </w:p>
    <w:p>
      <w:pPr>
        <w:pStyle w:val="ListParagraph"/>
        <w:numPr>
          <w:ilvl w:val="0"/>
          <w:numId w:val="1"/>
        </w:numPr>
        <w:spacing w:after="80" w:line="280"/>
      </w:pPr>
      <w:r>
        <w:t xml:space="preserve">id, user_id (FK), opportunity_id (FK), score, matched_factors[], missing_factors[], generated_by (rules|ai), created_at</w:t>
      </w:r>
    </w:p>
    <w:p>
      <w:pPr>
        <w:pStyle w:val="Heading3"/>
        <w:spacing w:after="100" w:before="200"/>
      </w:pPr>
      <w:r>
        <w:rPr>
          <w:b/>
          <w:bCs/>
          <w:color w:val="333333"/>
        </w:rPr>
        <w:t xml:space="preserve">Notification</w:t>
      </w:r>
    </w:p>
    <w:p>
      <w:pPr>
        <w:pStyle w:val="ListParagraph"/>
        <w:numPr>
          <w:ilvl w:val="0"/>
          <w:numId w:val="1"/>
        </w:numPr>
        <w:spacing w:after="80" w:line="280"/>
      </w:pPr>
      <w:r>
        <w:t xml:space="preserve">id, user_id (FK), match_id (FK, nullable), channel, status (sent|delivered|failed), sent_at</w:t>
      </w:r>
    </w:p>
    <w:p>
      <w:pPr>
        <w:pStyle w:val="Heading3"/>
        <w:spacing w:after="100" w:before="200"/>
      </w:pPr>
      <w:r>
        <w:rPr>
          <w:b/>
          <w:bCs/>
          <w:color w:val="333333"/>
        </w:rPr>
        <w:t xml:space="preserve">SavedOpportunity / Tracker (§16)</w:t>
      </w:r>
    </w:p>
    <w:p>
      <w:pPr>
        <w:pStyle w:val="ListParagraph"/>
        <w:numPr>
          <w:ilvl w:val="0"/>
          <w:numId w:val="1"/>
        </w:numPr>
        <w:spacing w:after="80" w:line="280"/>
      </w:pPr>
      <w:r>
        <w:t xml:space="preserve">user_id (FK), opportunity_id (FK), status (saved|applied|expired), reminder_sent</w:t>
      </w:r>
    </w:p>
    <w:p>
      <w:pPr>
        <w:pStyle w:val="Heading3"/>
        <w:spacing w:after="100" w:before="200"/>
      </w:pPr>
      <w:r>
        <w:rPr>
          <w:b/>
          <w:bCs/>
          <w:color w:val="333333"/>
        </w:rPr>
        <w:t xml:space="preserve">EventLog (feeds §13 KPIs)</w:t>
      </w:r>
    </w:p>
    <w:p>
      <w:pPr>
        <w:pStyle w:val="ListParagraph"/>
        <w:numPr>
          <w:ilvl w:val="0"/>
          <w:numId w:val="1"/>
        </w:numPr>
        <w:spacing w:after="80" w:line="280"/>
      </w:pPr>
      <w:r>
        <w:t xml:space="preserve">event_type (view|save|click|apply_intent|report), user_id, opportunity_id, timestamp</w:t>
      </w:r>
    </w:p>
    <w:p>
      <w:pPr>
        <w:pStyle w:val="Heading2"/>
        <w:spacing w:after="150" w:before="300"/>
      </w:pPr>
      <w:r>
        <w:rPr>
          <w:b/>
          <w:bCs/>
          <w:color w:val="2f6fb2"/>
        </w:rPr>
        <w:t xml:space="preserve">2.2 Migration discipline</w:t>
      </w:r>
    </w:p>
    <w:p>
      <w:pPr>
        <w:spacing w:after="160" w:line="300"/>
      </w:pPr>
      <w:r>
        <w:t xml:space="preserve">All fields listed above exist in the schema from Phase 1, even where the populating mechanism (e.g. AI-generated matched_factors, scraped source) doesn't exist yet. This means Phase 3's AI engine and Phase 4's USSD channel write into existing tables rather than requiring new ones — the schema is designed for its Phase-5 end state on day one.</w:t>
      </w:r>
    </w:p>
    <w:p>
      <w:pPr>
        <w:pBdr>
          <w:bottom w:val="single" w:color="cccccc" w:sz="6" w:space="1"/>
        </w:pBdr>
        <w:spacing w:after="300"/>
      </w:pPr>
    </w:p>
    <w:p>
      <w:pPr>
        <w:pStyle w:val="Heading1"/>
        <w:spacing w:after="200" w:before="400"/>
      </w:pPr>
      <w:r>
        <w:rPr>
          <w:b/>
          <w:bCs/>
          <w:color w:val="1f3a5f"/>
        </w:rPr>
        <w:t xml:space="preserve">3. API Contract Specification</w:t>
      </w:r>
    </w:p>
    <w:p>
      <w:pPr>
        <w:spacing w:after="200"/>
      </w:pPr>
      <w:r>
        <w:rPr>
          <w:b/>
          <w:bCs/>
          <w:color w:val="5a5a5a"/>
          <w:sz w:val="20"/>
          <w:szCs w:val="20"/>
        </w:rPr>
        <w:t xml:space="preserve">DOCUMENT: </w:t>
      </w:r>
      <w:r>
        <w:rPr>
          <w:b/>
          <w:bCs/>
          <w:color w:val="2f6fb2"/>
          <w:sz w:val="20"/>
          <w:szCs w:val="20"/>
        </w:rPr>
        <w:t xml:space="preserve">API Contract Specification</w:t>
      </w:r>
    </w:p>
    <w:p>
      <w:pPr>
        <w:spacing w:after="160" w:line="300"/>
      </w:pPr>
      <w:r>
        <w:t xml:space="preserve">Purpose: one versioned contract consumed identically by the web client, USSD gateway, and org dashboard, so no client-specific backend logic accumulates.</w:t>
      </w:r>
    </w:p>
    <w:p>
      <w:pPr>
        <w:pStyle w:val="Heading2"/>
        <w:spacing w:after="150" w:before="300"/>
      </w:pPr>
      <w:r>
        <w:rPr>
          <w:b/>
          <w:bCs/>
          <w:color w:val="2f6fb2"/>
        </w:rPr>
        <w:t xml:space="preserve">3.1 Versioning</w:t>
      </w:r>
    </w:p>
    <w:p>
      <w:pPr>
        <w:pStyle w:val="ListParagraph"/>
        <w:numPr>
          <w:ilvl w:val="0"/>
          <w:numId w:val="1"/>
        </w:numPr>
        <w:spacing w:after="80" w:line="280"/>
      </w:pPr>
      <w:r>
        <w:t xml:space="preserve">URI-versioned (/v1/...); breaking changes require a new version, never an in-place contract change.</w:t>
      </w:r>
    </w:p>
    <w:p>
      <w:pPr>
        <w:pStyle w:val="ListParagraph"/>
        <w:numPr>
          <w:ilvl w:val="0"/>
          <w:numId w:val="1"/>
        </w:numPr>
        <w:spacing w:after="80" w:line="280"/>
      </w:pPr>
      <w:r>
        <w:t xml:space="preserve">USSD gateway (Phase 4) consumes the same /v1 endpoints as web — it is a thin client, not a parallel backend.</w:t>
      </w:r>
    </w:p>
    <w:p>
      <w:pPr>
        <w:pStyle w:val="Heading2"/>
        <w:spacing w:after="150" w:before="300"/>
      </w:pPr>
      <w:r>
        <w:rPr>
          <w:b/>
          <w:bCs/>
          <w:color w:val="2f6fb2"/>
        </w:rPr>
        <w:t xml:space="preserve">3.2 Core endpoint groups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400"/>
      </w:tblGrid>
      <w:tr>
        <w:trPr>
          <w:tblHeader/>
        </w:trPr>
        <w:tc>
          <w:tcPr>
            <w:tcW w:type="dxa" w:w="2200"/>
            <w:shd w:fill="1f3a5f" w:color="auto" w:val="clear"/>
            <w:tcMar>
              <w:top w:type="dxa" w:w="80"/>
              <w:left w:type="dxa" w:w="100"/>
              <w:bottom w:type="dxa" w:w="80"/>
              <w:right w:type="dxa" w:w="100"/>
            </w:tcMar>
          </w:tcPr>
          <w:p>
            <w:pPr>
              <w:jc w:val="left"/>
            </w:pPr>
            <w:r>
              <w:rPr>
                <w:b/>
                <w:bCs/>
                <w:color w:val="FFFFFF"/>
                <w:sz w:val="19"/>
                <w:szCs w:val="19"/>
              </w:rPr>
              <w:t xml:space="preserve">Group</w:t>
            </w:r>
          </w:p>
        </w:tc>
        <w:tc>
          <w:tcPr>
            <w:tcW w:type="dxa" w:w="5000"/>
            <w:shd w:fill="1f3a5f" w:color="auto" w:val="clear"/>
            <w:tcMar>
              <w:top w:type="dxa" w:w="80"/>
              <w:left w:type="dxa" w:w="100"/>
              <w:bottom w:type="dxa" w:w="80"/>
              <w:right w:type="dxa" w:w="100"/>
            </w:tcMar>
          </w:tcPr>
          <w:p>
            <w:pPr>
              <w:jc w:val="left"/>
            </w:pPr>
            <w:r>
              <w:rPr>
                <w:b/>
                <w:bCs/>
                <w:color w:val="FFFFFF"/>
                <w:sz w:val="19"/>
                <w:szCs w:val="19"/>
              </w:rPr>
              <w:t xml:space="preserve">Examples</w:t>
            </w:r>
          </w:p>
        </w:tc>
        <w:tc>
          <w:tcPr>
            <w:tcW w:type="dxa" w:w="2400"/>
            <w:shd w:fill="1f3a5f" w:color="auto" w:val="clear"/>
            <w:tcMar>
              <w:top w:type="dxa" w:w="80"/>
              <w:left w:type="dxa" w:w="100"/>
              <w:bottom w:type="dxa" w:w="80"/>
              <w:right w:type="dxa" w:w="100"/>
            </w:tcMar>
          </w:tcPr>
          <w:p>
            <w:pPr>
              <w:jc w:val="left"/>
            </w:pPr>
            <w:r>
              <w:rPr>
                <w:b/>
                <w:bCs/>
                <w:color w:val="FFFFFF"/>
                <w:sz w:val="19"/>
                <w:szCs w:val="19"/>
              </w:rPr>
              <w:t xml:space="preserve">Notes</w:t>
            </w:r>
          </w:p>
        </w:tc>
      </w:tr>
      <w:tr>
        <w:tc>
          <w:tcPr>
            <w:tcW w:type="dxa" w:w="2200"/>
            <w:shd w:fill="FFFFFF" w:color="auto" w:val="clear"/>
            <w:tcMar>
              <w:top w:type="dxa" w:w="80"/>
              <w:left w:type="dxa" w:w="100"/>
              <w:bottom w:type="dxa" w:w="80"/>
              <w:right w:type="dxa" w:w="100"/>
            </w:tcMar>
          </w:tcPr>
          <w:p>
            <w:pPr>
              <w:jc w:val="left"/>
            </w:pPr>
            <w:r>
              <w:rPr>
                <w:b w:val="false"/>
                <w:bCs w:val="false"/>
                <w:color w:val="1a1a1a"/>
                <w:sz w:val="19"/>
                <w:szCs w:val="19"/>
              </w:rPr>
              <w:t xml:space="preserve">Profile</w:t>
            </w:r>
          </w:p>
        </w:tc>
        <w:tc>
          <w:tcPr>
            <w:tcW w:type="dxa" w:w="5000"/>
            <w:shd w:fill="FFFFFF" w:color="auto" w:val="clear"/>
            <w:tcMar>
              <w:top w:type="dxa" w:w="80"/>
              <w:left w:type="dxa" w:w="100"/>
              <w:bottom w:type="dxa" w:w="80"/>
              <w:right w:type="dxa" w:w="100"/>
            </w:tcMar>
          </w:tcPr>
          <w:p>
            <w:pPr>
              <w:jc w:val="left"/>
            </w:pPr>
            <w:r>
              <w:rPr>
                <w:b w:val="false"/>
                <w:bCs w:val="false"/>
                <w:color w:val="1a1a1a"/>
                <w:sz w:val="19"/>
                <w:szCs w:val="19"/>
              </w:rPr>
              <w:t xml:space="preserve">POST /profile, PATCH /profile, GET /profile/completeness</w:t>
            </w:r>
          </w:p>
        </w:tc>
        <w:tc>
          <w:tcPr>
            <w:tcW w:type="dxa" w:w="2400"/>
            <w:shd w:fill="FFFFFF" w:color="auto" w:val="clear"/>
            <w:tcMar>
              <w:top w:type="dxa" w:w="80"/>
              <w:left w:type="dxa" w:w="100"/>
              <w:bottom w:type="dxa" w:w="80"/>
              <w:right w:type="dxa" w:w="100"/>
            </w:tcMar>
          </w:tcPr>
          <w:p>
            <w:pPr>
              <w:jc w:val="left"/>
            </w:pPr>
            <w:r>
              <w:rPr>
                <w:b w:val="false"/>
                <w:bCs w:val="false"/>
                <w:color w:val="1a1a1a"/>
                <w:sz w:val="19"/>
                <w:szCs w:val="19"/>
              </w:rPr>
              <w:t xml:space="preserve">Partial profile is valid — required for USSD</w:t>
            </w:r>
          </w:p>
        </w:tc>
      </w:tr>
      <w:tr>
        <w:tc>
          <w:tcPr>
            <w:tcW w:type="dxa" w:w="2200"/>
            <w:shd w:fill="F5F8FC" w:color="auto" w:val="clear"/>
            <w:tcMar>
              <w:top w:type="dxa" w:w="80"/>
              <w:left w:type="dxa" w:w="100"/>
              <w:bottom w:type="dxa" w:w="80"/>
              <w:right w:type="dxa" w:w="100"/>
            </w:tcMar>
          </w:tcPr>
          <w:p>
            <w:pPr>
              <w:jc w:val="left"/>
            </w:pPr>
            <w:r>
              <w:rPr>
                <w:b w:val="false"/>
                <w:bCs w:val="false"/>
                <w:color w:val="1a1a1a"/>
                <w:sz w:val="19"/>
                <w:szCs w:val="19"/>
              </w:rPr>
              <w:t xml:space="preserve">Opportunities</w:t>
            </w:r>
          </w:p>
        </w:tc>
        <w:tc>
          <w:tcPr>
            <w:tcW w:type="dxa" w:w="5000"/>
            <w:shd w:fill="F5F8FC" w:color="auto" w:val="clear"/>
            <w:tcMar>
              <w:top w:type="dxa" w:w="80"/>
              <w:left w:type="dxa" w:w="100"/>
              <w:bottom w:type="dxa" w:w="80"/>
              <w:right w:type="dxa" w:w="100"/>
            </w:tcMar>
          </w:tcPr>
          <w:p>
            <w:pPr>
              <w:jc w:val="left"/>
            </w:pPr>
            <w:r>
              <w:rPr>
                <w:b w:val="false"/>
                <w:bCs w:val="false"/>
                <w:color w:val="1a1a1a"/>
                <w:sz w:val="19"/>
                <w:szCs w:val="19"/>
              </w:rPr>
              <w:t xml:space="preserve">GET /opportunities (filter/search), GET /opportunities/:id</w:t>
            </w:r>
          </w:p>
        </w:tc>
        <w:tc>
          <w:tcPr>
            <w:tcW w:type="dxa" w:w="2400"/>
            <w:shd w:fill="F5F8FC" w:color="auto" w:val="clear"/>
            <w:tcMar>
              <w:top w:type="dxa" w:w="80"/>
              <w:left w:type="dxa" w:w="100"/>
              <w:bottom w:type="dxa" w:w="80"/>
              <w:right w:type="dxa" w:w="100"/>
            </w:tcMar>
          </w:tcPr>
          <w:p>
            <w:pPr>
              <w:jc w:val="left"/>
            </w:pPr>
            <w:r>
              <w:rPr>
                <w:b w:val="false"/>
                <w:bCs w:val="false"/>
                <w:color w:val="1a1a1a"/>
                <w:sz w:val="19"/>
                <w:szCs w:val="19"/>
              </w:rPr>
              <w:t xml:space="preserve">Never returns unverified listings by default</w:t>
            </w:r>
          </w:p>
        </w:tc>
      </w:tr>
      <w:tr>
        <w:tc>
          <w:tcPr>
            <w:tcW w:type="dxa" w:w="2200"/>
            <w:shd w:fill="FFFFFF" w:color="auto" w:val="clear"/>
            <w:tcMar>
              <w:top w:type="dxa" w:w="80"/>
              <w:left w:type="dxa" w:w="100"/>
              <w:bottom w:type="dxa" w:w="80"/>
              <w:right w:type="dxa" w:w="100"/>
            </w:tcMar>
          </w:tcPr>
          <w:p>
            <w:pPr>
              <w:jc w:val="left"/>
            </w:pPr>
            <w:r>
              <w:rPr>
                <w:b w:val="false"/>
                <w:bCs w:val="false"/>
                <w:color w:val="1a1a1a"/>
                <w:sz w:val="19"/>
                <w:szCs w:val="19"/>
              </w:rPr>
              <w:t xml:space="preserve">Matching</w:t>
            </w:r>
          </w:p>
        </w:tc>
        <w:tc>
          <w:tcPr>
            <w:tcW w:type="dxa" w:w="5000"/>
            <w:shd w:fill="FFFFFF" w:color="auto" w:val="clear"/>
            <w:tcMar>
              <w:top w:type="dxa" w:w="80"/>
              <w:left w:type="dxa" w:w="100"/>
              <w:bottom w:type="dxa" w:w="80"/>
              <w:right w:type="dxa" w:w="100"/>
            </w:tcMar>
          </w:tcPr>
          <w:p>
            <w:pPr>
              <w:jc w:val="left"/>
            </w:pPr>
            <w:r>
              <w:rPr>
                <w:b w:val="false"/>
                <w:bCs w:val="false"/>
                <w:color w:val="1a1a1a"/>
                <w:sz w:val="19"/>
                <w:szCs w:val="19"/>
              </w:rPr>
              <w:t xml:space="preserve">GET /matches (ranked feed), GET /matches/:id/explanation</w:t>
            </w:r>
          </w:p>
        </w:tc>
        <w:tc>
          <w:tcPr>
            <w:tcW w:type="dxa" w:w="2400"/>
            <w:shd w:fill="FFFFFF" w:color="auto" w:val="clear"/>
            <w:tcMar>
              <w:top w:type="dxa" w:w="80"/>
              <w:left w:type="dxa" w:w="100"/>
              <w:bottom w:type="dxa" w:w="80"/>
              <w:right w:type="dxa" w:w="100"/>
            </w:tcMar>
          </w:tcPr>
          <w:p>
            <w:pPr>
              <w:jc w:val="left"/>
            </w:pPr>
            <w:r>
              <w:rPr>
                <w:b w:val="false"/>
                <w:bCs w:val="false"/>
                <w:color w:val="1a1a1a"/>
                <w:sz w:val="19"/>
                <w:szCs w:val="19"/>
              </w:rPr>
              <w:t xml:space="preserve">Explanation always accompanies score — see §4</w:t>
            </w:r>
          </w:p>
        </w:tc>
      </w:tr>
      <w:tr>
        <w:tc>
          <w:tcPr>
            <w:tcW w:type="dxa" w:w="2200"/>
            <w:shd w:fill="F5F8FC" w:color="auto" w:val="clear"/>
            <w:tcMar>
              <w:top w:type="dxa" w:w="80"/>
              <w:left w:type="dxa" w:w="100"/>
              <w:bottom w:type="dxa" w:w="80"/>
              <w:right w:type="dxa" w:w="100"/>
            </w:tcMar>
          </w:tcPr>
          <w:p>
            <w:pPr>
              <w:jc w:val="left"/>
            </w:pPr>
            <w:r>
              <w:rPr>
                <w:b w:val="false"/>
                <w:bCs w:val="false"/>
                <w:color w:val="1a1a1a"/>
                <w:sz w:val="19"/>
                <w:szCs w:val="19"/>
              </w:rPr>
              <w:t xml:space="preserve">Tracking</w:t>
            </w:r>
          </w:p>
        </w:tc>
        <w:tc>
          <w:tcPr>
            <w:tcW w:type="dxa" w:w="5000"/>
            <w:shd w:fill="F5F8FC" w:color="auto" w:val="clear"/>
            <w:tcMar>
              <w:top w:type="dxa" w:w="80"/>
              <w:left w:type="dxa" w:w="100"/>
              <w:bottom w:type="dxa" w:w="80"/>
              <w:right w:type="dxa" w:w="100"/>
            </w:tcMar>
          </w:tcPr>
          <w:p>
            <w:pPr>
              <w:jc w:val="left"/>
            </w:pPr>
            <w:r>
              <w:rPr>
                <w:b w:val="false"/>
                <w:bCs w:val="false"/>
                <w:color w:val="1a1a1a"/>
                <w:sz w:val="19"/>
                <w:szCs w:val="19"/>
              </w:rPr>
              <w:t xml:space="preserve">POST /saved, PATCH /saved/:id/status</w:t>
            </w:r>
          </w:p>
        </w:tc>
        <w:tc>
          <w:tcPr>
            <w:tcW w:type="dxa" w:w="2400"/>
            <w:shd w:fill="F5F8FC" w:color="auto" w:val="clear"/>
            <w:tcMar>
              <w:top w:type="dxa" w:w="80"/>
              <w:left w:type="dxa" w:w="100"/>
              <w:bottom w:type="dxa" w:w="80"/>
              <w:right w:type="dxa" w:w="100"/>
            </w:tcMar>
          </w:tcPr>
          <w:p>
            <w:pPr>
              <w:jc w:val="left"/>
            </w:pPr>
            <w:r>
              <w:rPr>
                <w:b w:val="false"/>
                <w:bCs w:val="false"/>
                <w:color w:val="1a1a1a"/>
                <w:sz w:val="19"/>
                <w:szCs w:val="19"/>
              </w:rPr>
              <w:t xml:space="preserve">Powers §16 user journey</w:t>
            </w:r>
          </w:p>
        </w:tc>
      </w:tr>
      <w:tr>
        <w:tc>
          <w:tcPr>
            <w:tcW w:type="dxa" w:w="2200"/>
            <w:shd w:fill="FFFFFF" w:color="auto" w:val="clear"/>
            <w:tcMar>
              <w:top w:type="dxa" w:w="80"/>
              <w:left w:type="dxa" w:w="100"/>
              <w:bottom w:type="dxa" w:w="80"/>
              <w:right w:type="dxa" w:w="100"/>
            </w:tcMar>
          </w:tcPr>
          <w:p>
            <w:pPr>
              <w:jc w:val="left"/>
            </w:pPr>
            <w:r>
              <w:rPr>
                <w:b w:val="false"/>
                <w:bCs w:val="false"/>
                <w:color w:val="1a1a1a"/>
                <w:sz w:val="19"/>
                <w:szCs w:val="19"/>
              </w:rPr>
              <w:t xml:space="preserve">Notifications</w:t>
            </w:r>
          </w:p>
        </w:tc>
        <w:tc>
          <w:tcPr>
            <w:tcW w:type="dxa" w:w="5000"/>
            <w:shd w:fill="FFFFFF" w:color="auto" w:val="clear"/>
            <w:tcMar>
              <w:top w:type="dxa" w:w="80"/>
              <w:left w:type="dxa" w:w="100"/>
              <w:bottom w:type="dxa" w:w="80"/>
              <w:right w:type="dxa" w:w="100"/>
            </w:tcMar>
          </w:tcPr>
          <w:p>
            <w:pPr>
              <w:jc w:val="left"/>
            </w:pPr>
            <w:r>
              <w:rPr>
                <w:b w:val="false"/>
                <w:bCs w:val="false"/>
                <w:color w:val="1a1a1a"/>
                <w:sz w:val="19"/>
                <w:szCs w:val="19"/>
              </w:rPr>
              <w:t xml:space="preserve">GET /notifications/preferences, PATCH .../preferences</w:t>
            </w:r>
          </w:p>
        </w:tc>
        <w:tc>
          <w:tcPr>
            <w:tcW w:type="dxa" w:w="2400"/>
            <w:shd w:fill="FFFFFF" w:color="auto" w:val="clear"/>
            <w:tcMar>
              <w:top w:type="dxa" w:w="80"/>
              <w:left w:type="dxa" w:w="100"/>
              <w:bottom w:type="dxa" w:w="80"/>
              <w:right w:type="dxa" w:w="100"/>
            </w:tcMar>
          </w:tcPr>
          <w:p>
            <w:pPr>
              <w:jc w:val="left"/>
            </w:pPr>
            <w:r>
              <w:rPr>
                <w:b w:val="false"/>
                <w:bCs w:val="false"/>
                <w:color w:val="1a1a1a"/>
                <w:sz w:val="19"/>
                <w:szCs w:val="19"/>
              </w:rPr>
              <w:t xml:space="preserve">Channel opt-in/out per §5</w:t>
            </w:r>
          </w:p>
        </w:tc>
      </w:tr>
      <w:tr>
        <w:tc>
          <w:tcPr>
            <w:tcW w:type="dxa" w:w="2200"/>
            <w:shd w:fill="F5F8FC" w:color="auto" w:val="clear"/>
            <w:tcMar>
              <w:top w:type="dxa" w:w="80"/>
              <w:left w:type="dxa" w:w="100"/>
              <w:bottom w:type="dxa" w:w="80"/>
              <w:right w:type="dxa" w:w="100"/>
            </w:tcMar>
          </w:tcPr>
          <w:p>
            <w:pPr>
              <w:jc w:val="left"/>
            </w:pPr>
            <w:r>
              <w:rPr>
                <w:b w:val="false"/>
                <w:bCs w:val="false"/>
                <w:color w:val="1a1a1a"/>
                <w:sz w:val="19"/>
                <w:szCs w:val="19"/>
              </w:rPr>
              <w:t xml:space="preserve">Org / Provider</w:t>
            </w:r>
          </w:p>
        </w:tc>
        <w:tc>
          <w:tcPr>
            <w:tcW w:type="dxa" w:w="5000"/>
            <w:shd w:fill="F5F8FC" w:color="auto" w:val="clear"/>
            <w:tcMar>
              <w:top w:type="dxa" w:w="80"/>
              <w:left w:type="dxa" w:w="100"/>
              <w:bottom w:type="dxa" w:w="80"/>
              <w:right w:type="dxa" w:w="100"/>
            </w:tcMar>
          </w:tcPr>
          <w:p>
            <w:pPr>
              <w:jc w:val="left"/>
            </w:pPr>
            <w:r>
              <w:rPr>
                <w:b w:val="false"/>
                <w:bCs w:val="false"/>
                <w:color w:val="1a1a1a"/>
                <w:sz w:val="19"/>
                <w:szCs w:val="19"/>
              </w:rPr>
              <w:t xml:space="preserve">POST /organizations, POST /opportunities (org-scoped), GET /organizations/:id/analytics</w:t>
            </w:r>
          </w:p>
        </w:tc>
        <w:tc>
          <w:tcPr>
            <w:tcW w:type="dxa" w:w="2400"/>
            <w:shd w:fill="F5F8FC" w:color="auto" w:val="clear"/>
            <w:tcMar>
              <w:top w:type="dxa" w:w="80"/>
              <w:left w:type="dxa" w:w="100"/>
              <w:bottom w:type="dxa" w:w="80"/>
              <w:right w:type="dxa" w:w="100"/>
            </w:tcMar>
          </w:tcPr>
          <w:p>
            <w:pPr>
              <w:jc w:val="left"/>
            </w:pPr>
            <w:r>
              <w:rPr>
                <w:b w:val="false"/>
                <w:bCs w:val="false"/>
                <w:color w:val="1a1a1a"/>
                <w:sz w:val="19"/>
                <w:szCs w:val="19"/>
              </w:rPr>
              <w:t xml:space="preserve">Requires verified org auth scope</w:t>
            </w:r>
          </w:p>
        </w:tc>
      </w:tr>
      <w:tr>
        <w:tc>
          <w:tcPr>
            <w:tcW w:type="dxa" w:w="2200"/>
            <w:shd w:fill="FFFFFF" w:color="auto" w:val="clear"/>
            <w:tcMar>
              <w:top w:type="dxa" w:w="80"/>
              <w:left w:type="dxa" w:w="100"/>
              <w:bottom w:type="dxa" w:w="80"/>
              <w:right w:type="dxa" w:w="100"/>
            </w:tcMar>
          </w:tcPr>
          <w:p>
            <w:pPr>
              <w:jc w:val="left"/>
            </w:pPr>
            <w:r>
              <w:rPr>
                <w:b w:val="false"/>
                <w:bCs w:val="false"/>
                <w:color w:val="1a1a1a"/>
                <w:sz w:val="19"/>
                <w:szCs w:val="19"/>
              </w:rPr>
              <w:t xml:space="preserve">Reporting</w:t>
            </w:r>
          </w:p>
        </w:tc>
        <w:tc>
          <w:tcPr>
            <w:tcW w:type="dxa" w:w="5000"/>
            <w:shd w:fill="FFFFFF" w:color="auto" w:val="clear"/>
            <w:tcMar>
              <w:top w:type="dxa" w:w="80"/>
              <w:left w:type="dxa" w:w="100"/>
              <w:bottom w:type="dxa" w:w="80"/>
              <w:right w:type="dxa" w:w="100"/>
            </w:tcMar>
          </w:tcPr>
          <w:p>
            <w:pPr>
              <w:jc w:val="left"/>
            </w:pPr>
            <w:r>
              <w:rPr>
                <w:b w:val="false"/>
                <w:bCs w:val="false"/>
                <w:color w:val="1a1a1a"/>
                <w:sz w:val="19"/>
                <w:szCs w:val="19"/>
              </w:rPr>
              <w:t xml:space="preserve">POST /reports (suspicious listing)</w:t>
            </w:r>
          </w:p>
        </w:tc>
        <w:tc>
          <w:tcPr>
            <w:tcW w:type="dxa" w:w="2400"/>
            <w:shd w:fill="FFFFFF" w:color="auto" w:val="clear"/>
            <w:tcMar>
              <w:top w:type="dxa" w:w="80"/>
              <w:left w:type="dxa" w:w="100"/>
              <w:bottom w:type="dxa" w:w="80"/>
              <w:right w:type="dxa" w:w="100"/>
            </w:tcMar>
          </w:tcPr>
          <w:p>
            <w:pPr>
              <w:jc w:val="left"/>
            </w:pPr>
            <w:r>
              <w:rPr>
                <w:b w:val="false"/>
                <w:bCs w:val="false"/>
                <w:color w:val="1a1a1a"/>
                <w:sz w:val="19"/>
                <w:szCs w:val="19"/>
              </w:rPr>
              <w:t xml:space="preserve">Feeds §7 trust workflow</w:t>
            </w:r>
          </w:p>
        </w:tc>
      </w:tr>
    </w:tbl>
    <w:p>
      <w:pPr>
        <w:pStyle w:val="Heading2"/>
        <w:spacing w:after="150" w:before="300"/>
      </w:pPr>
      <w:r>
        <w:rPr>
          <w:b/>
          <w:bCs/>
          <w:color w:val="2f6fb2"/>
        </w:rPr>
        <w:t xml:space="preserve">3.3 Cross-cutting rules</w:t>
      </w:r>
    </w:p>
    <w:p>
      <w:pPr>
        <w:pStyle w:val="ListParagraph"/>
        <w:numPr>
          <w:ilvl w:val="0"/>
          <w:numId w:val="1"/>
        </w:numPr>
        <w:spacing w:after="80" w:line="280"/>
      </w:pPr>
      <w:r>
        <w:t xml:space="preserve">Auth: JWT-based sessions for web/dashboard; USSD sessions authenticate via phone number + PIN, short-lived tokens scoped to session length.</w:t>
      </w:r>
    </w:p>
    <w:p>
      <w:pPr>
        <w:pStyle w:val="ListParagraph"/>
        <w:numPr>
          <w:ilvl w:val="0"/>
          <w:numId w:val="1"/>
        </w:numPr>
        <w:spacing w:after="80" w:line="280"/>
      </w:pPr>
      <w:r>
        <w:t xml:space="preserve">Rate limiting per client type, tuned separately — org dashboards and scraping-adjacent internal jobs need different limits than end-user traffic.</w:t>
      </w:r>
    </w:p>
    <w:p>
      <w:pPr>
        <w:pStyle w:val="ListParagraph"/>
        <w:numPr>
          <w:ilvl w:val="0"/>
          <w:numId w:val="1"/>
        </w:numPr>
        <w:spacing w:after="80" w:line="280"/>
      </w:pPr>
      <w:r>
        <w:t xml:space="preserve">Every response includes a data freshness timestamp on opportunity records, so clients can flag stale data rather than silently trusting it.</w:t>
      </w:r>
    </w:p>
    <w:p>
      <w:pPr>
        <w:pBdr>
          <w:bottom w:val="single" w:color="cccccc" w:sz="6" w:space="1"/>
        </w:pBdr>
        <w:spacing w:after="300"/>
      </w:pPr>
    </w:p>
    <w:p>
      <w:pPr>
        <w:pStyle w:val="Heading1"/>
        <w:spacing w:after="200" w:before="400"/>
      </w:pPr>
      <w:r>
        <w:rPr>
          <w:b/>
          <w:bCs/>
          <w:color w:val="1f3a5f"/>
        </w:rPr>
        <w:t xml:space="preserve">4. Matching Engine Specification</w:t>
      </w:r>
    </w:p>
    <w:p>
      <w:pPr>
        <w:spacing w:after="200"/>
      </w:pPr>
      <w:r>
        <w:rPr>
          <w:b/>
          <w:bCs/>
          <w:color w:val="5a5a5a"/>
          <w:sz w:val="20"/>
          <w:szCs w:val="20"/>
        </w:rPr>
        <w:t xml:space="preserve">DOCUMENT: </w:t>
      </w:r>
      <w:r>
        <w:rPr>
          <w:b/>
          <w:bCs/>
          <w:color w:val="2f6fb2"/>
          <w:sz w:val="20"/>
          <w:szCs w:val="20"/>
        </w:rPr>
        <w:t xml:space="preserve">Matching Engine Specification</w:t>
      </w:r>
    </w:p>
    <w:p>
      <w:pPr>
        <w:spacing w:after="160" w:line="300"/>
      </w:pPr>
      <w:r>
        <w:t xml:space="preserve">Purpose: define exactly how a match score and explanation are produced, so the output in §9 of the source doc (“82% Match: this internship fits your...”) is a specified, testable behavior rather than an aspiration.</w:t>
      </w:r>
    </w:p>
    <w:p>
      <w:pPr>
        <w:pStyle w:val="Heading2"/>
        <w:spacing w:after="150" w:before="300"/>
      </w:pPr>
      <w:r>
        <w:rPr>
          <w:b/>
          <w:bCs/>
          <w:color w:val="2f6fb2"/>
        </w:rPr>
        <w:t xml:space="preserve">4.1 Phase 1: rule-based scoring</w:t>
      </w:r>
    </w:p>
    <w:p>
      <w:pPr>
        <w:spacing w:after="160" w:line="300"/>
      </w:pPr>
      <w:r>
        <w:t xml:space="preserve">Each matching dimension listed in §9 of the source document is implemented as an explicit, independently-testable rule with a weight: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200"/>
      </w:tblGrid>
      <w:tr>
        <w:trPr>
          <w:tblHeader/>
        </w:trPr>
        <w:tc>
          <w:tcPr>
            <w:tcW w:type="dxa" w:w="3200"/>
            <w:shd w:fill="1f3a5f" w:color="auto" w:val="clear"/>
            <w:tcMar>
              <w:top w:type="dxa" w:w="80"/>
              <w:left w:type="dxa" w:w="100"/>
              <w:bottom w:type="dxa" w:w="80"/>
              <w:right w:type="dxa" w:w="100"/>
            </w:tcMar>
          </w:tcPr>
          <w:p>
            <w:pPr>
              <w:jc w:val="left"/>
            </w:pPr>
            <w:r>
              <w:rPr>
                <w:b/>
                <w:bCs/>
                <w:color w:val="FFFFFF"/>
                <w:sz w:val="19"/>
                <w:szCs w:val="19"/>
              </w:rPr>
              <w:t xml:space="preserve">Dimension</w:t>
            </w:r>
          </w:p>
        </w:tc>
        <w:tc>
          <w:tcPr>
            <w:tcW w:type="dxa" w:w="4200"/>
            <w:shd w:fill="1f3a5f" w:color="auto" w:val="clear"/>
            <w:tcMar>
              <w:top w:type="dxa" w:w="80"/>
              <w:left w:type="dxa" w:w="100"/>
              <w:bottom w:type="dxa" w:w="80"/>
              <w:right w:type="dxa" w:w="100"/>
            </w:tcMar>
          </w:tcPr>
          <w:p>
            <w:pPr>
              <w:jc w:val="left"/>
            </w:pPr>
            <w:r>
              <w:rPr>
                <w:b/>
                <w:bCs/>
                <w:color w:val="FFFFFF"/>
                <w:sz w:val="19"/>
                <w:szCs w:val="19"/>
              </w:rPr>
              <w:t xml:space="preserve">Type</w:t>
            </w:r>
          </w:p>
        </w:tc>
        <w:tc>
          <w:tcPr>
            <w:tcW w:type="dxa" w:w="1200"/>
            <w:shd w:fill="1f3a5f" w:color="auto" w:val="clear"/>
            <w:tcMar>
              <w:top w:type="dxa" w:w="80"/>
              <w:left w:type="dxa" w:w="100"/>
              <w:bottom w:type="dxa" w:w="80"/>
              <w:right w:type="dxa" w:w="100"/>
            </w:tcMar>
          </w:tcPr>
          <w:p>
            <w:pPr>
              <w:jc w:val="left"/>
            </w:pPr>
            <w:r>
              <w:rPr>
                <w:b/>
                <w:bCs/>
                <w:color w:val="FFFFFF"/>
                <w:sz w:val="19"/>
                <w:szCs w:val="19"/>
              </w:rPr>
              <w:t xml:space="preserve">Default weight</w:t>
            </w:r>
          </w:p>
        </w:tc>
      </w:tr>
      <w:tr>
        <w:tc>
          <w:tcPr>
            <w:tcW w:type="dxa" w:w="3200"/>
            <w:shd w:fill="FFFFFF" w:color="auto" w:val="clear"/>
            <w:tcMar>
              <w:top w:type="dxa" w:w="80"/>
              <w:left w:type="dxa" w:w="100"/>
              <w:bottom w:type="dxa" w:w="80"/>
              <w:right w:type="dxa" w:w="100"/>
            </w:tcMar>
          </w:tcPr>
          <w:p>
            <w:pPr>
              <w:jc w:val="left"/>
            </w:pPr>
            <w:r>
              <w:rPr>
                <w:b w:val="false"/>
                <w:bCs w:val="false"/>
                <w:color w:val="1a1a1a"/>
                <w:sz w:val="19"/>
                <w:szCs w:val="19"/>
              </w:rPr>
              <w:t xml:space="preserve">Education eligibility</w:t>
            </w:r>
          </w:p>
        </w:tc>
        <w:tc>
          <w:tcPr>
            <w:tcW w:type="dxa" w:w="4200"/>
            <w:shd w:fill="FFFFFF" w:color="auto" w:val="clear"/>
            <w:tcMar>
              <w:top w:type="dxa" w:w="80"/>
              <w:left w:type="dxa" w:w="100"/>
              <w:bottom w:type="dxa" w:w="80"/>
              <w:right w:type="dxa" w:w="100"/>
            </w:tcMar>
          </w:tcPr>
          <w:p>
            <w:pPr>
              <w:jc w:val="left"/>
            </w:pPr>
            <w:r>
              <w:rPr>
                <w:b w:val="false"/>
                <w:bCs w:val="false"/>
                <w:color w:val="1a1a1a"/>
                <w:sz w:val="19"/>
                <w:szCs w:val="19"/>
              </w:rPr>
              <w:t xml:space="preserve">Hard filter (fail = excluded, not just down-scored)</w:t>
            </w:r>
          </w:p>
        </w:tc>
        <w:tc>
          <w:tcPr>
            <w:tcW w:type="dxa" w:w="1200"/>
            <w:shd w:fill="FFFFFF" w:color="auto" w:val="clear"/>
            <w:tcMar>
              <w:top w:type="dxa" w:w="80"/>
              <w:left w:type="dxa" w:w="100"/>
              <w:bottom w:type="dxa" w:w="80"/>
              <w:right w:type="dxa" w:w="100"/>
            </w:tcMar>
          </w:tcPr>
          <w:p>
            <w:pPr>
              <w:jc w:val="left"/>
            </w:pPr>
            <w:r>
              <w:rPr>
                <w:b w:val="false"/>
                <w:bCs w:val="false"/>
                <w:color w:val="1a1a1a"/>
                <w:sz w:val="19"/>
                <w:szCs w:val="19"/>
              </w:rPr>
              <w:t xml:space="preserve">Gate</w:t>
            </w:r>
          </w:p>
        </w:tc>
      </w:tr>
      <w:tr>
        <w:tc>
          <w:tcPr>
            <w:tcW w:type="dxa" w:w="3200"/>
            <w:shd w:fill="F5F8FC" w:color="auto" w:val="clear"/>
            <w:tcMar>
              <w:top w:type="dxa" w:w="80"/>
              <w:left w:type="dxa" w:w="100"/>
              <w:bottom w:type="dxa" w:w="80"/>
              <w:right w:type="dxa" w:w="100"/>
            </w:tcMar>
          </w:tcPr>
          <w:p>
            <w:pPr>
              <w:jc w:val="left"/>
            </w:pPr>
            <w:r>
              <w:rPr>
                <w:b w:val="false"/>
                <w:bCs w:val="false"/>
                <w:color w:val="1a1a1a"/>
                <w:sz w:val="19"/>
                <w:szCs w:val="19"/>
              </w:rPr>
              <w:t xml:space="preserve">Field/discipline relevance</w:t>
            </w:r>
          </w:p>
        </w:tc>
        <w:tc>
          <w:tcPr>
            <w:tcW w:type="dxa" w:w="4200"/>
            <w:shd w:fill="F5F8FC" w:color="auto" w:val="clear"/>
            <w:tcMar>
              <w:top w:type="dxa" w:w="80"/>
              <w:left w:type="dxa" w:w="100"/>
              <w:bottom w:type="dxa" w:w="80"/>
              <w:right w:type="dxa" w:w="100"/>
            </w:tcMar>
          </w:tcPr>
          <w:p>
            <w:pPr>
              <w:jc w:val="left"/>
            </w:pPr>
            <w:r>
              <w:rPr>
                <w:b w:val="false"/>
                <w:bCs w:val="false"/>
                <w:color w:val="1a1a1a"/>
                <w:sz w:val="19"/>
                <w:szCs w:val="19"/>
              </w:rPr>
              <w:t xml:space="preserve">Weighted match</w:t>
            </w:r>
          </w:p>
        </w:tc>
        <w:tc>
          <w:tcPr>
            <w:tcW w:type="dxa" w:w="1200"/>
            <w:shd w:fill="F5F8FC" w:color="auto" w:val="clear"/>
            <w:tcMar>
              <w:top w:type="dxa" w:w="80"/>
              <w:left w:type="dxa" w:w="100"/>
              <w:bottom w:type="dxa" w:w="80"/>
              <w:right w:type="dxa" w:w="100"/>
            </w:tcMar>
          </w:tcPr>
          <w:p>
            <w:pPr>
              <w:jc w:val="left"/>
            </w:pPr>
            <w:r>
              <w:rPr>
                <w:b w:val="false"/>
                <w:bCs w:val="false"/>
                <w:color w:val="1a1a1a"/>
                <w:sz w:val="19"/>
                <w:szCs w:val="19"/>
              </w:rPr>
              <w:t xml:space="preserve">20%</w:t>
            </w:r>
          </w:p>
        </w:tc>
      </w:tr>
      <w:tr>
        <w:tc>
          <w:tcPr>
            <w:tcW w:type="dxa" w:w="3200"/>
            <w:shd w:fill="FFFFFF" w:color="auto" w:val="clear"/>
            <w:tcMar>
              <w:top w:type="dxa" w:w="80"/>
              <w:left w:type="dxa" w:w="100"/>
              <w:bottom w:type="dxa" w:w="80"/>
              <w:right w:type="dxa" w:w="100"/>
            </w:tcMar>
          </w:tcPr>
          <w:p>
            <w:pPr>
              <w:jc w:val="left"/>
            </w:pPr>
            <w:r>
              <w:rPr>
                <w:b w:val="false"/>
                <w:bCs w:val="false"/>
                <w:color w:val="1a1a1a"/>
                <w:sz w:val="19"/>
                <w:szCs w:val="19"/>
              </w:rPr>
              <w:t xml:space="preserve">Skills match</w:t>
            </w:r>
          </w:p>
        </w:tc>
        <w:tc>
          <w:tcPr>
            <w:tcW w:type="dxa" w:w="4200"/>
            <w:shd w:fill="FFFFFF" w:color="auto" w:val="clear"/>
            <w:tcMar>
              <w:top w:type="dxa" w:w="80"/>
              <w:left w:type="dxa" w:w="100"/>
              <w:bottom w:type="dxa" w:w="80"/>
              <w:right w:type="dxa" w:w="100"/>
            </w:tcMar>
          </w:tcPr>
          <w:p>
            <w:pPr>
              <w:jc w:val="left"/>
            </w:pPr>
            <w:r>
              <w:rPr>
                <w:b w:val="false"/>
                <w:bCs w:val="false"/>
                <w:color w:val="1a1a1a"/>
                <w:sz w:val="19"/>
                <w:szCs w:val="19"/>
              </w:rPr>
              <w:t xml:space="preserve">Weighted match (required vs. preferred distinguished)</w:t>
            </w:r>
          </w:p>
        </w:tc>
        <w:tc>
          <w:tcPr>
            <w:tcW w:type="dxa" w:w="1200"/>
            <w:shd w:fill="FFFFFF" w:color="auto" w:val="clear"/>
            <w:tcMar>
              <w:top w:type="dxa" w:w="80"/>
              <w:left w:type="dxa" w:w="100"/>
              <w:bottom w:type="dxa" w:w="80"/>
              <w:right w:type="dxa" w:w="100"/>
            </w:tcMar>
          </w:tcPr>
          <w:p>
            <w:pPr>
              <w:jc w:val="left"/>
            </w:pPr>
            <w:r>
              <w:rPr>
                <w:b w:val="false"/>
                <w:bCs w:val="false"/>
                <w:color w:val="1a1a1a"/>
                <w:sz w:val="19"/>
                <w:szCs w:val="19"/>
              </w:rPr>
              <w:t xml:space="preserve">25%</w:t>
            </w:r>
          </w:p>
        </w:tc>
      </w:tr>
      <w:tr>
        <w:tc>
          <w:tcPr>
            <w:tcW w:type="dxa" w:w="3200"/>
            <w:shd w:fill="F5F8FC" w:color="auto" w:val="clear"/>
            <w:tcMar>
              <w:top w:type="dxa" w:w="80"/>
              <w:left w:type="dxa" w:w="100"/>
              <w:bottom w:type="dxa" w:w="80"/>
              <w:right w:type="dxa" w:w="100"/>
            </w:tcMar>
          </w:tcPr>
          <w:p>
            <w:pPr>
              <w:jc w:val="left"/>
            </w:pPr>
            <w:r>
              <w:rPr>
                <w:b w:val="false"/>
                <w:bCs w:val="false"/>
                <w:color w:val="1a1a1a"/>
                <w:sz w:val="19"/>
                <w:szCs w:val="19"/>
              </w:rPr>
              <w:t xml:space="preserve">Experience level</w:t>
            </w:r>
          </w:p>
        </w:tc>
        <w:tc>
          <w:tcPr>
            <w:tcW w:type="dxa" w:w="4200"/>
            <w:shd w:fill="F5F8FC" w:color="auto" w:val="clear"/>
            <w:tcMar>
              <w:top w:type="dxa" w:w="80"/>
              <w:left w:type="dxa" w:w="100"/>
              <w:bottom w:type="dxa" w:w="80"/>
              <w:right w:type="dxa" w:w="100"/>
            </w:tcMar>
          </w:tcPr>
          <w:p>
            <w:pPr>
              <w:jc w:val="left"/>
            </w:pPr>
            <w:r>
              <w:rPr>
                <w:b w:val="false"/>
                <w:bCs w:val="false"/>
                <w:color w:val="1a1a1a"/>
                <w:sz w:val="19"/>
                <w:szCs w:val="19"/>
              </w:rPr>
              <w:t xml:space="preserve">Weighted match</w:t>
            </w:r>
          </w:p>
        </w:tc>
        <w:tc>
          <w:tcPr>
            <w:tcW w:type="dxa" w:w="1200"/>
            <w:shd w:fill="F5F8FC" w:color="auto" w:val="clear"/>
            <w:tcMar>
              <w:top w:type="dxa" w:w="80"/>
              <w:left w:type="dxa" w:w="100"/>
              <w:bottom w:type="dxa" w:w="80"/>
              <w:right w:type="dxa" w:w="100"/>
            </w:tcMar>
          </w:tcPr>
          <w:p>
            <w:pPr>
              <w:jc w:val="left"/>
            </w:pPr>
            <w:r>
              <w:rPr>
                <w:b w:val="false"/>
                <w:bCs w:val="false"/>
                <w:color w:val="1a1a1a"/>
                <w:sz w:val="19"/>
                <w:szCs w:val="19"/>
              </w:rPr>
              <w:t xml:space="preserve">15%</w:t>
            </w:r>
          </w:p>
        </w:tc>
      </w:tr>
      <w:tr>
        <w:tc>
          <w:tcPr>
            <w:tcW w:type="dxa" w:w="3200"/>
            <w:shd w:fill="FFFFFF" w:color="auto" w:val="clear"/>
            <w:tcMar>
              <w:top w:type="dxa" w:w="80"/>
              <w:left w:type="dxa" w:w="100"/>
              <w:bottom w:type="dxa" w:w="80"/>
              <w:right w:type="dxa" w:w="100"/>
            </w:tcMar>
          </w:tcPr>
          <w:p>
            <w:pPr>
              <w:jc w:val="left"/>
            </w:pPr>
            <w:r>
              <w:rPr>
                <w:b w:val="false"/>
                <w:bCs w:val="false"/>
                <w:color w:val="1a1a1a"/>
                <w:sz w:val="19"/>
                <w:szCs w:val="19"/>
              </w:rPr>
              <w:t xml:space="preserve">Location compatibility</w:t>
            </w:r>
          </w:p>
        </w:tc>
        <w:tc>
          <w:tcPr>
            <w:tcW w:type="dxa" w:w="4200"/>
            <w:shd w:fill="FFFFFF" w:color="auto" w:val="clear"/>
            <w:tcMar>
              <w:top w:type="dxa" w:w="80"/>
              <w:left w:type="dxa" w:w="100"/>
              <w:bottom w:type="dxa" w:w="80"/>
              <w:right w:type="dxa" w:w="100"/>
            </w:tcMar>
          </w:tcPr>
          <w:p>
            <w:pPr>
              <w:jc w:val="left"/>
            </w:pPr>
            <w:r>
              <w:rPr>
                <w:b w:val="false"/>
                <w:bCs w:val="false"/>
                <w:color w:val="1a1a1a"/>
                <w:sz w:val="19"/>
                <w:szCs w:val="19"/>
              </w:rPr>
              <w:t xml:space="preserve">Weighted match</w:t>
            </w:r>
          </w:p>
        </w:tc>
        <w:tc>
          <w:tcPr>
            <w:tcW w:type="dxa" w:w="1200"/>
            <w:shd w:fill="FFFFFF" w:color="auto" w:val="clear"/>
            <w:tcMar>
              <w:top w:type="dxa" w:w="80"/>
              <w:left w:type="dxa" w:w="100"/>
              <w:bottom w:type="dxa" w:w="80"/>
              <w:right w:type="dxa" w:w="100"/>
            </w:tcMar>
          </w:tcPr>
          <w:p>
            <w:pPr>
              <w:jc w:val="left"/>
            </w:pPr>
            <w:r>
              <w:rPr>
                <w:b w:val="false"/>
                <w:bCs w:val="false"/>
                <w:color w:val="1a1a1a"/>
                <w:sz w:val="19"/>
                <w:szCs w:val="19"/>
              </w:rPr>
              <w:t xml:space="preserve">10%</w:t>
            </w:r>
          </w:p>
        </w:tc>
      </w:tr>
      <w:tr>
        <w:tc>
          <w:tcPr>
            <w:tcW w:type="dxa" w:w="3200"/>
            <w:shd w:fill="F5F8FC" w:color="auto" w:val="clear"/>
            <w:tcMar>
              <w:top w:type="dxa" w:w="80"/>
              <w:left w:type="dxa" w:w="100"/>
              <w:bottom w:type="dxa" w:w="80"/>
              <w:right w:type="dxa" w:w="100"/>
            </w:tcMar>
          </w:tcPr>
          <w:p>
            <w:pPr>
              <w:jc w:val="left"/>
            </w:pPr>
            <w:r>
              <w:rPr>
                <w:b w:val="false"/>
                <w:bCs w:val="false"/>
                <w:color w:val="1a1a1a"/>
                <w:sz w:val="19"/>
                <w:szCs w:val="19"/>
              </w:rPr>
              <w:t xml:space="preserve">Work-mode preference</w:t>
            </w:r>
          </w:p>
        </w:tc>
        <w:tc>
          <w:tcPr>
            <w:tcW w:type="dxa" w:w="4200"/>
            <w:shd w:fill="F5F8FC" w:color="auto" w:val="clear"/>
            <w:tcMar>
              <w:top w:type="dxa" w:w="80"/>
              <w:left w:type="dxa" w:w="100"/>
              <w:bottom w:type="dxa" w:w="80"/>
              <w:right w:type="dxa" w:w="100"/>
            </w:tcMar>
          </w:tcPr>
          <w:p>
            <w:pPr>
              <w:jc w:val="left"/>
            </w:pPr>
            <w:r>
              <w:rPr>
                <w:b w:val="false"/>
                <w:bCs w:val="false"/>
                <w:color w:val="1a1a1a"/>
                <w:sz w:val="19"/>
                <w:szCs w:val="19"/>
              </w:rPr>
              <w:t xml:space="preserve">Weighted match</w:t>
            </w:r>
          </w:p>
        </w:tc>
        <w:tc>
          <w:tcPr>
            <w:tcW w:type="dxa" w:w="1200"/>
            <w:shd w:fill="F5F8FC" w:color="auto" w:val="clear"/>
            <w:tcMar>
              <w:top w:type="dxa" w:w="80"/>
              <w:left w:type="dxa" w:w="100"/>
              <w:bottom w:type="dxa" w:w="80"/>
              <w:right w:type="dxa" w:w="100"/>
            </w:tcMar>
          </w:tcPr>
          <w:p>
            <w:pPr>
              <w:jc w:val="left"/>
            </w:pPr>
            <w:r>
              <w:rPr>
                <w:b w:val="false"/>
                <w:bCs w:val="false"/>
                <w:color w:val="1a1a1a"/>
                <w:sz w:val="19"/>
                <w:szCs w:val="19"/>
              </w:rPr>
              <w:t xml:space="preserve">5%</w:t>
            </w:r>
          </w:p>
        </w:tc>
      </w:tr>
      <w:tr>
        <w:tc>
          <w:tcPr>
            <w:tcW w:type="dxa" w:w="3200"/>
            <w:shd w:fill="FFFFFF" w:color="auto" w:val="clear"/>
            <w:tcMar>
              <w:top w:type="dxa" w:w="80"/>
              <w:left w:type="dxa" w:w="100"/>
              <w:bottom w:type="dxa" w:w="80"/>
              <w:right w:type="dxa" w:w="100"/>
            </w:tcMar>
          </w:tcPr>
          <w:p>
            <w:pPr>
              <w:jc w:val="left"/>
            </w:pPr>
            <w:r>
              <w:rPr>
                <w:b w:val="false"/>
                <w:bCs w:val="false"/>
                <w:color w:val="1a1a1a"/>
                <w:sz w:val="19"/>
                <w:szCs w:val="19"/>
              </w:rPr>
              <w:t xml:space="preserve">Career-interest alignment</w:t>
            </w:r>
          </w:p>
        </w:tc>
        <w:tc>
          <w:tcPr>
            <w:tcW w:type="dxa" w:w="4200"/>
            <w:shd w:fill="FFFFFF" w:color="auto" w:val="clear"/>
            <w:tcMar>
              <w:top w:type="dxa" w:w="80"/>
              <w:left w:type="dxa" w:w="100"/>
              <w:bottom w:type="dxa" w:w="80"/>
              <w:right w:type="dxa" w:w="100"/>
            </w:tcMar>
          </w:tcPr>
          <w:p>
            <w:pPr>
              <w:jc w:val="left"/>
            </w:pPr>
            <w:r>
              <w:rPr>
                <w:b w:val="false"/>
                <w:bCs w:val="false"/>
                <w:color w:val="1a1a1a"/>
                <w:sz w:val="19"/>
                <w:szCs w:val="19"/>
              </w:rPr>
              <w:t xml:space="preserve">Weighted match</w:t>
            </w:r>
          </w:p>
        </w:tc>
        <w:tc>
          <w:tcPr>
            <w:tcW w:type="dxa" w:w="1200"/>
            <w:shd w:fill="FFFFFF" w:color="auto" w:val="clear"/>
            <w:tcMar>
              <w:top w:type="dxa" w:w="80"/>
              <w:left w:type="dxa" w:w="100"/>
              <w:bottom w:type="dxa" w:w="80"/>
              <w:right w:type="dxa" w:w="100"/>
            </w:tcMar>
          </w:tcPr>
          <w:p>
            <w:pPr>
              <w:jc w:val="left"/>
            </w:pPr>
            <w:r>
              <w:rPr>
                <w:b w:val="false"/>
                <w:bCs w:val="false"/>
                <w:color w:val="1a1a1a"/>
                <w:sz w:val="19"/>
                <w:szCs w:val="19"/>
              </w:rPr>
              <w:t xml:space="preserve">10%</w:t>
            </w:r>
          </w:p>
        </w:tc>
      </w:tr>
      <w:tr>
        <w:tc>
          <w:tcPr>
            <w:tcW w:type="dxa" w:w="3200"/>
            <w:shd w:fill="F5F8FC" w:color="auto" w:val="clear"/>
            <w:tcMar>
              <w:top w:type="dxa" w:w="80"/>
              <w:left w:type="dxa" w:w="100"/>
              <w:bottom w:type="dxa" w:w="80"/>
              <w:right w:type="dxa" w:w="100"/>
            </w:tcMar>
          </w:tcPr>
          <w:p>
            <w:pPr>
              <w:jc w:val="left"/>
            </w:pPr>
            <w:r>
              <w:rPr>
                <w:b w:val="false"/>
                <w:bCs w:val="false"/>
                <w:color w:val="1a1a1a"/>
                <w:sz w:val="19"/>
                <w:szCs w:val="19"/>
              </w:rPr>
              <w:t xml:space="preserve">Age/programme-specific eligibility</w:t>
            </w:r>
          </w:p>
        </w:tc>
        <w:tc>
          <w:tcPr>
            <w:tcW w:type="dxa" w:w="4200"/>
            <w:shd w:fill="F5F8FC" w:color="auto" w:val="clear"/>
            <w:tcMar>
              <w:top w:type="dxa" w:w="80"/>
              <w:left w:type="dxa" w:w="100"/>
              <w:bottom w:type="dxa" w:w="80"/>
              <w:right w:type="dxa" w:w="100"/>
            </w:tcMar>
          </w:tcPr>
          <w:p>
            <w:pPr>
              <w:jc w:val="left"/>
            </w:pPr>
            <w:r>
              <w:rPr>
                <w:b w:val="false"/>
                <w:bCs w:val="false"/>
                <w:color w:val="1a1a1a"/>
                <w:sz w:val="19"/>
                <w:szCs w:val="19"/>
              </w:rPr>
              <w:t xml:space="preserve">Hard filter where applicable</w:t>
            </w:r>
          </w:p>
        </w:tc>
        <w:tc>
          <w:tcPr>
            <w:tcW w:type="dxa" w:w="1200"/>
            <w:shd w:fill="F5F8FC" w:color="auto" w:val="clear"/>
            <w:tcMar>
              <w:top w:type="dxa" w:w="80"/>
              <w:left w:type="dxa" w:w="100"/>
              <w:bottom w:type="dxa" w:w="80"/>
              <w:right w:type="dxa" w:w="100"/>
            </w:tcMar>
          </w:tcPr>
          <w:p>
            <w:pPr>
              <w:jc w:val="left"/>
            </w:pPr>
            <w:r>
              <w:rPr>
                <w:b w:val="false"/>
                <w:bCs w:val="false"/>
                <w:color w:val="1a1a1a"/>
                <w:sz w:val="19"/>
                <w:szCs w:val="19"/>
              </w:rPr>
              <w:t xml:space="preserve">Gate</w:t>
            </w:r>
          </w:p>
        </w:tc>
      </w:tr>
      <w:tr>
        <w:tc>
          <w:tcPr>
            <w:tcW w:type="dxa" w:w="3200"/>
            <w:shd w:fill="FFFFFF" w:color="auto" w:val="clear"/>
            <w:tcMar>
              <w:top w:type="dxa" w:w="80"/>
              <w:left w:type="dxa" w:w="100"/>
              <w:bottom w:type="dxa" w:w="80"/>
              <w:right w:type="dxa" w:w="100"/>
            </w:tcMar>
          </w:tcPr>
          <w:p>
            <w:pPr>
              <w:jc w:val="left"/>
            </w:pPr>
            <w:r>
              <w:rPr>
                <w:b w:val="false"/>
                <w:bCs w:val="false"/>
                <w:color w:val="1a1a1a"/>
                <w:sz w:val="19"/>
                <w:szCs w:val="19"/>
              </w:rPr>
              <w:t xml:space="preserve">Deadline urgency</w:t>
            </w:r>
          </w:p>
        </w:tc>
        <w:tc>
          <w:tcPr>
            <w:tcW w:type="dxa" w:w="4200"/>
            <w:shd w:fill="FFFFFF" w:color="auto" w:val="clear"/>
            <w:tcMar>
              <w:top w:type="dxa" w:w="80"/>
              <w:left w:type="dxa" w:w="100"/>
              <w:bottom w:type="dxa" w:w="80"/>
              <w:right w:type="dxa" w:w="100"/>
            </w:tcMar>
          </w:tcPr>
          <w:p>
            <w:pPr>
              <w:jc w:val="left"/>
            </w:pPr>
            <w:r>
              <w:rPr>
                <w:b w:val="false"/>
                <w:bCs w:val="false"/>
                <w:color w:val="1a1a1a"/>
                <w:sz w:val="19"/>
                <w:szCs w:val="19"/>
              </w:rPr>
              <w:t xml:space="preserve">Ranking boost, not part of the score itself</w:t>
            </w:r>
          </w:p>
        </w:tc>
        <w:tc>
          <w:tcPr>
            <w:tcW w:type="dxa" w:w="1200"/>
            <w:shd w:fill="FFFFFF" w:color="auto" w:val="clear"/>
            <w:tcMar>
              <w:top w:type="dxa" w:w="80"/>
              <w:left w:type="dxa" w:w="100"/>
              <w:bottom w:type="dxa" w:w="80"/>
              <w:right w:type="dxa" w:w="100"/>
            </w:tcMar>
          </w:tcPr>
          <w:p>
            <w:pPr>
              <w:jc w:val="left"/>
            </w:pPr>
            <w:r>
              <w:rPr>
                <w:b w:val="false"/>
                <w:bCs w:val="false"/>
                <w:color w:val="1a1a1a"/>
                <w:sz w:val="19"/>
                <w:szCs w:val="19"/>
              </w:rPr>
              <w:t xml:space="preserve">N/A (sort signal)</w:t>
            </w:r>
          </w:p>
        </w:tc>
      </w:tr>
      <w:tr>
        <w:tc>
          <w:tcPr>
            <w:tcW w:type="dxa" w:w="3200"/>
            <w:shd w:fill="F5F8FC" w:color="auto" w:val="clear"/>
            <w:tcMar>
              <w:top w:type="dxa" w:w="80"/>
              <w:left w:type="dxa" w:w="100"/>
              <w:bottom w:type="dxa" w:w="80"/>
              <w:right w:type="dxa" w:w="100"/>
            </w:tcMar>
          </w:tcPr>
          <w:p>
            <w:pPr>
              <w:jc w:val="left"/>
            </w:pPr>
            <w:r>
              <w:rPr>
                <w:b w:val="false"/>
                <w:bCs w:val="false"/>
                <w:color w:val="1a1a1a"/>
                <w:sz w:val="19"/>
                <w:szCs w:val="19"/>
              </w:rPr>
              <w:t xml:space="preserve">Required certifications</w:t>
            </w:r>
          </w:p>
        </w:tc>
        <w:tc>
          <w:tcPr>
            <w:tcW w:type="dxa" w:w="4200"/>
            <w:shd w:fill="F5F8FC" w:color="auto" w:val="clear"/>
            <w:tcMar>
              <w:top w:type="dxa" w:w="80"/>
              <w:left w:type="dxa" w:w="100"/>
              <w:bottom w:type="dxa" w:w="80"/>
              <w:right w:type="dxa" w:w="100"/>
            </w:tcMar>
          </w:tcPr>
          <w:p>
            <w:pPr>
              <w:jc w:val="left"/>
            </w:pPr>
            <w:r>
              <w:rPr>
                <w:b w:val="false"/>
                <w:bCs w:val="false"/>
                <w:color w:val="1a1a1a"/>
                <w:sz w:val="19"/>
                <w:szCs w:val="19"/>
              </w:rPr>
              <w:t xml:space="preserve">Hard filter if marked mandatory</w:t>
            </w:r>
          </w:p>
        </w:tc>
        <w:tc>
          <w:tcPr>
            <w:tcW w:type="dxa" w:w="1200"/>
            <w:shd w:fill="F5F8FC" w:color="auto" w:val="clear"/>
            <w:tcMar>
              <w:top w:type="dxa" w:w="80"/>
              <w:left w:type="dxa" w:w="100"/>
              <w:bottom w:type="dxa" w:w="80"/>
              <w:right w:type="dxa" w:w="100"/>
            </w:tcMar>
          </w:tcPr>
          <w:p>
            <w:pPr>
              <w:jc w:val="left"/>
            </w:pPr>
            <w:r>
              <w:rPr>
                <w:b w:val="false"/>
                <w:bCs w:val="false"/>
                <w:color w:val="1a1a1a"/>
                <w:sz w:val="19"/>
                <w:szCs w:val="19"/>
              </w:rPr>
              <w:t xml:space="preserve">Gate</w:t>
            </w:r>
          </w:p>
        </w:tc>
      </w:tr>
    </w:tbl>
    <w:p>
      <w:pPr>
        <w:spacing w:after="160" w:line="300"/>
      </w:pPr>
      <w:r>
        <w:t xml:space="preserve">Weights are configuration, not code — stored per-category, since a scholarship and an internship don't weight “experience level” the same way.</w:t>
      </w:r>
    </w:p>
    <w:p>
      <w:pPr>
        <w:pStyle w:val="Heading2"/>
        <w:spacing w:after="150" w:before="300"/>
      </w:pPr>
      <w:r>
        <w:rPr>
          <w:b/>
          <w:bCs/>
          <w:color w:val="2f6fb2"/>
        </w:rPr>
        <w:t xml:space="preserve">4.2 Explainability output (mandatory, not optional)</w:t>
      </w:r>
    </w:p>
    <w:p>
      <w:pPr>
        <w:spacing w:after="160" w:line="300"/>
      </w:pPr>
      <w:r>
        <w:t xml:space="preserve">Every MatchResult returns matched_factors[] and missing_factors[] in plain language before it returns a raw score. The source document is explicit that a match score must never be presented as an unexplained AI decision (§9) — this is treated as a hard product requirement, enforced at the API contract level: a MatchResult without an explanation payload is an invalid response, not a permitted shortcut.</w:t>
      </w:r>
    </w:p>
    <w:p>
      <w:pPr>
        <w:pStyle w:val="Heading2"/>
        <w:spacing w:after="150" w:before="300"/>
      </w:pPr>
      <w:r>
        <w:rPr>
          <w:b/>
          <w:bCs/>
          <w:color w:val="2f6fb2"/>
        </w:rPr>
        <w:t xml:space="preserve">4.3 Phase 3: AI-assisted scoring</w:t>
      </w:r>
    </w:p>
    <w:p>
      <w:pPr>
        <w:spacing w:after="160" w:line="300"/>
      </w:pPr>
      <w:r>
        <w:t xml:space="preserve">The AI implementation extracts structured requirements from unstructured opportunity text (§13) and can adjust relevance weighting based on observed engagement, but it does not replace the hard-filter gates (education, mandatory certifications, programme-specific eligibility). Those remain rule-based permanently — core eligibility facts stay traceable to the original opportunity source, per §13 of the source doc, precisely because a false positive there (telling someone they're eligible when they're not) is worse than a missed match.</w:t>
      </w:r>
    </w:p>
    <w:p>
      <w:pPr>
        <w:pBdr>
          <w:bottom w:val="single" w:color="cccccc" w:sz="6" w:space="1"/>
        </w:pBdr>
        <w:spacing w:after="300"/>
      </w:pPr>
    </w:p>
    <w:p>
      <w:pPr>
        <w:pStyle w:val="Heading1"/>
        <w:spacing w:after="200" w:before="400"/>
      </w:pPr>
      <w:r>
        <w:rPr>
          <w:b/>
          <w:bCs/>
          <w:color w:val="1f3a5f"/>
        </w:rPr>
        <w:t xml:space="preserve">5. Notification &amp; Alerting Specification</w:t>
      </w:r>
    </w:p>
    <w:p>
      <w:pPr>
        <w:spacing w:after="200"/>
      </w:pPr>
      <w:r>
        <w:rPr>
          <w:b/>
          <w:bCs/>
          <w:color w:val="5a5a5a"/>
          <w:sz w:val="20"/>
          <w:szCs w:val="20"/>
        </w:rPr>
        <w:t xml:space="preserve">DOCUMENT: </w:t>
      </w:r>
      <w:r>
        <w:rPr>
          <w:b/>
          <w:bCs/>
          <w:color w:val="2f6fb2"/>
          <w:sz w:val="20"/>
          <w:szCs w:val="20"/>
        </w:rPr>
        <w:t xml:space="preserve">Notification &amp; Alerting Specification</w:t>
      </w:r>
    </w:p>
    <w:p>
      <w:pPr>
        <w:spacing w:after="160" w:line="300"/>
      </w:pPr>
      <w:r>
        <w:t xml:space="preserve">Purpose: make “selective rather than noisy” (§11 of source doc) a concrete, testable rule set rather than an editorial judgment applied inconsistently.</w:t>
      </w:r>
    </w:p>
    <w:p>
      <w:pPr>
        <w:pStyle w:val="Heading2"/>
        <w:spacing w:after="150" w:before="300"/>
      </w:pPr>
      <w:r>
        <w:rPr>
          <w:b/>
          <w:bCs/>
          <w:color w:val="2f6fb2"/>
        </w:rPr>
        <w:t xml:space="preserve">5.1 Trigger rules</w:t>
      </w:r>
    </w:p>
    <w:p>
      <w:pPr>
        <w:pStyle w:val="ListParagraph"/>
        <w:numPr>
          <w:ilvl w:val="0"/>
          <w:numId w:val="1"/>
        </w:numPr>
        <w:spacing w:after="80" w:line="280"/>
      </w:pPr>
      <w:r>
        <w:t xml:space="preserve">New high-fit opportunity: score ≥ 75 (configurable) and category matches an opt-in preference — sent immediately, capped at N per day per user.</w:t>
      </w:r>
    </w:p>
    <w:p>
      <w:pPr>
        <w:pStyle w:val="ListParagraph"/>
        <w:numPr>
          <w:ilvl w:val="0"/>
          <w:numId w:val="1"/>
        </w:numPr>
        <w:spacing w:after="80" w:line="280"/>
      </w:pPr>
      <w:r>
        <w:t xml:space="preserve">Deadline approaching: for saved or high-fit (≥ 60) opportunities, at 7 days, 3 days, and 24 hours out — not more frequently.</w:t>
      </w:r>
    </w:p>
    <w:p>
      <w:pPr>
        <w:pStyle w:val="ListParagraph"/>
        <w:numPr>
          <w:ilvl w:val="0"/>
          <w:numId w:val="1"/>
        </w:numPr>
        <w:spacing w:after="80" w:line="280"/>
      </w:pPr>
      <w:r>
        <w:t xml:space="preserve">Major opportunity change: eligibility or deadline change on a saved opportunity — always sent regardless of daily cap, since it can invalidate a user's plan.</w:t>
      </w:r>
    </w:p>
    <w:p>
      <w:pPr>
        <w:pStyle w:val="ListParagraph"/>
        <w:numPr>
          <w:ilvl w:val="0"/>
          <w:numId w:val="1"/>
        </w:numPr>
        <w:spacing w:after="80" w:line="280"/>
      </w:pPr>
      <w:r>
        <w:t xml:space="preserve">Digest fallback: if no trigger-worthy event occurred, a periodic (e.g. weekly) digest is used instead of silence, so users don't churn from perceived inactivity — but digests never count against the same-day trigger cap.</w:t>
      </w:r>
    </w:p>
    <w:p>
      <w:pPr>
        <w:pStyle w:val="Heading2"/>
        <w:spacing w:after="150" w:before="300"/>
      </w:pPr>
      <w:r>
        <w:rPr>
          <w:b/>
          <w:bCs/>
          <w:color w:val="2f6fb2"/>
        </w:rPr>
        <w:t xml:space="preserve">5.2 Channel selection</w:t>
      </w:r>
    </w:p>
    <w:p>
      <w:pPr>
        <w:spacing w:after="160" w:line="300"/>
      </w:pPr>
      <w:r>
        <w:t xml:space="preserve">Every user has a preferred_channel and can opt into secondary channels. Channel routing is resolved by the NotificationChannel interface (§1.3) at send time — the same trigger logic above is channel-agnostic, so adding USSD or WhatsApp in later phases never touches this spec.</w:t>
      </w:r>
    </w:p>
    <w:p>
      <w:pPr>
        <w:pStyle w:val="Heading2"/>
        <w:spacing w:after="150" w:before="300"/>
      </w:pPr>
      <w:r>
        <w:rPr>
          <w:b/>
          <w:bCs/>
          <w:color w:val="2f6fb2"/>
        </w:rPr>
        <w:t xml:space="preserve">5.3 Anti-noise safeguards</w:t>
      </w:r>
    </w:p>
    <w:p>
      <w:pPr>
        <w:pStyle w:val="ListParagraph"/>
        <w:numPr>
          <w:ilvl w:val="0"/>
          <w:numId w:val="1"/>
        </w:numPr>
        <w:spacing w:after="80" w:line="280"/>
      </w:pPr>
      <w:r>
        <w:t xml:space="preserve">Global per-user daily send cap, independent of how many trigger conditions fire.</w:t>
      </w:r>
    </w:p>
    <w:p>
      <w:pPr>
        <w:pStyle w:val="ListParagraph"/>
        <w:numPr>
          <w:ilvl w:val="0"/>
          <w:numId w:val="1"/>
        </w:numPr>
        <w:spacing w:after="80" w:line="280"/>
      </w:pPr>
      <w:r>
        <w:t xml:space="preserve">De-duplication: the same opportunity never triggers two notifications within a rolling 48-hour window.</w:t>
      </w:r>
    </w:p>
    <w:p>
      <w:pPr>
        <w:pStyle w:val="ListParagraph"/>
        <w:numPr>
          <w:ilvl w:val="0"/>
          <w:numId w:val="1"/>
        </w:numPr>
        <w:spacing w:after="80" w:line="280"/>
      </w:pPr>
      <w:r>
        <w:t xml:space="preserve">Every notification includes an unsubscribe/preferences path — mandatory for SMS delivery reputation as much as for user trust.</w:t>
      </w:r>
    </w:p>
    <w:p>
      <w:pPr>
        <w:pBdr>
          <w:bottom w:val="single" w:color="cccccc" w:sz="6" w:space="1"/>
        </w:pBdr>
        <w:spacing w:after="300"/>
      </w:pPr>
    </w:p>
    <w:p>
      <w:pPr>
        <w:pStyle w:val="Heading1"/>
        <w:spacing w:after="200" w:before="400"/>
      </w:pPr>
      <w:r>
        <w:rPr>
          <w:b/>
          <w:bCs/>
          <w:color w:val="1f3a5f"/>
        </w:rPr>
        <w:t xml:space="preserve">6. USSD Flow Specification</w:t>
      </w:r>
    </w:p>
    <w:p>
      <w:pPr>
        <w:spacing w:after="200"/>
      </w:pPr>
      <w:r>
        <w:rPr>
          <w:b/>
          <w:bCs/>
          <w:color w:val="5a5a5a"/>
          <w:sz w:val="20"/>
          <w:szCs w:val="20"/>
        </w:rPr>
        <w:t xml:space="preserve">DOCUMENT: </w:t>
      </w:r>
      <w:r>
        <w:rPr>
          <w:b/>
          <w:bCs/>
          <w:color w:val="2f6fb2"/>
          <w:sz w:val="20"/>
          <w:szCs w:val="20"/>
        </w:rPr>
        <w:t xml:space="preserve">USSD Flow Specification</w:t>
      </w:r>
    </w:p>
    <w:p>
      <w:pPr>
        <w:spacing w:after="160" w:line="300"/>
      </w:pPr>
      <w:r>
        <w:t xml:space="preserve">Purpose: specify the constrained USSD experience described in §12 of the source doc precisely enough to build against telecom aggregator session limits (short sessions, small character budgets, no persistent connection).</w:t>
      </w:r>
    </w:p>
    <w:p>
      <w:pPr>
        <w:pStyle w:val="Heading2"/>
        <w:spacing w:after="150" w:before="300"/>
      </w:pPr>
      <w:r>
        <w:rPr>
          <w:b/>
          <w:bCs/>
          <w:color w:val="2f6fb2"/>
        </w:rPr>
        <w:t xml:space="preserve">6.1 Design constraint</w:t>
      </w:r>
    </w:p>
    <w:p>
      <w:pPr>
        <w:spacing w:after="160" w:line="300"/>
      </w:pPr>
      <w:r>
        <w:t xml:space="preserve">A USSD user does not complete a full profile in one session. The flow collects only the highest-value matching fields first — exactly as the source document specifies — and defers richer profile completion to web.</w:t>
      </w:r>
    </w:p>
    <w:p>
      <w:pPr>
        <w:pStyle w:val="Heading2"/>
        <w:spacing w:after="150" w:before="300"/>
      </w:pPr>
      <w:r>
        <w:rPr>
          <w:b/>
          <w:bCs/>
          <w:color w:val="2f6fb2"/>
        </w:rPr>
        <w:t xml:space="preserve">6.2 Menu tree (Phase 1 USSD scope)</w:t>
      </w:r>
    </w:p>
    <w:p>
      <w:pPr>
        <w:pStyle w:val="ListParagraph"/>
        <w:numPr>
          <w:ilvl w:val="0"/>
          <w:numId w:val="1"/>
        </w:numPr>
        <w:spacing w:after="80" w:line="280"/>
      </w:pPr>
      <w:r>
        <w:t xml:space="preserve">1. Create/continue profile → education level → field of study → location → top 2 opportunity categories (4 short prompts, session-safe)</w:t>
      </w:r>
    </w:p>
    <w:p>
      <w:pPr>
        <w:pStyle w:val="ListParagraph"/>
        <w:numPr>
          <w:ilvl w:val="0"/>
          <w:numId w:val="1"/>
        </w:numPr>
        <w:spacing w:after="80" w:line="280"/>
      </w:pPr>
      <w:r>
        <w:t xml:space="preserve">2. Check new matches → short summary (title, org, one-line fit reason, deadline) for top 3, paged</w:t>
      </w:r>
    </w:p>
    <w:p>
      <w:pPr>
        <w:pStyle w:val="ListParagraph"/>
        <w:numPr>
          <w:ilvl w:val="0"/>
          <w:numId w:val="1"/>
        </w:numPr>
        <w:spacing w:after="80" w:line="280"/>
      </w:pPr>
      <w:r>
        <w:t xml:space="preserve">3. Save an opportunity → confirmation + “SMS me the link” option</w:t>
      </w:r>
    </w:p>
    <w:p>
      <w:pPr>
        <w:pStyle w:val="ListParagraph"/>
        <w:numPr>
          <w:ilvl w:val="0"/>
          <w:numId w:val="1"/>
        </w:numPr>
        <w:spacing w:after="80" w:line="280"/>
      </w:pPr>
      <w:r>
        <w:t xml:space="preserve">4. View upcoming deadlines → saved items only, soonest first</w:t>
      </w:r>
    </w:p>
    <w:p>
      <w:pPr>
        <w:pStyle w:val="ListParagraph"/>
        <w:numPr>
          <w:ilvl w:val="0"/>
          <w:numId w:val="1"/>
        </w:numPr>
        <w:spacing w:after="80" w:line="280"/>
      </w:pPr>
      <w:r>
        <w:t xml:space="preserve">5. Manage notification preferences → on/off + frequency, not full channel management (that stays on web)</w:t>
      </w:r>
    </w:p>
    <w:p>
      <w:pPr>
        <w:pStyle w:val="Heading2"/>
        <w:spacing w:after="150" w:before="300"/>
      </w:pPr>
      <w:r>
        <w:rPr>
          <w:b/>
          <w:bCs/>
          <w:color w:val="2f6fb2"/>
        </w:rPr>
        <w:t xml:space="preserve">6.3 Session resilience rules</w:t>
      </w:r>
    </w:p>
    <w:p>
      <w:pPr>
        <w:pStyle w:val="ListParagraph"/>
        <w:numPr>
          <w:ilvl w:val="0"/>
          <w:numId w:val="1"/>
        </w:numPr>
        <w:spacing w:after="80" w:line="280"/>
      </w:pPr>
      <w:r>
        <w:t xml:space="preserve">Every multi-step flow is resumable: state is persisted server-side after each keypress, not held in session memory only, so a dropped session doesn't lose partial input.</w:t>
      </w:r>
    </w:p>
    <w:p>
      <w:pPr>
        <w:pStyle w:val="ListParagraph"/>
        <w:numPr>
          <w:ilvl w:val="0"/>
          <w:numId w:val="1"/>
        </w:numPr>
        <w:spacing w:after="80" w:line="280"/>
      </w:pPr>
      <w:r>
        <w:t xml:space="preserve">Timeout behavior is explicit and tested: a session that times out mid-flow saves progress and shows a clear “continue where you left off” entry point next time.</w:t>
      </w:r>
    </w:p>
    <w:p>
      <w:pPr>
        <w:pStyle w:val="ListParagraph"/>
        <w:numPr>
          <w:ilvl w:val="0"/>
          <w:numId w:val="1"/>
        </w:numPr>
        <w:spacing w:after="80" w:line="280"/>
      </w:pPr>
      <w:r>
        <w:t xml:space="preserve">Character budgets per screen are enforced at the content layer — opportunity summaries are truncated with a defined algorithm (not ad hoc), never silently cut mid-word.</w:t>
      </w:r>
    </w:p>
    <w:p>
      <w:pPr>
        <w:pStyle w:val="Heading2"/>
        <w:spacing w:after="150" w:before="300"/>
      </w:pPr>
      <w:r>
        <w:rPr>
          <w:b/>
          <w:bCs/>
          <w:color w:val="2f6fb2"/>
        </w:rPr>
        <w:t xml:space="preserve">6.4 Reliability target</w:t>
      </w:r>
    </w:p>
    <w:p>
      <w:pPr>
        <w:spacing w:after="160" w:line="300"/>
      </w:pPr>
      <w:r>
        <w:t xml:space="preserve">USSD session completion rate is tracked as its own SLO (§9.4), separate from cloud uptime, because it depends partly on telecom aggregator infrastructure outside OppScout's direct control.</w:t>
      </w:r>
    </w:p>
    <w:p>
      <w:pPr>
        <w:pBdr>
          <w:bottom w:val="single" w:color="cccccc" w:sz="6" w:space="1"/>
        </w:pBdr>
        <w:spacing w:after="300"/>
      </w:pPr>
    </w:p>
    <w:p>
      <w:pPr>
        <w:pStyle w:val="Heading1"/>
        <w:spacing w:after="200" w:before="400"/>
      </w:pPr>
      <w:r>
        <w:rPr>
          <w:b/>
          <w:bCs/>
          <w:color w:val="1f3a5f"/>
        </w:rPr>
        <w:t xml:space="preserve">7. Verification &amp; Trust Policy</w:t>
      </w:r>
    </w:p>
    <w:p>
      <w:pPr>
        <w:spacing w:after="200"/>
      </w:pPr>
      <w:r>
        <w:rPr>
          <w:b/>
          <w:bCs/>
          <w:color w:val="5a5a5a"/>
          <w:sz w:val="20"/>
          <w:szCs w:val="20"/>
        </w:rPr>
        <w:t xml:space="preserve">DOCUMENT: </w:t>
      </w:r>
      <w:r>
        <w:rPr>
          <w:b/>
          <w:bCs/>
          <w:color w:val="2f6fb2"/>
          <w:sz w:val="20"/>
          <w:szCs w:val="20"/>
        </w:rPr>
        <w:t xml:space="preserve">Verification &amp; Trust Policy</w:t>
      </w:r>
    </w:p>
    <w:p>
      <w:pPr>
        <w:spacing w:after="160" w:line="300"/>
      </w:pPr>
      <w:r>
        <w:t xml:space="preserve">Purpose: define precisely what “verified organization” and “verified opportunity” mean (§15 of source doc), since trust is a core product requirement, not an optional feature, for users who may be vulnerable to scams.</w:t>
      </w:r>
    </w:p>
    <w:p>
      <w:pPr>
        <w:pStyle w:val="Heading2"/>
        <w:spacing w:after="150" w:before="300"/>
      </w:pPr>
      <w:r>
        <w:rPr>
          <w:b/>
          <w:bCs/>
          <w:color w:val="2f6fb2"/>
        </w:rPr>
        <w:t xml:space="preserve">7.1 Organization verification</w:t>
      </w:r>
    </w:p>
    <w:p>
      <w:pPr>
        <w:pStyle w:val="ListParagraph"/>
        <w:numPr>
          <w:ilvl w:val="0"/>
          <w:numId w:val="1"/>
        </w:numPr>
        <w:spacing w:after="80" w:line="280"/>
      </w:pPr>
      <w:r>
        <w:t xml:space="preserve">Minimum bar: official domain/email match, registration or institutional proof (business registration, university affiliation, NGO registration), and a named accountable contact.</w:t>
      </w:r>
    </w:p>
    <w:p>
      <w:pPr>
        <w:pStyle w:val="ListParagraph"/>
        <w:numPr>
          <w:ilvl w:val="0"/>
          <w:numId w:val="1"/>
        </w:numPr>
        <w:spacing w:after="80" w:line="280"/>
      </w:pPr>
      <w:r>
        <w:t xml:space="preserve">Verification status is visible on every listing from that organization, not just on the org's own profile page.</w:t>
      </w:r>
    </w:p>
    <w:p>
      <w:pPr>
        <w:pStyle w:val="Heading2"/>
        <w:spacing w:after="150" w:before="300"/>
      </w:pPr>
      <w:r>
        <w:rPr>
          <w:b/>
          <w:bCs/>
          <w:color w:val="2f6fb2"/>
        </w:rPr>
        <w:t xml:space="preserve">7.2 Opportunity verification</w:t>
      </w:r>
    </w:p>
    <w:p>
      <w:pPr>
        <w:pStyle w:val="ListParagraph"/>
        <w:numPr>
          <w:ilvl w:val="0"/>
          <w:numId w:val="1"/>
        </w:numPr>
        <w:spacing w:after="80" w:line="280"/>
      </w:pPr>
      <w:r>
        <w:t xml:space="preserve">Every opportunity must link to an official source (application page or organization-owned channel) — no opportunity is published from an unverifiable third-hand source.</w:t>
      </w:r>
    </w:p>
    <w:p>
      <w:pPr>
        <w:pStyle w:val="ListParagraph"/>
        <w:numPr>
          <w:ilvl w:val="0"/>
          <w:numId w:val="1"/>
        </w:numPr>
        <w:spacing w:after="80" w:line="280"/>
      </w:pPr>
      <w:r>
        <w:t xml:space="preserve">Manual review checklist (Phase 1, human-run) before publishing: source authenticity, no requests for inappropriate payment or sensitive information, deadline plausibility, duplicate check against existing listings.</w:t>
      </w:r>
    </w:p>
    <w:p>
      <w:pPr>
        <w:pStyle w:val="ListParagraph"/>
        <w:numPr>
          <w:ilvl w:val="0"/>
          <w:numId w:val="1"/>
        </w:numPr>
        <w:spacing w:after="80" w:line="280"/>
      </w:pPr>
      <w:r>
        <w:t xml:space="preserve">Phase 3 adds semi-automated duplicate and suspicious-listing detection but does not remove the human review step for new, unverified organizations.</w:t>
      </w:r>
    </w:p>
    <w:p>
      <w:pPr>
        <w:pStyle w:val="Heading2"/>
        <w:spacing w:after="150" w:before="300"/>
      </w:pPr>
      <w:r>
        <w:rPr>
          <w:b/>
          <w:bCs/>
          <w:color w:val="2f6fb2"/>
        </w:rPr>
        <w:t xml:space="preserve">7.3 Warnings &amp; reporting</w:t>
      </w:r>
    </w:p>
    <w:p>
      <w:pPr>
        <w:pStyle w:val="ListParagraph"/>
        <w:numPr>
          <w:ilvl w:val="0"/>
          <w:numId w:val="1"/>
        </w:numPr>
        <w:spacing w:after="80" w:line="280"/>
      </w:pPr>
      <w:r>
        <w:t xml:space="preserve">Any listing requesting payment for application, or requesting sensitive personal/financial information beyond what a legitimate application needs, is auto-flagged and held pending review, not published.</w:t>
      </w:r>
    </w:p>
    <w:p>
      <w:pPr>
        <w:pStyle w:val="ListParagraph"/>
        <w:numPr>
          <w:ilvl w:val="0"/>
          <w:numId w:val="1"/>
        </w:numPr>
        <w:spacing w:after="80" w:line="280"/>
      </w:pPr>
      <w:r>
        <w:t xml:space="preserve">A reporting mechanism is available on every opportunity from Phase 1, routed to the same review queue as pre-publication checks.</w:t>
      </w:r>
    </w:p>
    <w:p>
      <w:pPr>
        <w:pStyle w:val="Heading2"/>
        <w:spacing w:after="150" w:before="300"/>
      </w:pPr>
      <w:r>
        <w:rPr>
          <w:b/>
          <w:bCs/>
          <w:color w:val="2f6fb2"/>
        </w:rPr>
        <w:t xml:space="preserve">7.4 Explainability of trust, not just matching</w:t>
      </w:r>
    </w:p>
    <w:p>
      <w:pPr>
        <w:spacing w:after="160" w:line="300"/>
      </w:pPr>
      <w:r>
        <w:t xml:space="preserve">Per §15 of the source doc, how matching recommendations are generated must be transparent to users. The trust policy extends this: verification status, source link, and publication date are always visible alongside a match, not hidden behind a detail page click.</w:t>
      </w:r>
    </w:p>
    <w:p>
      <w:pPr>
        <w:pBdr>
          <w:bottom w:val="single" w:color="cccccc" w:sz="6" w:space="1"/>
        </w:pBdr>
        <w:spacing w:after="300"/>
      </w:pPr>
    </w:p>
    <w:p>
      <w:pPr>
        <w:pStyle w:val="Heading1"/>
        <w:spacing w:after="200" w:before="400"/>
      </w:pPr>
      <w:r>
        <w:rPr>
          <w:b/>
          <w:bCs/>
          <w:color w:val="1f3a5f"/>
        </w:rPr>
        <w:t xml:space="preserve">8. Data Ingestion &amp; Freshness Policy</w:t>
      </w:r>
    </w:p>
    <w:p>
      <w:pPr>
        <w:spacing w:after="200"/>
      </w:pPr>
      <w:r>
        <w:rPr>
          <w:b/>
          <w:bCs/>
          <w:color w:val="5a5a5a"/>
          <w:sz w:val="20"/>
          <w:szCs w:val="20"/>
        </w:rPr>
        <w:t xml:space="preserve">DOCUMENT: </w:t>
      </w:r>
      <w:r>
        <w:rPr>
          <w:b/>
          <w:bCs/>
          <w:color w:val="2f6fb2"/>
          <w:sz w:val="20"/>
          <w:szCs w:val="20"/>
        </w:rPr>
        <w:t xml:space="preserve">Data Ingestion &amp; Freshness Policy</w:t>
      </w:r>
    </w:p>
    <w:p>
      <w:pPr>
        <w:spacing w:after="160" w:line="300"/>
      </w:pPr>
      <w:r>
        <w:t xml:space="preserve">Purpose: this is the single highest operational risk in the product (see architecture discussion in §1) — match quality is capped by data quality, and data quality degrades continuously unless actively maintained.</w:t>
      </w:r>
    </w:p>
    <w:p>
      <w:pPr>
        <w:pStyle w:val="Heading2"/>
        <w:spacing w:after="150" w:before="300"/>
      </w:pPr>
      <w:r>
        <w:rPr>
          <w:b/>
          <w:bCs/>
          <w:color w:val="2f6fb2"/>
        </w:rPr>
        <w:t xml:space="preserve">8.1 Source hierarchy</w:t>
      </w:r>
    </w:p>
    <w:p>
      <w:pPr>
        <w:pStyle w:val="ListParagraph"/>
        <w:numPr>
          <w:ilvl w:val="0"/>
          <w:numId w:val="1"/>
        </w:numPr>
        <w:spacing w:after="80" w:line="280"/>
      </w:pPr>
      <w:r>
        <w:t xml:space="preserve">Priority 1: Direct organization submission via provider dashboard (§14) — highest trust, lowest maintenance burden.</w:t>
      </w:r>
    </w:p>
    <w:p>
      <w:pPr>
        <w:pStyle w:val="ListParagraph"/>
        <w:numPr>
          <w:ilvl w:val="0"/>
          <w:numId w:val="1"/>
        </w:numPr>
        <w:spacing w:after="80" w:line="280"/>
      </w:pPr>
      <w:r>
        <w:t xml:space="preserve">Priority 2: Official partner feeds/APIs (§10) where available — structured, so lowest transformation risk.</w:t>
      </w:r>
    </w:p>
    <w:p>
      <w:pPr>
        <w:pStyle w:val="ListParagraph"/>
        <w:numPr>
          <w:ilvl w:val="0"/>
          <w:numId w:val="1"/>
        </w:numPr>
        <w:spacing w:after="80" w:line="280"/>
      </w:pPr>
      <w:r>
        <w:t xml:space="preserve">Priority 3: Approved automated discovery (scraping), Phase 3 onward, run in shadow mode against known-good manual data before any scraped listing goes live unverified.</w:t>
      </w:r>
    </w:p>
    <w:p>
      <w:pPr>
        <w:pStyle w:val="Heading2"/>
        <w:spacing w:after="150" w:before="300"/>
      </w:pPr>
      <w:r>
        <w:rPr>
          <w:b/>
          <w:bCs/>
          <w:color w:val="2f6fb2"/>
        </w:rPr>
        <w:t xml:space="preserve">8.2 Staleness rules</w:t>
      </w:r>
    </w:p>
    <w:p>
      <w:pPr>
        <w:pStyle w:val="ListParagraph"/>
        <w:numPr>
          <w:ilvl w:val="0"/>
          <w:numId w:val="1"/>
        </w:numPr>
        <w:spacing w:after="80" w:line="280"/>
      </w:pPr>
      <w:r>
        <w:t xml:space="preserve">Every opportunity has a checked_at timestamp; listings not re-verified within a defined window (e.g. 14 days for scraped sources, 30 days for org-submitted) are auto-flagged closing_soon-uncertain rather than silently shown as open.</w:t>
      </w:r>
    </w:p>
    <w:p>
      <w:pPr>
        <w:pStyle w:val="ListParagraph"/>
        <w:numPr>
          <w:ilvl w:val="0"/>
          <w:numId w:val="1"/>
        </w:numPr>
        <w:spacing w:after="80" w:line="280"/>
      </w:pPr>
      <w:r>
        <w:t xml:space="preserve">Deadline-passed listings are auto-transitioned to closed — never left in the active feed by omission.</w:t>
      </w:r>
    </w:p>
    <w:p>
      <w:pPr>
        <w:pStyle w:val="Heading2"/>
        <w:spacing w:after="150" w:before="300"/>
      </w:pPr>
      <w:r>
        <w:rPr>
          <w:b/>
          <w:bCs/>
          <w:color w:val="2f6fb2"/>
        </w:rPr>
        <w:t xml:space="preserve">8.3 Deduplication</w:t>
      </w:r>
    </w:p>
    <w:p>
      <w:pPr>
        <w:pStyle w:val="ListParagraph"/>
        <w:numPr>
          <w:ilvl w:val="0"/>
          <w:numId w:val="1"/>
        </w:numPr>
        <w:spacing w:after="80" w:line="280"/>
      </w:pPr>
      <w:r>
        <w:t xml:space="preserve">Canonical matching on (organization, title, deadline window) with fuzzy title matching; duplicates are merged with the most authoritative source (org-submitted beats scraped) taking precedence for displayed fields.</w:t>
      </w:r>
    </w:p>
    <w:p>
      <w:pPr>
        <w:pStyle w:val="Heading2"/>
        <w:spacing w:after="150" w:before="300"/>
      </w:pPr>
      <w:r>
        <w:rPr>
          <w:b/>
          <w:bCs/>
          <w:color w:val="2f6fb2"/>
        </w:rPr>
        <w:t xml:space="preserve">8.4 Why scraping is sequenced late, not cut</w:t>
      </w:r>
    </w:p>
    <w:p>
      <w:pPr>
        <w:spacing w:after="160" w:line="300"/>
      </w:pPr>
      <w:r>
        <w:t xml:space="preserve">Automated discovery is explicitly retained as an end-state capability (§10 of source doc, §1.4 Phase 3 here) but is not built until the manual/org-submission pipeline has proven the schema, verification workflow, and freshness rules against real data. Building scraping first would mean debugging data quality and matching quality problems simultaneously — this sequencing is what protects the 99% data-freshness target, not a scope reduction.</w:t>
      </w:r>
    </w:p>
    <w:p>
      <w:pPr>
        <w:pBdr>
          <w:bottom w:val="single" w:color="cccccc" w:sz="6" w:space="1"/>
        </w:pBdr>
        <w:spacing w:after="300"/>
      </w:pPr>
    </w:p>
    <w:p>
      <w:pPr>
        <w:pStyle w:val="Heading1"/>
        <w:spacing w:after="200" w:before="400"/>
      </w:pPr>
      <w:r>
        <w:rPr>
          <w:b/>
          <w:bCs/>
          <w:color w:val="1f3a5f"/>
        </w:rPr>
        <w:t xml:space="preserve">9. SLO / Reliability Specification</w:t>
      </w:r>
    </w:p>
    <w:p>
      <w:pPr>
        <w:spacing w:after="200"/>
      </w:pPr>
      <w:r>
        <w:rPr>
          <w:b/>
          <w:bCs/>
          <w:color w:val="5a5a5a"/>
          <w:sz w:val="20"/>
          <w:szCs w:val="20"/>
        </w:rPr>
        <w:t xml:space="preserve">DOCUMENT: </w:t>
      </w:r>
      <w:r>
        <w:rPr>
          <w:b/>
          <w:bCs/>
          <w:color w:val="2f6fb2"/>
          <w:sz w:val="20"/>
          <w:szCs w:val="20"/>
        </w:rPr>
        <w:t xml:space="preserve">SLO / Reliability Specification</w:t>
      </w:r>
    </w:p>
    <w:p>
      <w:pPr>
        <w:spacing w:after="160" w:line="300"/>
      </w:pPr>
      <w:r>
        <w:t xml:space="preserve">Purpose: replace a single “99% efficiency” target with per-subsystem numbers that can actually be measured, alerted on, and held to — because different subsystems have fundamentally different achievable ceilings.</w:t>
      </w:r>
    </w:p>
    <w:p>
      <w:pPr>
        <w:pStyle w:val="Heading2"/>
        <w:spacing w:after="150" w:before="300"/>
      </w:pPr>
      <w:r>
        <w:rPr>
          <w:b/>
          <w:bCs/>
          <w:color w:val="2f6fb2"/>
        </w:rPr>
        <w:t xml:space="preserve">9.1 Per-subsystem targets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000"/>
        <w:gridCol w:w="1900"/>
      </w:tblGrid>
      <w:tr>
        <w:trPr>
          <w:tblHeader/>
        </w:trPr>
        <w:tc>
          <w:tcPr>
            <w:tcW w:type="dxa" w:w="2300"/>
            <w:shd w:fill="1f3a5f" w:color="auto" w:val="clear"/>
            <w:tcMar>
              <w:top w:type="dxa" w:w="80"/>
              <w:left w:type="dxa" w:w="100"/>
              <w:bottom w:type="dxa" w:w="80"/>
              <w:right w:type="dxa" w:w="100"/>
            </w:tcMar>
          </w:tcPr>
          <w:p>
            <w:pPr>
              <w:jc w:val="left"/>
            </w:pPr>
            <w:r>
              <w:rPr>
                <w:b/>
                <w:bCs/>
                <w:color w:val="FFFFFF"/>
                <w:sz w:val="19"/>
                <w:szCs w:val="19"/>
              </w:rPr>
              <w:t xml:space="preserve">Subsystem</w:t>
            </w:r>
          </w:p>
        </w:tc>
        <w:tc>
          <w:tcPr>
            <w:tcW w:type="dxa" w:w="2600"/>
            <w:shd w:fill="1f3a5f" w:color="auto" w:val="clear"/>
            <w:tcMar>
              <w:top w:type="dxa" w:w="80"/>
              <w:left w:type="dxa" w:w="100"/>
              <w:bottom w:type="dxa" w:w="80"/>
              <w:right w:type="dxa" w:w="100"/>
            </w:tcMar>
          </w:tcPr>
          <w:p>
            <w:pPr>
              <w:jc w:val="left"/>
            </w:pPr>
            <w:r>
              <w:rPr>
                <w:b/>
                <w:bCs/>
                <w:color w:val="FFFFFF"/>
                <w:sz w:val="19"/>
                <w:szCs w:val="19"/>
              </w:rPr>
              <w:t xml:space="preserve">Metric</w:t>
            </w:r>
          </w:p>
        </w:tc>
        <w:tc>
          <w:tcPr>
            <w:tcW w:type="dxa" w:w="2000"/>
            <w:shd w:fill="1f3a5f" w:color="auto" w:val="clear"/>
            <w:tcMar>
              <w:top w:type="dxa" w:w="80"/>
              <w:left w:type="dxa" w:w="100"/>
              <w:bottom w:type="dxa" w:w="80"/>
              <w:right w:type="dxa" w:w="100"/>
            </w:tcMar>
          </w:tcPr>
          <w:p>
            <w:pPr>
              <w:jc w:val="left"/>
            </w:pPr>
            <w:r>
              <w:rPr>
                <w:b/>
                <w:bCs/>
                <w:color w:val="FFFFFF"/>
                <w:sz w:val="19"/>
                <w:szCs w:val="19"/>
              </w:rPr>
              <w:t xml:space="preserve">Target</w:t>
            </w:r>
          </w:p>
        </w:tc>
        <w:tc>
          <w:tcPr>
            <w:tcW w:type="dxa" w:w="1900"/>
            <w:shd w:fill="1f3a5f" w:color="auto" w:val="clear"/>
            <w:tcMar>
              <w:top w:type="dxa" w:w="80"/>
              <w:left w:type="dxa" w:w="100"/>
              <w:bottom w:type="dxa" w:w="80"/>
              <w:right w:type="dxa" w:w="100"/>
            </w:tcMar>
          </w:tcPr>
          <w:p>
            <w:pPr>
              <w:jc w:val="left"/>
            </w:pPr>
            <w:r>
              <w:rPr>
                <w:b/>
                <w:bCs/>
                <w:color w:val="FFFFFF"/>
                <w:sz w:val="19"/>
                <w:szCs w:val="19"/>
              </w:rPr>
              <w:t xml:space="preserve">Why this ceiling</w:t>
            </w:r>
          </w:p>
        </w:tc>
      </w:tr>
      <w:tr>
        <w:tc>
          <w:tcPr>
            <w:tcW w:type="dxa" w:w="2300"/>
            <w:shd w:fill="FFFFFF" w:color="auto" w:val="clear"/>
            <w:tcMar>
              <w:top w:type="dxa" w:w="80"/>
              <w:left w:type="dxa" w:w="100"/>
              <w:bottom w:type="dxa" w:w="80"/>
              <w:right w:type="dxa" w:w="100"/>
            </w:tcMar>
          </w:tcPr>
          <w:p>
            <w:pPr>
              <w:jc w:val="left"/>
            </w:pPr>
            <w:r>
              <w:rPr>
                <w:b w:val="false"/>
                <w:bCs w:val="false"/>
                <w:color w:val="1a1a1a"/>
                <w:sz w:val="19"/>
                <w:szCs w:val="19"/>
              </w:rPr>
              <w:t xml:space="preserve">Core API (web, dashboard)</w:t>
            </w:r>
          </w:p>
        </w:tc>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Uptime</w:t>
            </w:r>
          </w:p>
        </w:tc>
        <w:tc>
          <w:tcPr>
            <w:tcW w:type="dxa" w:w="2000"/>
            <w:shd w:fill="FFFFFF" w:color="auto" w:val="clear"/>
            <w:tcMar>
              <w:top w:type="dxa" w:w="80"/>
              <w:left w:type="dxa" w:w="100"/>
              <w:bottom w:type="dxa" w:w="80"/>
              <w:right w:type="dxa" w:w="100"/>
            </w:tcMar>
          </w:tcPr>
          <w:p>
            <w:pPr>
              <w:jc w:val="left"/>
            </w:pPr>
            <w:r>
              <w:rPr>
                <w:b w:val="false"/>
                <w:bCs w:val="false"/>
                <w:color w:val="1a1a1a"/>
                <w:sz w:val="19"/>
                <w:szCs w:val="19"/>
              </w:rPr>
              <w:t xml:space="preserve">99.9%</w:t>
            </w:r>
          </w:p>
        </w:tc>
        <w:tc>
          <w:tcPr>
            <w:tcW w:type="dxa" w:w="1900"/>
            <w:shd w:fill="FFFFFF" w:color="auto" w:val="clear"/>
            <w:tcMar>
              <w:top w:type="dxa" w:w="80"/>
              <w:left w:type="dxa" w:w="100"/>
              <w:bottom w:type="dxa" w:w="80"/>
              <w:right w:type="dxa" w:w="100"/>
            </w:tcMar>
          </w:tcPr>
          <w:p>
            <w:pPr>
              <w:jc w:val="left"/>
            </w:pPr>
            <w:r>
              <w:rPr>
                <w:b w:val="false"/>
                <w:bCs w:val="false"/>
                <w:color w:val="1a1a1a"/>
                <w:sz w:val="19"/>
                <w:szCs w:val="19"/>
              </w:rPr>
              <w:t xml:space="preserve">Fully within OppScout's own infra control</w:t>
            </w:r>
          </w:p>
        </w:tc>
      </w:tr>
      <w:tr>
        <w:tc>
          <w:tcPr>
            <w:tcW w:type="dxa" w:w="2300"/>
            <w:shd w:fill="F5F8FC" w:color="auto" w:val="clear"/>
            <w:tcMar>
              <w:top w:type="dxa" w:w="80"/>
              <w:left w:type="dxa" w:w="100"/>
              <w:bottom w:type="dxa" w:w="80"/>
              <w:right w:type="dxa" w:w="100"/>
            </w:tcMar>
          </w:tcPr>
          <w:p>
            <w:pPr>
              <w:jc w:val="left"/>
            </w:pPr>
            <w:r>
              <w:rPr>
                <w:b w:val="false"/>
                <w:bCs w:val="false"/>
                <w:color w:val="1a1a1a"/>
                <w:sz w:val="19"/>
                <w:szCs w:val="19"/>
              </w:rPr>
              <w:t xml:space="preserve">Notification delivery (email/SMS)</w:t>
            </w:r>
          </w:p>
        </w:tc>
        <w:tc>
          <w:tcPr>
            <w:tcW w:type="dxa" w:w="2600"/>
            <w:shd w:fill="F5F8FC" w:color="auto" w:val="clear"/>
            <w:tcMar>
              <w:top w:type="dxa" w:w="80"/>
              <w:left w:type="dxa" w:w="100"/>
              <w:bottom w:type="dxa" w:w="80"/>
              <w:right w:type="dxa" w:w="100"/>
            </w:tcMar>
          </w:tcPr>
          <w:p>
            <w:pPr>
              <w:jc w:val="left"/>
            </w:pPr>
            <w:r>
              <w:rPr>
                <w:b w:val="false"/>
                <w:bCs w:val="false"/>
                <w:color w:val="1a1a1a"/>
                <w:sz w:val="19"/>
                <w:szCs w:val="19"/>
              </w:rPr>
              <w:t xml:space="preserve">Successful delivery rate</w:t>
            </w:r>
          </w:p>
        </w:tc>
        <w:tc>
          <w:tcPr>
            <w:tcW w:type="dxa" w:w="2000"/>
            <w:shd w:fill="F5F8FC" w:color="auto" w:val="clear"/>
            <w:tcMar>
              <w:top w:type="dxa" w:w="80"/>
              <w:left w:type="dxa" w:w="100"/>
              <w:bottom w:type="dxa" w:w="80"/>
              <w:right w:type="dxa" w:w="100"/>
            </w:tcMar>
          </w:tcPr>
          <w:p>
            <w:pPr>
              <w:jc w:val="left"/>
            </w:pPr>
            <w:r>
              <w:rPr>
                <w:b w:val="false"/>
                <w:bCs w:val="false"/>
                <w:color w:val="1a1a1a"/>
                <w:sz w:val="19"/>
                <w:szCs w:val="19"/>
              </w:rPr>
              <w:t xml:space="preserve">99%</w:t>
            </w:r>
          </w:p>
        </w:tc>
        <w:tc>
          <w:tcPr>
            <w:tcW w:type="dxa" w:w="1900"/>
            <w:shd w:fill="F5F8FC" w:color="auto" w:val="clear"/>
            <w:tcMar>
              <w:top w:type="dxa" w:w="80"/>
              <w:left w:type="dxa" w:w="100"/>
              <w:bottom w:type="dxa" w:w="80"/>
              <w:right w:type="dxa" w:w="100"/>
            </w:tcMar>
          </w:tcPr>
          <w:p>
            <w:pPr>
              <w:jc w:val="left"/>
            </w:pPr>
            <w:r>
              <w:rPr>
                <w:b w:val="false"/>
                <w:bCs w:val="false"/>
                <w:color w:val="1a1a1a"/>
                <w:sz w:val="19"/>
                <w:szCs w:val="19"/>
              </w:rPr>
              <w:t xml:space="preserve">Mostly infra-dependent; provider SLAs support this</w:t>
            </w:r>
          </w:p>
        </w:tc>
      </w:tr>
      <w:tr>
        <w:tc>
          <w:tcPr>
            <w:tcW w:type="dxa" w:w="2300"/>
            <w:shd w:fill="FFFFFF" w:color="auto" w:val="clear"/>
            <w:tcMar>
              <w:top w:type="dxa" w:w="80"/>
              <w:left w:type="dxa" w:w="100"/>
              <w:bottom w:type="dxa" w:w="80"/>
              <w:right w:type="dxa" w:w="100"/>
            </w:tcMar>
          </w:tcPr>
          <w:p>
            <w:pPr>
              <w:jc w:val="left"/>
            </w:pPr>
            <w:r>
              <w:rPr>
                <w:b w:val="false"/>
                <w:bCs w:val="false"/>
                <w:color w:val="1a1a1a"/>
                <w:sz w:val="19"/>
                <w:szCs w:val="19"/>
              </w:rPr>
              <w:t xml:space="preserve">Data freshness</w:t>
            </w:r>
          </w:p>
        </w:tc>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 listings correctly open/closed/stale</w:t>
            </w:r>
          </w:p>
        </w:tc>
        <w:tc>
          <w:tcPr>
            <w:tcW w:type="dxa" w:w="2000"/>
            <w:shd w:fill="FFFFFF" w:color="auto" w:val="clear"/>
            <w:tcMar>
              <w:top w:type="dxa" w:w="80"/>
              <w:left w:type="dxa" w:w="100"/>
              <w:bottom w:type="dxa" w:w="80"/>
              <w:right w:type="dxa" w:w="100"/>
            </w:tcMar>
          </w:tcPr>
          <w:p>
            <w:pPr>
              <w:jc w:val="left"/>
            </w:pPr>
            <w:r>
              <w:rPr>
                <w:b w:val="false"/>
                <w:bCs w:val="false"/>
                <w:color w:val="1a1a1a"/>
                <w:sz w:val="19"/>
                <w:szCs w:val="19"/>
              </w:rPr>
              <w:t xml:space="preserve">99%</w:t>
            </w:r>
          </w:p>
        </w:tc>
        <w:tc>
          <w:tcPr>
            <w:tcW w:type="dxa" w:w="1900"/>
            <w:shd w:fill="FFFFFF" w:color="auto" w:val="clear"/>
            <w:tcMar>
              <w:top w:type="dxa" w:w="80"/>
              <w:left w:type="dxa" w:w="100"/>
              <w:bottom w:type="dxa" w:w="80"/>
              <w:right w:type="dxa" w:w="100"/>
            </w:tcMar>
          </w:tcPr>
          <w:p>
            <w:pPr>
              <w:jc w:val="left"/>
            </w:pPr>
            <w:r>
              <w:rPr>
                <w:b w:val="false"/>
                <w:bCs w:val="false"/>
                <w:color w:val="1a1a1a"/>
                <w:sz w:val="19"/>
                <w:szCs w:val="19"/>
              </w:rPr>
              <w:t xml:space="preserve">Requires active ingestion discipline (§8), not just uptime</w:t>
            </w:r>
          </w:p>
        </w:tc>
      </w:tr>
      <w:tr>
        <w:tc>
          <w:tcPr>
            <w:tcW w:type="dxa" w:w="2300"/>
            <w:shd w:fill="F5F8FC" w:color="auto" w:val="clear"/>
            <w:tcMar>
              <w:top w:type="dxa" w:w="80"/>
              <w:left w:type="dxa" w:w="100"/>
              <w:bottom w:type="dxa" w:w="80"/>
              <w:right w:type="dxa" w:w="100"/>
            </w:tcMar>
          </w:tcPr>
          <w:p>
            <w:pPr>
              <w:jc w:val="left"/>
            </w:pPr>
            <w:r>
              <w:rPr>
                <w:b w:val="false"/>
                <w:bCs w:val="false"/>
                <w:color w:val="1a1a1a"/>
                <w:sz w:val="19"/>
                <w:szCs w:val="19"/>
              </w:rPr>
              <w:t xml:space="preserve">Match relevance</w:t>
            </w:r>
          </w:p>
        </w:tc>
        <w:tc>
          <w:tcPr>
            <w:tcW w:type="dxa" w:w="2600"/>
            <w:shd w:fill="F5F8FC" w:color="auto" w:val="clear"/>
            <w:tcMar>
              <w:top w:type="dxa" w:w="80"/>
              <w:left w:type="dxa" w:w="100"/>
              <w:bottom w:type="dxa" w:w="80"/>
              <w:right w:type="dxa" w:w="100"/>
            </w:tcMar>
          </w:tcPr>
          <w:p>
            <w:pPr>
              <w:jc w:val="left"/>
            </w:pPr>
            <w:r>
              <w:rPr>
                <w:b w:val="false"/>
                <w:bCs w:val="false"/>
                <w:color w:val="1a1a1a"/>
                <w:sz w:val="19"/>
                <w:szCs w:val="19"/>
              </w:rPr>
              <w:t xml:space="preserve">% top-3 matches user engages with (view/save/click)</w:t>
            </w:r>
          </w:p>
        </w:tc>
        <w:tc>
          <w:tcPr>
            <w:tcW w:type="dxa" w:w="2000"/>
            <w:shd w:fill="F5F8FC" w:color="auto" w:val="clear"/>
            <w:tcMar>
              <w:top w:type="dxa" w:w="80"/>
              <w:left w:type="dxa" w:w="100"/>
              <w:bottom w:type="dxa" w:w="80"/>
              <w:right w:type="dxa" w:w="100"/>
            </w:tcMar>
          </w:tcPr>
          <w:p>
            <w:pPr>
              <w:jc w:val="left"/>
            </w:pPr>
            <w:r>
              <w:rPr>
                <w:b w:val="false"/>
                <w:bCs w:val="false"/>
                <w:color w:val="1a1a1a"/>
                <w:sz w:val="19"/>
                <w:szCs w:val="19"/>
              </w:rPr>
              <w:t xml:space="preserve">Track &amp; improve — no fixed target Phase 1</w:t>
            </w:r>
          </w:p>
        </w:tc>
        <w:tc>
          <w:tcPr>
            <w:tcW w:type="dxa" w:w="1900"/>
            <w:shd w:fill="F5F8FC" w:color="auto" w:val="clear"/>
            <w:tcMar>
              <w:top w:type="dxa" w:w="80"/>
              <w:left w:type="dxa" w:w="100"/>
              <w:bottom w:type="dxa" w:w="80"/>
              <w:right w:type="dxa" w:w="100"/>
            </w:tcMar>
          </w:tcPr>
          <w:p>
            <w:pPr>
              <w:jc w:val="left"/>
            </w:pPr>
            <w:r>
              <w:rPr>
                <w:b w:val="false"/>
                <w:bCs w:val="false"/>
                <w:color w:val="1a1a1a"/>
                <w:sz w:val="19"/>
                <w:szCs w:val="19"/>
              </w:rPr>
              <w:t xml:space="preserve">Behavioral metric, not an infra metric; baseline first</w:t>
            </w:r>
          </w:p>
        </w:tc>
      </w:tr>
      <w:tr>
        <w:tc>
          <w:tcPr>
            <w:tcW w:type="dxa" w:w="2300"/>
            <w:shd w:fill="FFFFFF" w:color="auto" w:val="clear"/>
            <w:tcMar>
              <w:top w:type="dxa" w:w="80"/>
              <w:left w:type="dxa" w:w="100"/>
              <w:bottom w:type="dxa" w:w="80"/>
              <w:right w:type="dxa" w:w="100"/>
            </w:tcMar>
          </w:tcPr>
          <w:p>
            <w:pPr>
              <w:jc w:val="left"/>
            </w:pPr>
            <w:r>
              <w:rPr>
                <w:b w:val="false"/>
                <w:bCs w:val="false"/>
                <w:color w:val="1a1a1a"/>
                <w:sz w:val="19"/>
                <w:szCs w:val="19"/>
              </w:rPr>
              <w:t xml:space="preserve">USSD session completion</w:t>
            </w:r>
          </w:p>
        </w:tc>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 sessions completed without drop/timeout failure</w:t>
            </w:r>
          </w:p>
        </w:tc>
        <w:tc>
          <w:tcPr>
            <w:tcW w:type="dxa" w:w="2000"/>
            <w:shd w:fill="FFFFFF" w:color="auto" w:val="clear"/>
            <w:tcMar>
              <w:top w:type="dxa" w:w="80"/>
              <w:left w:type="dxa" w:w="100"/>
              <w:bottom w:type="dxa" w:w="80"/>
              <w:right w:type="dxa" w:w="100"/>
            </w:tcMar>
          </w:tcPr>
          <w:p>
            <w:pPr>
              <w:jc w:val="left"/>
            </w:pPr>
            <w:r>
              <w:rPr>
                <w:b w:val="false"/>
                <w:bCs w:val="false"/>
                <w:color w:val="1a1a1a"/>
                <w:sz w:val="19"/>
                <w:szCs w:val="19"/>
              </w:rPr>
              <w:t xml:space="preserve">95–97%</w:t>
            </w:r>
          </w:p>
        </w:tc>
        <w:tc>
          <w:tcPr>
            <w:tcW w:type="dxa" w:w="1900"/>
            <w:shd w:fill="FFFFFF" w:color="auto" w:val="clear"/>
            <w:tcMar>
              <w:top w:type="dxa" w:w="80"/>
              <w:left w:type="dxa" w:w="100"/>
              <w:bottom w:type="dxa" w:w="80"/>
              <w:right w:type="dxa" w:w="100"/>
            </w:tcMar>
          </w:tcPr>
          <w:p>
            <w:pPr>
              <w:jc w:val="left"/>
            </w:pPr>
            <w:r>
              <w:rPr>
                <w:b w:val="false"/>
                <w:bCs w:val="false"/>
                <w:color w:val="1a1a1a"/>
                <w:sz w:val="19"/>
                <w:szCs w:val="19"/>
              </w:rPr>
              <w:t xml:space="preserve">Partially dependent on telecom aggregator, outside direct control</w:t>
            </w:r>
          </w:p>
        </w:tc>
      </w:tr>
      <w:tr>
        <w:tc>
          <w:tcPr>
            <w:tcW w:type="dxa" w:w="2300"/>
            <w:shd w:fill="F5F8FC" w:color="auto" w:val="clear"/>
            <w:tcMar>
              <w:top w:type="dxa" w:w="80"/>
              <w:left w:type="dxa" w:w="100"/>
              <w:bottom w:type="dxa" w:w="80"/>
              <w:right w:type="dxa" w:w="100"/>
            </w:tcMar>
          </w:tcPr>
          <w:p>
            <w:pPr>
              <w:jc w:val="left"/>
            </w:pPr>
            <w:r>
              <w:rPr>
                <w:b w:val="false"/>
                <w:bCs w:val="false"/>
                <w:color w:val="1a1a1a"/>
                <w:sz w:val="19"/>
                <w:szCs w:val="19"/>
              </w:rPr>
              <w:t xml:space="preserve">Trust/verification turnaround</w:t>
            </w:r>
          </w:p>
        </w:tc>
        <w:tc>
          <w:tcPr>
            <w:tcW w:type="dxa" w:w="2600"/>
            <w:shd w:fill="F5F8FC" w:color="auto" w:val="clear"/>
            <w:tcMar>
              <w:top w:type="dxa" w:w="80"/>
              <w:left w:type="dxa" w:w="100"/>
              <w:bottom w:type="dxa" w:w="80"/>
              <w:right w:type="dxa" w:w="100"/>
            </w:tcMar>
          </w:tcPr>
          <w:p>
            <w:pPr>
              <w:jc w:val="left"/>
            </w:pPr>
            <w:r>
              <w:rPr>
                <w:b w:val="false"/>
                <w:bCs w:val="false"/>
                <w:color w:val="1a1a1a"/>
                <w:sz w:val="19"/>
                <w:szCs w:val="19"/>
              </w:rPr>
              <w:t xml:space="preserve">Time from submission to review decision</w:t>
            </w:r>
          </w:p>
        </w:tc>
        <w:tc>
          <w:tcPr>
            <w:tcW w:type="dxa" w:w="2000"/>
            <w:shd w:fill="F5F8FC" w:color="auto" w:val="clear"/>
            <w:tcMar>
              <w:top w:type="dxa" w:w="80"/>
              <w:left w:type="dxa" w:w="100"/>
              <w:bottom w:type="dxa" w:w="80"/>
              <w:right w:type="dxa" w:w="100"/>
            </w:tcMar>
          </w:tcPr>
          <w:p>
            <w:pPr>
              <w:jc w:val="left"/>
            </w:pPr>
            <w:r>
              <w:rPr>
                <w:b w:val="false"/>
                <w:bCs w:val="false"/>
                <w:color w:val="1a1a1a"/>
                <w:sz w:val="19"/>
                <w:szCs w:val="19"/>
              </w:rPr>
              <w:t xml:space="preserve">&lt; 48 hours (manual, Phase 1)</w:t>
            </w:r>
          </w:p>
        </w:tc>
        <w:tc>
          <w:tcPr>
            <w:tcW w:type="dxa" w:w="1900"/>
            <w:shd w:fill="F5F8FC" w:color="auto" w:val="clear"/>
            <w:tcMar>
              <w:top w:type="dxa" w:w="80"/>
              <w:left w:type="dxa" w:w="100"/>
              <w:bottom w:type="dxa" w:w="80"/>
              <w:right w:type="dxa" w:w="100"/>
            </w:tcMar>
          </w:tcPr>
          <w:p>
            <w:pPr>
              <w:jc w:val="left"/>
            </w:pPr>
            <w:r>
              <w:rPr>
                <w:b w:val="false"/>
                <w:bCs w:val="false"/>
                <w:color w:val="1a1a1a"/>
                <w:sz w:val="19"/>
                <w:szCs w:val="19"/>
              </w:rPr>
              <w:t xml:space="preserve">Human-review-bound until Phase 3 automation</w:t>
            </w:r>
          </w:p>
        </w:tc>
      </w:tr>
    </w:tbl>
    <w:p>
      <w:pPr>
        <w:pStyle w:val="Heading2"/>
        <w:spacing w:after="150" w:before="300"/>
      </w:pPr>
      <w:r>
        <w:rPr>
          <w:b/>
          <w:bCs/>
          <w:color w:val="2f6fb2"/>
        </w:rPr>
        <w:t xml:space="preserve">9.2 Measurement discipline</w:t>
      </w:r>
    </w:p>
    <w:p>
      <w:pPr>
        <w:pStyle w:val="ListParagraph"/>
        <w:numPr>
          <w:ilvl w:val="0"/>
          <w:numId w:val="1"/>
        </w:numPr>
        <w:spacing w:after="80" w:line="280"/>
      </w:pPr>
      <w:r>
        <w:t xml:space="preserve">Every target above has an owning subsystem and an alert threshold set below the target, so degradation is caught before it becomes a user-visible failure.</w:t>
      </w:r>
    </w:p>
    <w:p>
      <w:pPr>
        <w:pStyle w:val="ListParagraph"/>
        <w:numPr>
          <w:ilvl w:val="0"/>
          <w:numId w:val="1"/>
        </w:numPr>
        <w:spacing w:after="80" w:line="280"/>
      </w:pPr>
      <w:r>
        <w:t xml:space="preserve">USSD completion rate is never blended into overall platform uptime reporting — doing so would hide a telecom-side problem inside a number that looks like an OppScout infra problem, or vice versa.</w:t>
      </w:r>
    </w:p>
    <w:p>
      <w:pPr>
        <w:pStyle w:val="Heading2"/>
        <w:spacing w:after="150" w:before="300"/>
      </w:pPr>
      <w:r>
        <w:rPr>
          <w:b/>
          <w:bCs/>
          <w:color w:val="2f6fb2"/>
        </w:rPr>
        <w:t xml:space="preserve">9.3 Regression protection</w:t>
      </w:r>
    </w:p>
    <w:p>
      <w:pPr>
        <w:spacing w:after="160" w:line="300"/>
      </w:pPr>
      <w:r>
        <w:t xml:space="preserve">Per the phased rollout discipline in §12, every feature ships behind a flag and is checked against this SLO dashboard pre-rollout. A change that would degrade any metric above is blocked from full release, which is the mechanical enforcement behind “only improvement, never decline.”</w:t>
      </w:r>
    </w:p>
    <w:p>
      <w:pPr>
        <w:pBdr>
          <w:bottom w:val="single" w:color="cccccc" w:sz="6" w:space="1"/>
        </w:pBdr>
        <w:spacing w:after="300"/>
      </w:pPr>
    </w:p>
    <w:p>
      <w:pPr>
        <w:pStyle w:val="Heading1"/>
        <w:spacing w:after="200" w:before="400"/>
      </w:pPr>
      <w:r>
        <w:rPr>
          <w:b/>
          <w:bCs/>
          <w:color w:val="1f3a5f"/>
        </w:rPr>
        <w:t xml:space="preserve">10. Security &amp; Privacy Specification</w:t>
      </w:r>
    </w:p>
    <w:p>
      <w:pPr>
        <w:spacing w:after="200"/>
      </w:pPr>
      <w:r>
        <w:rPr>
          <w:b/>
          <w:bCs/>
          <w:color w:val="5a5a5a"/>
          <w:sz w:val="20"/>
          <w:szCs w:val="20"/>
        </w:rPr>
        <w:t xml:space="preserve">DOCUMENT: </w:t>
      </w:r>
      <w:r>
        <w:rPr>
          <w:b/>
          <w:bCs/>
          <w:color w:val="2f6fb2"/>
          <w:sz w:val="20"/>
          <w:szCs w:val="20"/>
        </w:rPr>
        <w:t xml:space="preserve">Security &amp; Privacy Specification</w:t>
      </w:r>
    </w:p>
    <w:p>
      <w:pPr>
        <w:spacing w:after="160" w:line="300"/>
      </w:pPr>
      <w:r>
        <w:t xml:space="preserve">Purpose: define data handling boundaries for user profile data (education, skills, location, eligibility-relevant details) and provider-side access, given the platform holds information that could be sensitive if exposed or misused.</w:t>
      </w:r>
    </w:p>
    <w:p>
      <w:pPr>
        <w:pStyle w:val="Heading2"/>
        <w:spacing w:after="150" w:before="300"/>
      </w:pPr>
      <w:r>
        <w:rPr>
          <w:b/>
          <w:bCs/>
          <w:color w:val="2f6fb2"/>
        </w:rPr>
        <w:t xml:space="preserve">10.1 Data classification</w:t>
      </w:r>
    </w:p>
    <w:p>
      <w:pPr>
        <w:pStyle w:val="ListParagraph"/>
        <w:numPr>
          <w:ilvl w:val="0"/>
          <w:numId w:val="1"/>
        </w:numPr>
        <w:spacing w:after="80" w:line="280"/>
      </w:pPr>
      <w:r>
        <w:t xml:space="preserve">Personal identifying data (name, phone, email): encrypted at rest, access-logged.</w:t>
      </w:r>
    </w:p>
    <w:p>
      <w:pPr>
        <w:pStyle w:val="ListParagraph"/>
        <w:numPr>
          <w:ilvl w:val="0"/>
          <w:numId w:val="1"/>
        </w:numPr>
        <w:spacing w:after="80" w:line="280"/>
      </w:pPr>
      <w:r>
        <w:t xml:space="preserve">Profile/eligibility data (education, skills, experience): visible to the matching engine and to the user; never exposed to an organization beyond what the user explicitly shares via an application action.</w:t>
      </w:r>
    </w:p>
    <w:p>
      <w:pPr>
        <w:pStyle w:val="ListParagraph"/>
        <w:numPr>
          <w:ilvl w:val="0"/>
          <w:numId w:val="1"/>
        </w:numPr>
        <w:spacing w:after="80" w:line="280"/>
      </w:pPr>
      <w:r>
        <w:t xml:space="preserve">Aggregate/anonymized data (candidate-interest analytics for orgs, §14): organizations see counts and trends, never individual profile data, unless a user has taken an explicit apply action.</w:t>
      </w:r>
    </w:p>
    <w:p>
      <w:pPr>
        <w:pStyle w:val="Heading2"/>
        <w:spacing w:after="150" w:before="300"/>
      </w:pPr>
      <w:r>
        <w:rPr>
          <w:b/>
          <w:bCs/>
          <w:color w:val="2f6fb2"/>
        </w:rPr>
        <w:t xml:space="preserve">10.2 Access control</w:t>
      </w:r>
    </w:p>
    <w:p>
      <w:pPr>
        <w:pStyle w:val="ListParagraph"/>
        <w:numPr>
          <w:ilvl w:val="0"/>
          <w:numId w:val="1"/>
        </w:numPr>
        <w:spacing w:after="80" w:line="280"/>
      </w:pPr>
      <w:r>
        <w:t xml:space="preserve">Role-based access: end user, organization staff (scoped to their own org's data only), platform admin/reviewer (trust workflow, §7).</w:t>
      </w:r>
    </w:p>
    <w:p>
      <w:pPr>
        <w:pStyle w:val="ListParagraph"/>
        <w:numPr>
          <w:ilvl w:val="0"/>
          <w:numId w:val="1"/>
        </w:numPr>
        <w:spacing w:after="80" w:line="280"/>
      </w:pPr>
      <w:r>
        <w:t xml:space="preserve">Provider dashboard analytics are aggregate-only by default; any path to individual-level data requires explicit user consent tied to an application event.</w:t>
      </w:r>
    </w:p>
    <w:p>
      <w:pPr>
        <w:pStyle w:val="Heading2"/>
        <w:spacing w:after="150" w:before="300"/>
      </w:pPr>
      <w:r>
        <w:rPr>
          <w:b/>
          <w:bCs/>
          <w:color w:val="2f6fb2"/>
        </w:rPr>
        <w:t xml:space="preserve">10.3 Authentication &amp; session security</w:t>
      </w:r>
    </w:p>
    <w:p>
      <w:pPr>
        <w:pStyle w:val="ListParagraph"/>
        <w:numPr>
          <w:ilvl w:val="0"/>
          <w:numId w:val="1"/>
        </w:numPr>
        <w:spacing w:after="80" w:line="280"/>
      </w:pPr>
      <w:r>
        <w:t xml:space="preserve">Web/dashboard: standard credential + token-based auth, with rate-limited login attempts.</w:t>
      </w:r>
    </w:p>
    <w:p>
      <w:pPr>
        <w:pStyle w:val="ListParagraph"/>
        <w:numPr>
          <w:ilvl w:val="0"/>
          <w:numId w:val="1"/>
        </w:numPr>
        <w:spacing w:after="80" w:line="280"/>
      </w:pPr>
      <w:r>
        <w:t xml:space="preserve">USSD: phone number + PIN, given no persistent device session is possible; session tokens are short-lived and scoped to the USSD session only.</w:t>
      </w:r>
    </w:p>
    <w:p>
      <w:pPr>
        <w:pStyle w:val="Heading2"/>
        <w:spacing w:after="150" w:before="300"/>
      </w:pPr>
      <w:r>
        <w:rPr>
          <w:b/>
          <w:bCs/>
          <w:color w:val="2f6fb2"/>
        </w:rPr>
        <w:t xml:space="preserve">10.4 Data retention &amp; deletion</w:t>
      </w:r>
    </w:p>
    <w:p>
      <w:pPr>
        <w:pStyle w:val="ListParagraph"/>
        <w:numPr>
          <w:ilvl w:val="0"/>
          <w:numId w:val="1"/>
        </w:numPr>
        <w:spacing w:after="80" w:line="280"/>
      </w:pPr>
      <w:r>
        <w:t xml:space="preserve">Users can request profile deletion; deletion cascades to MatchResults and Notifications tied to that user, retaining only anonymized aggregate counts needed for §13 KPI history.</w:t>
      </w:r>
    </w:p>
    <w:p>
      <w:pPr>
        <w:pBdr>
          <w:bottom w:val="single" w:color="cccccc" w:sz="6" w:space="1"/>
        </w:pBdr>
        <w:spacing w:after="300"/>
      </w:pPr>
    </w:p>
    <w:p>
      <w:pPr>
        <w:pStyle w:val="Heading1"/>
        <w:spacing w:after="200" w:before="400"/>
      </w:pPr>
      <w:r>
        <w:rPr>
          <w:b/>
          <w:bCs/>
          <w:color w:val="1f3a5f"/>
        </w:rPr>
        <w:t xml:space="preserve">11. Uganda Regulatory Compliance Specification</w:t>
      </w:r>
    </w:p>
    <w:p>
      <w:pPr>
        <w:spacing w:after="200"/>
      </w:pPr>
      <w:r>
        <w:rPr>
          <w:b/>
          <w:bCs/>
          <w:color w:val="5a5a5a"/>
          <w:sz w:val="20"/>
          <w:szCs w:val="20"/>
        </w:rPr>
        <w:t xml:space="preserve">DOCUMENT: </w:t>
      </w:r>
      <w:r>
        <w:rPr>
          <w:b/>
          <w:bCs/>
          <w:color w:val="2f6fb2"/>
          <w:sz w:val="20"/>
          <w:szCs w:val="20"/>
        </w:rPr>
        <w:t xml:space="preserve">Uganda Regulatory Compliance Specification</w:t>
      </w:r>
    </w:p>
    <w:p>
      <w:pPr>
        <w:spacing w:after="160" w:line="300"/>
      </w:pPr>
      <w:r>
        <w:t xml:space="preserve">Purpose: identify the Uganda-specific regulatory surfaces this platform touches, given its data-protection and telecom-channel obligations. This section maps obligations to product areas; it is not a substitute for formal legal review before launch.</w:t>
      </w:r>
    </w:p>
    <w:p>
      <w:pPr>
        <w:pStyle w:val="Heading2"/>
        <w:spacing w:after="150" w:before="300"/>
      </w:pPr>
      <w:r>
        <w:rPr>
          <w:b/>
          <w:bCs/>
          <w:color w:val="2f6fb2"/>
        </w:rPr>
        <w:t xml:space="preserve">11.1 Data Protection and Privacy Act (DPPA)</w:t>
      </w:r>
    </w:p>
    <w:p>
      <w:pPr>
        <w:pStyle w:val="ListParagraph"/>
        <w:numPr>
          <w:ilvl w:val="0"/>
          <w:numId w:val="1"/>
        </w:numPr>
        <w:spacing w:after="80" w:line="280"/>
      </w:pPr>
      <w:r>
        <w:t xml:space="preserve">OppScout processes personal data (profile, contact, eligibility-relevant information) and must handle registration/notification obligations to the Personal Data Protection Office, lawful-basis and consent requirements, and data subject rights (access, correction, deletion — see §10.4) under the DPPA.</w:t>
      </w:r>
    </w:p>
    <w:p>
      <w:pPr>
        <w:pStyle w:val="ListParagraph"/>
        <w:numPr>
          <w:ilvl w:val="0"/>
          <w:numId w:val="1"/>
        </w:numPr>
        <w:spacing w:after="80" w:line="280"/>
      </w:pPr>
      <w:r>
        <w:t xml:space="preserve">Cross-border data storage (if infrastructure is hosted outside Uganda) needs review against DPPA transfer provisions.</w:t>
      </w:r>
    </w:p>
    <w:p>
      <w:pPr>
        <w:pStyle w:val="Heading2"/>
        <w:spacing w:after="150" w:before="300"/>
      </w:pPr>
      <w:r>
        <w:rPr>
          <w:b/>
          <w:bCs/>
          <w:color w:val="2f6fb2"/>
        </w:rPr>
        <w:t xml:space="preserve">11.2 Telecom / USSD channel obligations</w:t>
      </w:r>
    </w:p>
    <w:p>
      <w:pPr>
        <w:pStyle w:val="ListParagraph"/>
        <w:numPr>
          <w:ilvl w:val="0"/>
          <w:numId w:val="1"/>
        </w:numPr>
        <w:spacing w:after="80" w:line="280"/>
      </w:pPr>
      <w:r>
        <w:t xml:space="preserve">USSD access (§6) requires an aggregator or direct telecom relationship subject to Uganda Communications Commission (UCC) requirements; SMS notification volume/content is also subject to telecom carrier and UCC rules on bulk messaging.</w:t>
      </w:r>
    </w:p>
    <w:p>
      <w:pPr>
        <w:pStyle w:val="Heading2"/>
        <w:spacing w:after="150" w:before="300"/>
      </w:pPr>
      <w:r>
        <w:rPr>
          <w:b/>
          <w:bCs/>
          <w:color w:val="2f6fb2"/>
        </w:rPr>
        <w:t xml:space="preserve">11.3 Adjacent considerations flagged for legal review</w:t>
      </w:r>
    </w:p>
    <w:p>
      <w:pPr>
        <w:pStyle w:val="ListParagraph"/>
        <w:numPr>
          <w:ilvl w:val="0"/>
          <w:numId w:val="1"/>
        </w:numPr>
        <w:spacing w:after="80" w:line="280"/>
      </w:pPr>
      <w:r>
        <w:t xml:space="preserve">Any future payment-related features (e.g. premium subscriptions, §18) would bring in Bank of Uganda (BoU) and National Payment Systems Act considerations if OppScout handles payment flows directly rather than via a licensed payment processor.</w:t>
      </w:r>
    </w:p>
    <w:p>
      <w:pPr>
        <w:pStyle w:val="ListParagraph"/>
        <w:numPr>
          <w:ilvl w:val="0"/>
          <w:numId w:val="1"/>
        </w:numPr>
        <w:spacing w:after="80" w:line="280"/>
      </w:pPr>
      <w:r>
        <w:t xml:space="preserve">Employment/recruitment-adjacent platforms may have sector-specific obligations worth a targeted legal check before the Provider Platform (§14) monetizes recruitment services.</w:t>
      </w:r>
    </w:p>
    <w:p>
      <w:pPr>
        <w:spacing w:after="160" w:line="300"/>
      </w:pPr>
      <w:r>
        <w:t xml:space="preserve">This section should be reviewed with counsel before Phase 1 launch, and re-reviewed before Phase 4 (USSD) and Phase 5 (monetization) given each introduces new regulatory surface.</w:t>
      </w:r>
    </w:p>
    <w:p>
      <w:pPr>
        <w:pBdr>
          <w:bottom w:val="single" w:color="cccccc" w:sz="6" w:space="1"/>
        </w:pBdr>
        <w:spacing w:after="300"/>
      </w:pPr>
    </w:p>
    <w:p>
      <w:pPr>
        <w:pStyle w:val="Heading1"/>
        <w:spacing w:after="200" w:before="400"/>
      </w:pPr>
      <w:r>
        <w:rPr>
          <w:b/>
          <w:bCs/>
          <w:color w:val="1f3a5f"/>
        </w:rPr>
        <w:t xml:space="preserve">12. Phased Rollout Plan</w:t>
      </w:r>
    </w:p>
    <w:p>
      <w:pPr>
        <w:spacing w:after="200"/>
      </w:pPr>
      <w:r>
        <w:rPr>
          <w:b/>
          <w:bCs/>
          <w:color w:val="5a5a5a"/>
          <w:sz w:val="20"/>
          <w:szCs w:val="20"/>
        </w:rPr>
        <w:t xml:space="preserve">DOCUMENT: </w:t>
      </w:r>
      <w:r>
        <w:rPr>
          <w:b/>
          <w:bCs/>
          <w:color w:val="2f6fb2"/>
          <w:sz w:val="20"/>
          <w:szCs w:val="20"/>
        </w:rPr>
        <w:t xml:space="preserve">Phased Rollout Plan</w:t>
      </w:r>
    </w:p>
    <w:p>
      <w:pPr>
        <w:spacing w:after="160" w:line="300"/>
      </w:pPr>
      <w:r>
        <w:t xml:space="preserve">Purpose: sequence every feature in the source product framework into five phases, each a fully working, independently valuable product, with explicit acceptance criteria — so scope is never dropped, only ordered.</w:t>
      </w:r>
    </w:p>
    <w:p>
      <w:pPr>
        <w:spacing w:after="80" w:before="20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24250"/>
                    </a:xfrm>
                    <a:prstGeom prst="rect">
                      <a:avLst/>
                    </a:prstGeom>
                  </pic:spPr>
                </pic:pic>
              </a:graphicData>
            </a:graphic>
          </wp:inline>
        </w:drawing>
      </w:r>
    </w:p>
    <w:p>
      <w:pPr>
        <w:spacing w:after="300" w:before="100"/>
        <w:jc w:val="center"/>
      </w:pPr>
      <w:r>
        <w:rPr>
          <w:i/>
          <w:iCs/>
          <w:color w:val="5a5a5a"/>
          <w:sz w:val="18"/>
          <w:szCs w:val="18"/>
        </w:rPr>
        <w:t xml:space="preserve">Figure 12.1 — Five-phase build sequence. Every source-document section is covered by exactly one phase.</w:t>
      </w:r>
    </w:p>
    <w:p>
      <w:pPr>
        <w:pStyle w:val="Heading2"/>
        <w:spacing w:after="150" w:before="300"/>
      </w:pPr>
      <w:r>
        <w:rPr>
          <w:b/>
          <w:bCs/>
          <w:color w:val="2f6fb2"/>
        </w:rPr>
        <w:t xml:space="preserve">12.1 Acceptance criteria by phase</w:t>
      </w:r>
    </w:p>
    <w:p>
      <w:pPr>
        <w:pStyle w:val="Heading3"/>
        <w:spacing w:after="100" w:before="200"/>
      </w:pPr>
      <w:r>
        <w:rPr>
          <w:b/>
          <w:bCs/>
          <w:color w:val="333333"/>
        </w:rPr>
        <w:t xml:space="preserve">Phase 1 — Core Spine</w:t>
      </w:r>
    </w:p>
    <w:p>
      <w:pPr>
        <w:pStyle w:val="ListParagraph"/>
        <w:numPr>
          <w:ilvl w:val="0"/>
          <w:numId w:val="1"/>
        </w:numPr>
        <w:spacing w:after="80" w:line="280"/>
      </w:pPr>
      <w:r>
        <w:t xml:space="preserve">Acceptance: a real user can create a profile, receive a ranked, explained match feed from manually-entered/org-submitted opportunities, save opportunities, receive email/SMS deadline reminders, and report a suspicious listing.</w:t>
      </w:r>
    </w:p>
    <w:p>
      <w:pPr>
        <w:pStyle w:val="ListParagraph"/>
        <w:numPr>
          <w:ilvl w:val="0"/>
          <w:numId w:val="1"/>
        </w:numPr>
        <w:spacing w:after="80" w:line="280"/>
      </w:pPr>
      <w:r>
        <w:t xml:space="preserve">SLO gate: API uptime and notification delivery targets (§9) met in staging under simulated load before public launch.</w:t>
      </w:r>
    </w:p>
    <w:p>
      <w:pPr>
        <w:pStyle w:val="Heading3"/>
        <w:spacing w:after="100" w:before="200"/>
      </w:pPr>
      <w:r>
        <w:rPr>
          <w:b/>
          <w:bCs/>
          <w:color w:val="333333"/>
        </w:rPr>
        <w:t xml:space="preserve">Phase 2 — Explainability + Provider Tools</w:t>
      </w:r>
    </w:p>
    <w:p>
      <w:pPr>
        <w:pStyle w:val="ListParagraph"/>
        <w:numPr>
          <w:ilvl w:val="0"/>
          <w:numId w:val="1"/>
        </w:numPr>
        <w:spacing w:after="80" w:line="280"/>
      </w:pPr>
      <w:r>
        <w:t xml:space="preserve">Acceptance: match explanations are shown for every match without exception; organizations can self-serve publish opportunities and see aggregate analytics; KPI dashboard (§13) is live and populated from real Phase 1 usage data.</w:t>
      </w:r>
    </w:p>
    <w:p>
      <w:pPr>
        <w:pStyle w:val="Heading3"/>
        <w:spacing w:after="100" w:before="200"/>
      </w:pPr>
      <w:r>
        <w:rPr>
          <w:b/>
          <w:bCs/>
          <w:color w:val="333333"/>
        </w:rPr>
        <w:t xml:space="preserve">Phase 3 — AI + Automated Discovery</w:t>
      </w:r>
    </w:p>
    <w:p>
      <w:pPr>
        <w:pStyle w:val="ListParagraph"/>
        <w:numPr>
          <w:ilvl w:val="0"/>
          <w:numId w:val="1"/>
        </w:numPr>
        <w:spacing w:after="80" w:line="280"/>
      </w:pPr>
      <w:r>
        <w:t xml:space="preserve">Acceptance: AI MatchEngine implementation passes a side-by-side precision comparison against the rule-based engine on held-out data before replacing it as default; scraping runs in shadow mode with zero live impact until its duplicate/freshness error rate is validated against §8 targets.</w:t>
      </w:r>
    </w:p>
    <w:p>
      <w:pPr>
        <w:pStyle w:val="Heading3"/>
        <w:spacing w:after="100" w:before="200"/>
      </w:pPr>
      <w:r>
        <w:rPr>
          <w:b/>
          <w:bCs/>
          <w:color w:val="333333"/>
        </w:rPr>
        <w:t xml:space="preserve">Phase 4 — USSD Accessibility</w:t>
      </w:r>
    </w:p>
    <w:p>
      <w:pPr>
        <w:pStyle w:val="ListParagraph"/>
        <w:numPr>
          <w:ilvl w:val="0"/>
          <w:numId w:val="1"/>
        </w:numPr>
        <w:spacing w:after="80" w:line="280"/>
      </w:pPr>
      <w:r>
        <w:t xml:space="preserve">Acceptance: full menu tree (§6) functional against a real telecom aggregator sandbox; session completion rate meets its own SLO (§9.1) before public rollout, measured separately from web metrics.</w:t>
      </w:r>
    </w:p>
    <w:p>
      <w:pPr>
        <w:pStyle w:val="Heading3"/>
        <w:spacing w:after="100" w:before="200"/>
      </w:pPr>
      <w:r>
        <w:rPr>
          <w:b/>
          <w:bCs/>
          <w:color w:val="333333"/>
        </w:rPr>
        <w:t xml:space="preserve">Phase 5 — Monetization</w:t>
      </w:r>
    </w:p>
    <w:p>
      <w:pPr>
        <w:pStyle w:val="ListParagraph"/>
        <w:numPr>
          <w:ilvl w:val="0"/>
          <w:numId w:val="1"/>
        </w:numPr>
        <w:spacing w:after="80" w:line="280"/>
      </w:pPr>
      <w:r>
        <w:t xml:space="preserve">Acceptance: gated on trust and retention metrics from §13 reaching defined healthy thresholds first, consistent with the source document's own caution against undermining the inclusion mission by charging for core access (§18).</w:t>
      </w:r>
    </w:p>
    <w:p>
      <w:pPr>
        <w:pStyle w:val="Heading2"/>
        <w:spacing w:after="150" w:before="300"/>
      </w:pPr>
      <w:r>
        <w:rPr>
          <w:b/>
          <w:bCs/>
          <w:color w:val="2f6fb2"/>
        </w:rPr>
        <w:t xml:space="preserve">12.2 Cross-phase rule</w:t>
      </w:r>
    </w:p>
    <w:p>
      <w:pPr>
        <w:spacing w:after="160" w:line="300"/>
      </w:pPr>
      <w:r>
        <w:t xml:space="preserve">No phase begins production build until the prior phase has met its SLO gate in staging. This is the mechanism, not just the intention, behind building everything in the source document without ever shipping a subsystem below the reliability bar it needs.</w:t>
      </w:r>
    </w:p>
    <w:p>
      <w:pPr>
        <w:pBdr>
          <w:bottom w:val="single" w:color="cccccc" w:sz="6" w:space="1"/>
        </w:pBdr>
        <w:spacing w:after="300"/>
      </w:pPr>
    </w:p>
    <w:p>
      <w:pPr>
        <w:pStyle w:val="Heading1"/>
        <w:spacing w:after="200" w:before="400"/>
      </w:pPr>
      <w:r>
        <w:rPr>
          <w:b/>
          <w:bCs/>
          <w:color w:val="1f3a5f"/>
        </w:rPr>
        <w:t xml:space="preserve">13. KPI &amp; Instrumentation Specification</w:t>
      </w:r>
    </w:p>
    <w:p>
      <w:pPr>
        <w:spacing w:after="200"/>
      </w:pPr>
      <w:r>
        <w:rPr>
          <w:b/>
          <w:bCs/>
          <w:color w:val="5a5a5a"/>
          <w:sz w:val="20"/>
          <w:szCs w:val="20"/>
        </w:rPr>
        <w:t xml:space="preserve">DOCUMENT: </w:t>
      </w:r>
      <w:r>
        <w:rPr>
          <w:b/>
          <w:bCs/>
          <w:color w:val="2f6fb2"/>
          <w:sz w:val="20"/>
          <w:szCs w:val="20"/>
        </w:rPr>
        <w:t xml:space="preserve">KPI &amp; Instrumentation Specification</w:t>
      </w:r>
    </w:p>
    <w:p>
      <w:pPr>
        <w:spacing w:after="160" w:line="300"/>
      </w:pPr>
      <w:r>
        <w:t xml:space="preserve">Purpose: ensure every KPI listed in §22 of the source document is measurable from the data model in §2 and the EventLog entity specifically, instrumented from Phase 1 rather than retrofitted later.</w:t>
      </w:r>
    </w:p>
    <w:p>
      <w:pPr>
        <w:pStyle w:val="Heading2"/>
        <w:spacing w:after="150" w:before="300"/>
      </w:pPr>
      <w:r>
        <w:rPr>
          <w:b/>
          <w:bCs/>
          <w:color w:val="2f6fb2"/>
        </w:rPr>
        <w:t xml:space="preserve">13.1 KPI to data-source mapping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rPr>
          <w:tblHeader/>
        </w:trPr>
        <w:tc>
          <w:tcPr>
            <w:tcW w:type="dxa" w:w="4200"/>
            <w:shd w:fill="1f3a5f" w:color="auto" w:val="clear"/>
            <w:tcMar>
              <w:top w:type="dxa" w:w="80"/>
              <w:left w:type="dxa" w:w="100"/>
              <w:bottom w:type="dxa" w:w="80"/>
              <w:right w:type="dxa" w:w="100"/>
            </w:tcMar>
          </w:tcPr>
          <w:p>
            <w:pPr>
              <w:jc w:val="left"/>
            </w:pPr>
            <w:r>
              <w:rPr>
                <w:b/>
                <w:bCs/>
                <w:color w:val="FFFFFF"/>
                <w:sz w:val="19"/>
                <w:szCs w:val="19"/>
              </w:rPr>
              <w:t xml:space="preserve">KPI (source doc §22)</w:t>
            </w:r>
          </w:p>
        </w:tc>
        <w:tc>
          <w:tcPr>
            <w:tcW w:type="dxa" w:w="4600"/>
            <w:shd w:fill="1f3a5f" w:color="auto" w:val="clear"/>
            <w:tcMar>
              <w:top w:type="dxa" w:w="80"/>
              <w:left w:type="dxa" w:w="100"/>
              <w:bottom w:type="dxa" w:w="80"/>
              <w:right w:type="dxa" w:w="100"/>
            </w:tcMar>
          </w:tcPr>
          <w:p>
            <w:pPr>
              <w:jc w:val="left"/>
            </w:pPr>
            <w:r>
              <w:rPr>
                <w:b/>
                <w:bCs/>
                <w:color w:val="FFFFFF"/>
                <w:sz w:val="19"/>
                <w:szCs w:val="19"/>
              </w:rPr>
              <w:t xml:space="preserve">Computed from</w:t>
            </w:r>
          </w:p>
        </w:tc>
      </w:tr>
      <w:tr>
        <w:tc>
          <w:tcPr>
            <w:tcW w:type="dxa" w:w="4200"/>
            <w:shd w:fill="FFFFFF" w:color="auto" w:val="clear"/>
            <w:tcMar>
              <w:top w:type="dxa" w:w="80"/>
              <w:left w:type="dxa" w:w="100"/>
              <w:bottom w:type="dxa" w:w="80"/>
              <w:right w:type="dxa" w:w="100"/>
            </w:tcMar>
          </w:tcPr>
          <w:p>
            <w:pPr>
              <w:jc w:val="left"/>
            </w:pPr>
            <w:r>
              <w:rPr>
                <w:b w:val="false"/>
                <w:bCs w:val="false"/>
                <w:color w:val="1a1a1a"/>
                <w:sz w:val="19"/>
                <w:szCs w:val="19"/>
              </w:rPr>
              <w:t xml:space="preserve">Registered users</w:t>
            </w:r>
          </w:p>
        </w:tc>
        <w:tc>
          <w:tcPr>
            <w:tcW w:type="dxa" w:w="4600"/>
            <w:shd w:fill="FFFFFF" w:color="auto" w:val="clear"/>
            <w:tcMar>
              <w:top w:type="dxa" w:w="80"/>
              <w:left w:type="dxa" w:w="100"/>
              <w:bottom w:type="dxa" w:w="80"/>
              <w:right w:type="dxa" w:w="100"/>
            </w:tcMar>
          </w:tcPr>
          <w:p>
            <w:pPr>
              <w:jc w:val="left"/>
            </w:pPr>
            <w:r>
              <w:rPr>
                <w:b w:val="false"/>
                <w:bCs w:val="false"/>
                <w:color w:val="1a1a1a"/>
                <w:sz w:val="19"/>
                <w:szCs w:val="19"/>
              </w:rPr>
              <w:t xml:space="preserve">UserProfile count</w:t>
            </w:r>
          </w:p>
        </w:tc>
      </w:tr>
      <w:tr>
        <w:tc>
          <w:tcPr>
            <w:tcW w:type="dxa" w:w="4200"/>
            <w:shd w:fill="F5F8FC" w:color="auto" w:val="clear"/>
            <w:tcMar>
              <w:top w:type="dxa" w:w="80"/>
              <w:left w:type="dxa" w:w="100"/>
              <w:bottom w:type="dxa" w:w="80"/>
              <w:right w:type="dxa" w:w="100"/>
            </w:tcMar>
          </w:tcPr>
          <w:p>
            <w:pPr>
              <w:jc w:val="left"/>
            </w:pPr>
            <w:r>
              <w:rPr>
                <w:b w:val="false"/>
                <w:bCs w:val="false"/>
                <w:color w:val="1a1a1a"/>
                <w:sz w:val="19"/>
                <w:szCs w:val="19"/>
              </w:rPr>
              <w:t xml:space="preserve">% users with completed matching profiles</w:t>
            </w:r>
          </w:p>
        </w:tc>
        <w:tc>
          <w:tcPr>
            <w:tcW w:type="dxa" w:w="4600"/>
            <w:shd w:fill="F5F8FC" w:color="auto" w:val="clear"/>
            <w:tcMar>
              <w:top w:type="dxa" w:w="80"/>
              <w:left w:type="dxa" w:w="100"/>
              <w:bottom w:type="dxa" w:w="80"/>
              <w:right w:type="dxa" w:w="100"/>
            </w:tcMar>
          </w:tcPr>
          <w:p>
            <w:pPr>
              <w:jc w:val="left"/>
            </w:pPr>
            <w:r>
              <w:rPr>
                <w:b w:val="false"/>
                <w:bCs w:val="false"/>
                <w:color w:val="1a1a1a"/>
                <w:sz w:val="19"/>
                <w:szCs w:val="19"/>
              </w:rPr>
              <w:t xml:space="preserve">UserProfile.profile_completeness_score</w:t>
            </w:r>
          </w:p>
        </w:tc>
      </w:tr>
      <w:tr>
        <w:tc>
          <w:tcPr>
            <w:tcW w:type="dxa" w:w="4200"/>
            <w:shd w:fill="FFFFFF" w:color="auto" w:val="clear"/>
            <w:tcMar>
              <w:top w:type="dxa" w:w="80"/>
              <w:left w:type="dxa" w:w="100"/>
              <w:bottom w:type="dxa" w:w="80"/>
              <w:right w:type="dxa" w:w="100"/>
            </w:tcMar>
          </w:tcPr>
          <w:p>
            <w:pPr>
              <w:jc w:val="left"/>
            </w:pPr>
            <w:r>
              <w:rPr>
                <w:b w:val="false"/>
                <w:bCs w:val="false"/>
                <w:color w:val="1a1a1a"/>
                <w:sz w:val="19"/>
                <w:szCs w:val="19"/>
              </w:rPr>
              <w:t xml:space="preserve">Verified opportunities</w:t>
            </w:r>
          </w:p>
        </w:tc>
        <w:tc>
          <w:tcPr>
            <w:tcW w:type="dxa" w:w="4600"/>
            <w:shd w:fill="FFFFFF" w:color="auto" w:val="clear"/>
            <w:tcMar>
              <w:top w:type="dxa" w:w="80"/>
              <w:left w:type="dxa" w:w="100"/>
              <w:bottom w:type="dxa" w:w="80"/>
              <w:right w:type="dxa" w:w="100"/>
            </w:tcMar>
          </w:tcPr>
          <w:p>
            <w:pPr>
              <w:jc w:val="left"/>
            </w:pPr>
            <w:r>
              <w:rPr>
                <w:b w:val="false"/>
                <w:bCs w:val="false"/>
                <w:color w:val="1a1a1a"/>
                <w:sz w:val="19"/>
                <w:szCs w:val="19"/>
              </w:rPr>
              <w:t xml:space="preserve">Opportunity.verification_status = verified, count</w:t>
            </w:r>
          </w:p>
        </w:tc>
      </w:tr>
      <w:tr>
        <w:tc>
          <w:tcPr>
            <w:tcW w:type="dxa" w:w="4200"/>
            <w:shd w:fill="F5F8FC" w:color="auto" w:val="clear"/>
            <w:tcMar>
              <w:top w:type="dxa" w:w="80"/>
              <w:left w:type="dxa" w:w="100"/>
              <w:bottom w:type="dxa" w:w="80"/>
              <w:right w:type="dxa" w:w="100"/>
            </w:tcMar>
          </w:tcPr>
          <w:p>
            <w:pPr>
              <w:jc w:val="left"/>
            </w:pPr>
            <w:r>
              <w:rPr>
                <w:b w:val="false"/>
                <w:bCs w:val="false"/>
                <w:color w:val="1a1a1a"/>
                <w:sz w:val="19"/>
                <w:szCs w:val="19"/>
              </w:rPr>
              <w:t xml:space="preserve">Opportunity-to-user match rate</w:t>
            </w:r>
          </w:p>
        </w:tc>
        <w:tc>
          <w:tcPr>
            <w:tcW w:type="dxa" w:w="4600"/>
            <w:shd w:fill="F5F8FC" w:color="auto" w:val="clear"/>
            <w:tcMar>
              <w:top w:type="dxa" w:w="80"/>
              <w:left w:type="dxa" w:w="100"/>
              <w:bottom w:type="dxa" w:w="80"/>
              <w:right w:type="dxa" w:w="100"/>
            </w:tcMar>
          </w:tcPr>
          <w:p>
            <w:pPr>
              <w:jc w:val="left"/>
            </w:pPr>
            <w:r>
              <w:rPr>
                <w:b w:val="false"/>
                <w:bCs w:val="false"/>
                <w:color w:val="1a1a1a"/>
                <w:sz w:val="19"/>
                <w:szCs w:val="19"/>
              </w:rPr>
              <w:t xml:space="preserve">MatchResult volume / active UserProfile count</w:t>
            </w:r>
          </w:p>
        </w:tc>
      </w:tr>
      <w:tr>
        <w:tc>
          <w:tcPr>
            <w:tcW w:type="dxa" w:w="4200"/>
            <w:shd w:fill="FFFFFF" w:color="auto" w:val="clear"/>
            <w:tcMar>
              <w:top w:type="dxa" w:w="80"/>
              <w:left w:type="dxa" w:w="100"/>
              <w:bottom w:type="dxa" w:w="80"/>
              <w:right w:type="dxa" w:w="100"/>
            </w:tcMar>
          </w:tcPr>
          <w:p>
            <w:pPr>
              <w:jc w:val="left"/>
            </w:pPr>
            <w:r>
              <w:rPr>
                <w:b w:val="false"/>
                <w:bCs w:val="false"/>
                <w:color w:val="1a1a1a"/>
                <w:sz w:val="19"/>
                <w:szCs w:val="19"/>
              </w:rPr>
              <w:t xml:space="preserve">Opportunity click-through rate</w:t>
            </w:r>
          </w:p>
        </w:tc>
        <w:tc>
          <w:tcPr>
            <w:tcW w:type="dxa" w:w="4600"/>
            <w:shd w:fill="FFFFFF" w:color="auto" w:val="clear"/>
            <w:tcMar>
              <w:top w:type="dxa" w:w="80"/>
              <w:left w:type="dxa" w:w="100"/>
              <w:bottom w:type="dxa" w:w="80"/>
              <w:right w:type="dxa" w:w="100"/>
            </w:tcMar>
          </w:tcPr>
          <w:p>
            <w:pPr>
              <w:jc w:val="left"/>
            </w:pPr>
            <w:r>
              <w:rPr>
                <w:b w:val="false"/>
                <w:bCs w:val="false"/>
                <w:color w:val="1a1a1a"/>
                <w:sz w:val="19"/>
                <w:szCs w:val="19"/>
              </w:rPr>
              <w:t xml:space="preserve">EventLog event_type = click / event_type = view</w:t>
            </w:r>
          </w:p>
        </w:tc>
      </w:tr>
      <w:tr>
        <w:tc>
          <w:tcPr>
            <w:tcW w:type="dxa" w:w="4200"/>
            <w:shd w:fill="F5F8FC" w:color="auto" w:val="clear"/>
            <w:tcMar>
              <w:top w:type="dxa" w:w="80"/>
              <w:left w:type="dxa" w:w="100"/>
              <w:bottom w:type="dxa" w:w="80"/>
              <w:right w:type="dxa" w:w="100"/>
            </w:tcMar>
          </w:tcPr>
          <w:p>
            <w:pPr>
              <w:jc w:val="left"/>
            </w:pPr>
            <w:r>
              <w:rPr>
                <w:b w:val="false"/>
                <w:bCs w:val="false"/>
                <w:color w:val="1a1a1a"/>
                <w:sz w:val="19"/>
                <w:szCs w:val="19"/>
              </w:rPr>
              <w:t xml:space="preserve">Save and application-intent rate</w:t>
            </w:r>
          </w:p>
        </w:tc>
        <w:tc>
          <w:tcPr>
            <w:tcW w:type="dxa" w:w="4600"/>
            <w:shd w:fill="F5F8FC" w:color="auto" w:val="clear"/>
            <w:tcMar>
              <w:top w:type="dxa" w:w="80"/>
              <w:left w:type="dxa" w:w="100"/>
              <w:bottom w:type="dxa" w:w="80"/>
              <w:right w:type="dxa" w:w="100"/>
            </w:tcMar>
          </w:tcPr>
          <w:p>
            <w:pPr>
              <w:jc w:val="left"/>
            </w:pPr>
            <w:r>
              <w:rPr>
                <w:b w:val="false"/>
                <w:bCs w:val="false"/>
                <w:color w:val="1a1a1a"/>
                <w:sz w:val="19"/>
                <w:szCs w:val="19"/>
              </w:rPr>
              <w:t xml:space="preserve">EventLog event_type = save, apply_intent / views</w:t>
            </w:r>
          </w:p>
        </w:tc>
      </w:tr>
      <w:tr>
        <w:tc>
          <w:tcPr>
            <w:tcW w:type="dxa" w:w="4200"/>
            <w:shd w:fill="FFFFFF" w:color="auto" w:val="clear"/>
            <w:tcMar>
              <w:top w:type="dxa" w:w="80"/>
              <w:left w:type="dxa" w:w="100"/>
              <w:bottom w:type="dxa" w:w="80"/>
              <w:right w:type="dxa" w:w="100"/>
            </w:tcMar>
          </w:tcPr>
          <w:p>
            <w:pPr>
              <w:jc w:val="left"/>
            </w:pPr>
            <w:r>
              <w:rPr>
                <w:b w:val="false"/>
                <w:bCs w:val="false"/>
                <w:color w:val="1a1a1a"/>
                <w:sz w:val="19"/>
                <w:szCs w:val="19"/>
              </w:rPr>
              <w:t xml:space="preserve">Notification engagement rate</w:t>
            </w:r>
          </w:p>
        </w:tc>
        <w:tc>
          <w:tcPr>
            <w:tcW w:type="dxa" w:w="4600"/>
            <w:shd w:fill="FFFFFF" w:color="auto" w:val="clear"/>
            <w:tcMar>
              <w:top w:type="dxa" w:w="80"/>
              <w:left w:type="dxa" w:w="100"/>
              <w:bottom w:type="dxa" w:w="80"/>
              <w:right w:type="dxa" w:w="100"/>
            </w:tcMar>
          </w:tcPr>
          <w:p>
            <w:pPr>
              <w:jc w:val="left"/>
            </w:pPr>
            <w:r>
              <w:rPr>
                <w:b w:val="false"/>
                <w:bCs w:val="false"/>
                <w:color w:val="1a1a1a"/>
                <w:sz w:val="19"/>
                <w:szCs w:val="19"/>
              </w:rPr>
              <w:t xml:space="preserve">Notification.status = delivered vs. downstream EventLog click</w:t>
            </w:r>
          </w:p>
        </w:tc>
      </w:tr>
      <w:tr>
        <w:tc>
          <w:tcPr>
            <w:tcW w:type="dxa" w:w="4200"/>
            <w:shd w:fill="F5F8FC" w:color="auto" w:val="clear"/>
            <w:tcMar>
              <w:top w:type="dxa" w:w="80"/>
              <w:left w:type="dxa" w:w="100"/>
              <w:bottom w:type="dxa" w:w="80"/>
              <w:right w:type="dxa" w:w="100"/>
            </w:tcMar>
          </w:tcPr>
          <w:p>
            <w:pPr>
              <w:jc w:val="left"/>
            </w:pPr>
            <w:r>
              <w:rPr>
                <w:b w:val="false"/>
                <w:bCs w:val="false"/>
                <w:color w:val="1a1a1a"/>
                <w:sz w:val="19"/>
                <w:szCs w:val="19"/>
              </w:rPr>
              <w:t xml:space="preserve">USSD active users</w:t>
            </w:r>
          </w:p>
        </w:tc>
        <w:tc>
          <w:tcPr>
            <w:tcW w:type="dxa" w:w="4600"/>
            <w:shd w:fill="F5F8FC" w:color="auto" w:val="clear"/>
            <w:tcMar>
              <w:top w:type="dxa" w:w="80"/>
              <w:left w:type="dxa" w:w="100"/>
              <w:bottom w:type="dxa" w:w="80"/>
              <w:right w:type="dxa" w:w="100"/>
            </w:tcMar>
          </w:tcPr>
          <w:p>
            <w:pPr>
              <w:jc w:val="left"/>
            </w:pPr>
            <w:r>
              <w:rPr>
                <w:b w:val="false"/>
                <w:bCs w:val="false"/>
                <w:color w:val="1a1a1a"/>
                <w:sz w:val="19"/>
                <w:szCs w:val="19"/>
              </w:rPr>
              <w:t xml:space="preserve">UserProfile.preferred_channel = ussd, active in period</w:t>
            </w:r>
          </w:p>
        </w:tc>
      </w:tr>
      <w:tr>
        <w:tc>
          <w:tcPr>
            <w:tcW w:type="dxa" w:w="4200"/>
            <w:shd w:fill="FFFFFF" w:color="auto" w:val="clear"/>
            <w:tcMar>
              <w:top w:type="dxa" w:w="80"/>
              <w:left w:type="dxa" w:w="100"/>
              <w:bottom w:type="dxa" w:w="80"/>
              <w:right w:type="dxa" w:w="100"/>
            </w:tcMar>
          </w:tcPr>
          <w:p>
            <w:pPr>
              <w:jc w:val="left"/>
            </w:pPr>
            <w:r>
              <w:rPr>
                <w:b w:val="false"/>
                <w:bCs w:val="false"/>
                <w:color w:val="1a1a1a"/>
                <w:sz w:val="19"/>
                <w:szCs w:val="19"/>
              </w:rPr>
              <w:t xml:space="preserve">Application deadline success rate</w:t>
            </w:r>
          </w:p>
        </w:tc>
        <w:tc>
          <w:tcPr>
            <w:tcW w:type="dxa" w:w="4600"/>
            <w:shd w:fill="FFFFFF" w:color="auto" w:val="clear"/>
            <w:tcMar>
              <w:top w:type="dxa" w:w="80"/>
              <w:left w:type="dxa" w:w="100"/>
              <w:bottom w:type="dxa" w:w="80"/>
              <w:right w:type="dxa" w:w="100"/>
            </w:tcMar>
          </w:tcPr>
          <w:p>
            <w:pPr>
              <w:jc w:val="left"/>
            </w:pPr>
            <w:r>
              <w:rPr>
                <w:b w:val="false"/>
                <w:bCs w:val="false"/>
                <w:color w:val="1a1a1a"/>
                <w:sz w:val="19"/>
                <w:szCs w:val="19"/>
              </w:rPr>
              <w:t xml:space="preserve">SavedOpportunity.status = applied vs. deadline passed without action</w:t>
            </w:r>
          </w:p>
        </w:tc>
      </w:tr>
      <w:tr>
        <w:tc>
          <w:tcPr>
            <w:tcW w:type="dxa" w:w="4200"/>
            <w:shd w:fill="F5F8FC" w:color="auto" w:val="clear"/>
            <w:tcMar>
              <w:top w:type="dxa" w:w="80"/>
              <w:left w:type="dxa" w:w="100"/>
              <w:bottom w:type="dxa" w:w="80"/>
              <w:right w:type="dxa" w:w="100"/>
            </w:tcMar>
          </w:tcPr>
          <w:p>
            <w:pPr>
              <w:jc w:val="left"/>
            </w:pPr>
            <w:r>
              <w:rPr>
                <w:b w:val="false"/>
                <w:bCs w:val="false"/>
                <w:color w:val="1a1a1a"/>
                <w:sz w:val="19"/>
                <w:szCs w:val="19"/>
              </w:rPr>
              <w:t xml:space="preserve">Organization retention / repeat posting rate</w:t>
            </w:r>
          </w:p>
        </w:tc>
        <w:tc>
          <w:tcPr>
            <w:tcW w:type="dxa" w:w="4600"/>
            <w:shd w:fill="F5F8FC" w:color="auto" w:val="clear"/>
            <w:tcMar>
              <w:top w:type="dxa" w:w="80"/>
              <w:left w:type="dxa" w:w="100"/>
              <w:bottom w:type="dxa" w:w="80"/>
              <w:right w:type="dxa" w:w="100"/>
            </w:tcMar>
          </w:tcPr>
          <w:p>
            <w:pPr>
              <w:jc w:val="left"/>
            </w:pPr>
            <w:r>
              <w:rPr>
                <w:b w:val="false"/>
                <w:bCs w:val="false"/>
                <w:color w:val="1a1a1a"/>
                <w:sz w:val="19"/>
                <w:szCs w:val="19"/>
              </w:rPr>
              <w:t xml:space="preserve">Organization.posting_history, repeat post interval</w:t>
            </w:r>
          </w:p>
        </w:tc>
      </w:tr>
    </w:tbl>
    <w:p>
      <w:pPr>
        <w:pStyle w:val="Heading2"/>
        <w:spacing w:after="150" w:before="300"/>
      </w:pPr>
      <w:r>
        <w:rPr>
          <w:b/>
          <w:bCs/>
          <w:color w:val="2f6fb2"/>
        </w:rPr>
        <w:t xml:space="preserve">13.2 Instrumentation rule</w:t>
      </w:r>
    </w:p>
    <w:p>
      <w:pPr>
        <w:spacing w:after="160" w:line="300"/>
      </w:pPr>
      <w:r>
        <w:t xml:space="preserve">EventLog writes are part of the core request path from Phase 1, not an analytics add-on bolted on later — this is what makes §22's KPIs measurable retroactively across every phase rather than only from whenever instrumentation happened to get built.</w:t>
      </w:r>
    </w:p>
    <w:p>
      <w:pPr>
        <w:pBdr>
          <w:bottom w:val="single" w:color="cccccc" w:sz="6" w:space="1"/>
        </w:pBdr>
        <w:spacing w:after="300"/>
      </w:pPr>
    </w:p>
    <w:p>
      <w:pPr>
        <w:pStyle w:val="Heading1"/>
        <w:spacing w:after="200" w:before="400"/>
      </w:pPr>
      <w:r>
        <w:rPr>
          <w:b/>
          <w:bCs/>
          <w:color w:val="1f3a5f"/>
        </w:rPr>
        <w:t xml:space="preserve">Appendix A — Glossary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a5f" w:color="auto" w:val="clear"/>
            <w:tcMar>
              <w:top w:type="dxa" w:w="80"/>
              <w:left w:type="dxa" w:w="100"/>
              <w:bottom w:type="dxa" w:w="80"/>
              <w:right w:type="dxa" w:w="100"/>
            </w:tcMar>
          </w:tcPr>
          <w:p>
            <w:pPr>
              <w:jc w:val="left"/>
            </w:pPr>
            <w:r>
              <w:rPr>
                <w:b/>
                <w:bCs/>
                <w:color w:val="FFFFFF"/>
                <w:sz w:val="19"/>
                <w:szCs w:val="19"/>
              </w:rPr>
              <w:t xml:space="preserve">Term</w:t>
            </w:r>
          </w:p>
        </w:tc>
        <w:tc>
          <w:tcPr>
            <w:tcW w:type="dxa" w:w="6200"/>
            <w:shd w:fill="1f3a5f" w:color="auto" w:val="clear"/>
            <w:tcMar>
              <w:top w:type="dxa" w:w="80"/>
              <w:left w:type="dxa" w:w="100"/>
              <w:bottom w:type="dxa" w:w="80"/>
              <w:right w:type="dxa" w:w="100"/>
            </w:tcMar>
          </w:tcPr>
          <w:p>
            <w:pPr>
              <w:jc w:val="left"/>
            </w:pPr>
            <w:r>
              <w:rPr>
                <w:b/>
                <w:bCs/>
                <w:color w:val="FFFFFF"/>
                <w:sz w:val="19"/>
                <w:szCs w:val="19"/>
              </w:rPr>
              <w:t xml:space="preserve">Meaning in this document</w:t>
            </w:r>
          </w:p>
        </w:tc>
      </w:tr>
      <w:tr>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Spine</w:t>
            </w:r>
          </w:p>
        </w:tc>
        <w:tc>
          <w:tcPr>
            <w:tcW w:type="dxa" w:w="6200"/>
            <w:shd w:fill="FFFFFF" w:color="auto" w:val="clear"/>
            <w:tcMar>
              <w:top w:type="dxa" w:w="80"/>
              <w:left w:type="dxa" w:w="100"/>
              <w:bottom w:type="dxa" w:w="80"/>
              <w:right w:type="dxa" w:w="100"/>
            </w:tcMar>
          </w:tcPr>
          <w:p>
            <w:pPr>
              <w:jc w:val="left"/>
            </w:pPr>
            <w:r>
              <w:rPr>
                <w:b w:val="false"/>
                <w:bCs w:val="false"/>
                <w:color w:val="1a1a1a"/>
                <w:sz w:val="19"/>
                <w:szCs w:val="19"/>
              </w:rPr>
              <w:t xml:space="preserve">The fixed core (API + data layer) that all phases build on without rewriting</w:t>
            </w:r>
          </w:p>
        </w:tc>
      </w:tr>
      <w:tr>
        <w:tc>
          <w:tcPr>
            <w:tcW w:type="dxa" w:w="2600"/>
            <w:shd w:fill="F5F8FC" w:color="auto" w:val="clear"/>
            <w:tcMar>
              <w:top w:type="dxa" w:w="80"/>
              <w:left w:type="dxa" w:w="100"/>
              <w:bottom w:type="dxa" w:w="80"/>
              <w:right w:type="dxa" w:w="100"/>
            </w:tcMar>
          </w:tcPr>
          <w:p>
            <w:pPr>
              <w:jc w:val="left"/>
            </w:pPr>
            <w:r>
              <w:rPr>
                <w:b w:val="false"/>
                <w:bCs w:val="false"/>
                <w:color w:val="1a1a1a"/>
                <w:sz w:val="19"/>
                <w:szCs w:val="19"/>
              </w:rPr>
              <w:t xml:space="preserve">MatchEngine / NotificationChannel</w:t>
            </w:r>
          </w:p>
        </w:tc>
        <w:tc>
          <w:tcPr>
            <w:tcW w:type="dxa" w:w="6200"/>
            <w:shd w:fill="F5F8FC" w:color="auto" w:val="clear"/>
            <w:tcMar>
              <w:top w:type="dxa" w:w="80"/>
              <w:left w:type="dxa" w:w="100"/>
              <w:bottom w:type="dxa" w:w="80"/>
              <w:right w:type="dxa" w:w="100"/>
            </w:tcMar>
          </w:tcPr>
          <w:p>
            <w:pPr>
              <w:jc w:val="left"/>
            </w:pPr>
            <w:r>
              <w:rPr>
                <w:b w:val="false"/>
                <w:bCs w:val="false"/>
                <w:color w:val="1a1a1a"/>
                <w:sz w:val="19"/>
                <w:szCs w:val="19"/>
              </w:rPr>
              <w:t xml:space="preserve">Interfaces with swappable implementations across phases (§1.3)</w:t>
            </w:r>
          </w:p>
        </w:tc>
      </w:tr>
      <w:tr>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Shadow mode</w:t>
            </w:r>
          </w:p>
        </w:tc>
        <w:tc>
          <w:tcPr>
            <w:tcW w:type="dxa" w:w="6200"/>
            <w:shd w:fill="FFFFFF" w:color="auto" w:val="clear"/>
            <w:tcMar>
              <w:top w:type="dxa" w:w="80"/>
              <w:left w:type="dxa" w:w="100"/>
              <w:bottom w:type="dxa" w:w="80"/>
              <w:right w:type="dxa" w:w="100"/>
            </w:tcMar>
          </w:tcPr>
          <w:p>
            <w:pPr>
              <w:jc w:val="left"/>
            </w:pPr>
            <w:r>
              <w:rPr>
                <w:b w:val="false"/>
                <w:bCs w:val="false"/>
                <w:color w:val="1a1a1a"/>
                <w:sz w:val="19"/>
                <w:szCs w:val="19"/>
              </w:rPr>
              <w:t xml:space="preserve">Running a new system (e.g. scraping) in parallel with production without affecting live data, to validate before cutover</w:t>
            </w:r>
          </w:p>
        </w:tc>
      </w:tr>
      <w:tr>
        <w:tc>
          <w:tcPr>
            <w:tcW w:type="dxa" w:w="2600"/>
            <w:shd w:fill="F5F8FC" w:color="auto" w:val="clear"/>
            <w:tcMar>
              <w:top w:type="dxa" w:w="80"/>
              <w:left w:type="dxa" w:w="100"/>
              <w:bottom w:type="dxa" w:w="80"/>
              <w:right w:type="dxa" w:w="100"/>
            </w:tcMar>
          </w:tcPr>
          <w:p>
            <w:pPr>
              <w:jc w:val="left"/>
            </w:pPr>
            <w:r>
              <w:rPr>
                <w:b w:val="false"/>
                <w:bCs w:val="false"/>
                <w:color w:val="1a1a1a"/>
                <w:sz w:val="19"/>
                <w:szCs w:val="19"/>
              </w:rPr>
              <w:t xml:space="preserve">SLO</w:t>
            </w:r>
          </w:p>
        </w:tc>
        <w:tc>
          <w:tcPr>
            <w:tcW w:type="dxa" w:w="6200"/>
            <w:shd w:fill="F5F8FC" w:color="auto" w:val="clear"/>
            <w:tcMar>
              <w:top w:type="dxa" w:w="80"/>
              <w:left w:type="dxa" w:w="100"/>
              <w:bottom w:type="dxa" w:w="80"/>
              <w:right w:type="dxa" w:w="100"/>
            </w:tcMar>
          </w:tcPr>
          <w:p>
            <w:pPr>
              <w:jc w:val="left"/>
            </w:pPr>
            <w:r>
              <w:rPr>
                <w:b w:val="false"/>
                <w:bCs w:val="false"/>
                <w:color w:val="1a1a1a"/>
                <w:sz w:val="19"/>
                <w:szCs w:val="19"/>
              </w:rPr>
              <w:t xml:space="preserve">Service Level Objective — a measurable reliability target per subsystem (§9)</w:t>
            </w:r>
          </w:p>
        </w:tc>
      </w:tr>
      <w:tr>
        <w:tc>
          <w:tcPr>
            <w:tcW w:type="dxa" w:w="2600"/>
            <w:shd w:fill="FFFFFF" w:color="auto" w:val="clear"/>
            <w:tcMar>
              <w:top w:type="dxa" w:w="80"/>
              <w:left w:type="dxa" w:w="100"/>
              <w:bottom w:type="dxa" w:w="80"/>
              <w:right w:type="dxa" w:w="100"/>
            </w:tcMar>
          </w:tcPr>
          <w:p>
            <w:pPr>
              <w:jc w:val="left"/>
            </w:pPr>
            <w:r>
              <w:rPr>
                <w:b w:val="false"/>
                <w:bCs w:val="false"/>
                <w:color w:val="1a1a1a"/>
                <w:sz w:val="19"/>
                <w:szCs w:val="19"/>
              </w:rPr>
              <w:t xml:space="preserve">Hard filter / gate</w:t>
            </w:r>
          </w:p>
        </w:tc>
        <w:tc>
          <w:tcPr>
            <w:tcW w:type="dxa" w:w="6200"/>
            <w:shd w:fill="FFFFFF" w:color="auto" w:val="clear"/>
            <w:tcMar>
              <w:top w:type="dxa" w:w="80"/>
              <w:left w:type="dxa" w:w="100"/>
              <w:bottom w:type="dxa" w:w="80"/>
              <w:right w:type="dxa" w:w="100"/>
            </w:tcMar>
          </w:tcPr>
          <w:p>
            <w:pPr>
              <w:jc w:val="left"/>
            </w:pPr>
            <w:r>
              <w:rPr>
                <w:b w:val="false"/>
                <w:bCs w:val="false"/>
                <w:color w:val="1a1a1a"/>
                <w:sz w:val="19"/>
                <w:szCs w:val="19"/>
              </w:rPr>
              <w:t xml:space="preserve">A matching rule that excludes a user rather than lowering their score (§4.1)</w:t>
            </w:r>
          </w:p>
        </w:tc>
      </w:tr>
    </w:tbl>
    <w:p>
      <w:pPr>
        <w:spacing w:before="400"/>
      </w:pPr>
      <w:r>
        <w:rPr>
          <w:b/>
          <w:bCs/>
        </w:rPr>
        <w:t xml:space="preserve">Document coverage check: </w:t>
      </w:r>
      <w:r>
        <w:t xml:space="preserve">every numbered section (§1–24) of the original OppScout Concept Definition &amp; Product Framework is referenced at least once above. No feature was removed in the planning process — only sequenced.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OppScout — Master Technical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aebf252d0208c4aeb22ee52c27cf5c3ab1a777.png"/><Relationship Id="rId10" Type="http://schemas.openxmlformats.org/officeDocument/2006/relationships/image" Target="media/ae1a904d7a40ffbc9db09cdc37c32617d2d6ef69.png"/><Relationship Id="rId11" Type="http://schemas.openxmlformats.org/officeDocument/2006/relationships/image" Target="media/3b02784c4adf670df735d7863743da4b773c14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2026-08-17T20:06:59.070Z</dcterms:created>
  <dcterms:modified xsi:type="dcterms:W3CDTF">2026-08-17T20:06:59.070Z</dcterms:modified>
</cp:coreProperties>
</file>

<file path=docProps/custom.xml><?xml version="1.0" encoding="utf-8"?>
<Properties xmlns="http://schemas.openxmlformats.org/officeDocument/2006/custom-properties" xmlns:vt="http://schemas.openxmlformats.org/officeDocument/2006/docPropsVTypes"/>
</file>