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20" w:before="220" w:line="360" w:lineRule="auto"/>
        <w:rPr/>
      </w:pPr>
      <w:bookmarkStart w:colFirst="0" w:colLast="0" w:name="_xvi2crt74vd9" w:id="0"/>
      <w:bookmarkEnd w:id="0"/>
      <w:r w:rsidDel="00000000" w:rsidR="00000000" w:rsidRPr="00000000">
        <w:rPr>
          <w:rtl w:val="0"/>
        </w:rPr>
        <w:t xml:space="preserve">Activities in Module 11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fc1s3kfr854" w:id="1"/>
      <w:bookmarkEnd w:id="1"/>
      <w:r w:rsidDel="00000000" w:rsidR="00000000" w:rsidRPr="00000000">
        <w:rPr>
          <w:rtl w:val="0"/>
        </w:rPr>
        <w:t xml:space="preserve">Module 11: Classes and Objects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rtl w:val="0"/>
        </w:rPr>
        <w:t xml:space="preserve">✓ Learn 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rtl w:val="0"/>
        </w:rPr>
        <w:t xml:space="preserve">✓ Declare class members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rtl w:val="0"/>
        </w:rPr>
        <w:t xml:space="preserve">✓ Define member functions (private, inline, etc)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rtl w:val="0"/>
        </w:rPr>
        <w:t xml:space="preserve">✓ Write constructors and destructors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rtl w:val="0"/>
        </w:rPr>
        <w:t xml:space="preserve">✓ Learn encapsulation &amp; data hiding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rtl w:val="0"/>
        </w:rPr>
        <w:t xml:space="preserve">✓ Write accessors &amp; mutators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rtl w:val="0"/>
        </w:rPr>
        <w:t xml:space="preserve">✓ Create objects, including an array of Objects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100" w:before="100" w:line="360" w:lineRule="auto"/>
        <w:rPr>
          <w:sz w:val="24"/>
          <w:szCs w:val="24"/>
        </w:rPr>
      </w:pPr>
      <w:bookmarkStart w:colFirst="0" w:colLast="0" w:name="_9kjqxlegyjt2" w:id="2"/>
      <w:bookmarkEnd w:id="2"/>
      <w:r w:rsidDel="00000000" w:rsidR="00000000" w:rsidRPr="00000000">
        <w:rPr>
          <w:sz w:val="39"/>
          <w:szCs w:val="39"/>
          <w:rtl w:val="0"/>
        </w:rPr>
        <w:t xml:space="preserve">Reading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Assignment Reading 11</w:t>
      </w:r>
      <w:r w:rsidDel="00000000" w:rsidR="00000000" w:rsidRPr="00000000">
        <w:rPr>
          <w:rtl w:val="0"/>
        </w:rPr>
      </w:r>
    </w:p>
    <w:tbl>
      <w:tblPr>
        <w:tblStyle w:val="Table1"/>
        <w:tblW w:w="6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85"/>
        <w:tblGridChange w:id="0">
          <w:tblGrid>
            <w:gridCol w:w="6285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hd w:fill="ffffff" w:val="clear"/>
              <w:spacing w:after="180" w:before="18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Module 11: Classes and Objects</w:t>
              <w:br w:type="textWrapping"/>
              <w:t xml:space="preserve">11.5 Choosing classes to create</w:t>
              <w:br w:type="textWrapping"/>
              <w:t xml:space="preserve">11.6 Constructor overloading</w:t>
              <w:br w:type="textWrapping"/>
              <w:t xml:space="preserve">11.7 Constructor initializer lists</w:t>
              <w:br w:type="textWrapping"/>
              <w:t xml:space="preserve">11.8 The 'this' implicit parameter</w:t>
              <w:br w:type="textWrapping"/>
              <w:t xml:space="preserve">11.9 Static data members and functions</w:t>
              <w:br w:type="textWrapping"/>
              <w:t xml:space="preserve">11.10 C++ example: Salary calculation with classes</w:t>
              <w:br w:type="textWrapping"/>
              <w:t xml:space="preserve">11.11 C++ example: Domain name availability with classes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24"/>
          <w:szCs w:val="24"/>
        </w:rPr>
      </w:pPr>
      <w:bookmarkStart w:colFirst="0" w:colLast="0" w:name="_9kjqxlegyjt2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40"/>
        <w:gridCol w:w="2030"/>
        <w:gridCol w:w="2435"/>
        <w:tblGridChange w:id="0">
          <w:tblGrid>
            <w:gridCol w:w="3440"/>
            <w:gridCol w:w="2030"/>
            <w:gridCol w:w="24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jc w:val="center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Activity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jc w:val="center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Points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jc w:val="center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Meets Competency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 Reading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The 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100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5.1, 5.2, 5.5, 5.7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Student Enrollment Tracker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100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kjqxlegyjt2" w:id="2"/>
            <w:bookmarkEnd w:id="2"/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5.3, 5.4, 5.6</w:t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hd w:fill="ffffff" w:val="clear"/>
              <w:spacing w:after="100" w:before="100" w:line="360" w:lineRule="auto"/>
              <w:rPr>
                <w:color w:val="2d3b45"/>
                <w:sz w:val="24"/>
                <w:szCs w:val="24"/>
              </w:rPr>
            </w:pPr>
            <w:bookmarkStart w:colFirst="0" w:colLast="0" w:name="_9cx7rrmtgmao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100" w:before="100" w:line="360" w:lineRule="auto"/>
        <w:rPr/>
      </w:pPr>
      <w:bookmarkStart w:colFirst="0" w:colLast="0" w:name="_ncd2vn2j4hbj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720" w:top="50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