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2E069" w14:textId="781085B2" w:rsidR="00951C5E" w:rsidRDefault="005F508C">
      <w:pPr>
        <w:rPr>
          <w:b/>
        </w:rPr>
      </w:pPr>
      <w:r>
        <w:rPr>
          <w:b/>
        </w:rPr>
        <w:softHyphen/>
      </w:r>
      <w:r>
        <w:rPr>
          <w:b/>
        </w:rPr>
        <w:softHyphen/>
      </w:r>
      <w:r>
        <w:rPr>
          <w:b/>
        </w:rPr>
        <w:softHyphen/>
      </w:r>
      <w:r>
        <w:rPr>
          <w:b/>
        </w:rPr>
        <w:softHyphen/>
      </w:r>
      <w:r>
        <w:rPr>
          <w:b/>
        </w:rPr>
        <w:softHyphen/>
      </w:r>
      <w:r>
        <w:rPr>
          <w:b/>
        </w:rPr>
        <w:softHyphen/>
      </w:r>
      <w:bookmarkStart w:id="0" w:name="_GoBack"/>
      <w:bookmarkEnd w:id="0"/>
      <w:r w:rsidR="00DC4DC1" w:rsidRPr="00DC4DC1">
        <w:rPr>
          <w:b/>
        </w:rPr>
        <w:t xml:space="preserve">Prognostic value of CA20, a score based on centrosome amplification-associated genes, in breast </w:t>
      </w:r>
      <w:proofErr w:type="spellStart"/>
      <w:r w:rsidR="00DC4DC1" w:rsidRPr="00DC4DC1">
        <w:rPr>
          <w:b/>
        </w:rPr>
        <w:t>tumors</w:t>
      </w:r>
      <w:proofErr w:type="spellEnd"/>
    </w:p>
    <w:p w14:paraId="40521319" w14:textId="6AC1E4CE" w:rsidR="00DC4DC1" w:rsidRDefault="005F36FC">
      <w:pPr>
        <w:rPr>
          <w:color w:val="000000"/>
          <w:shd w:val="clear" w:color="auto" w:fill="FFFFFF"/>
        </w:rPr>
      </w:pPr>
      <w:r>
        <w:rPr>
          <w:color w:val="000000"/>
          <w:shd w:val="clear" w:color="auto" w:fill="FFFFFF"/>
        </w:rPr>
        <w:t>Developed a signature, “CA20”, comprising centrosome structural genes and genes whose dysregulation is implicated in inducing CA.</w:t>
      </w:r>
      <w:r w:rsidR="00694E2D">
        <w:rPr>
          <w:color w:val="000000"/>
          <w:shd w:val="clear" w:color="auto" w:fill="FFFFFF"/>
        </w:rPr>
        <w:t xml:space="preserve"> CA20 was a significant independent predictor of worse survival in two large independent datasets after adjusting for potentially confounding factors.</w:t>
      </w:r>
    </w:p>
    <w:p w14:paraId="2B73AEB2" w14:textId="6166C0D4" w:rsidR="00D97CE3" w:rsidRDefault="00D97CE3">
      <w:pPr>
        <w:rPr>
          <w:color w:val="000000"/>
          <w:shd w:val="clear" w:color="auto" w:fill="FFFFFF"/>
        </w:rPr>
      </w:pPr>
      <w:r>
        <w:rPr>
          <w:color w:val="000000"/>
          <w:shd w:val="clear" w:color="auto" w:fill="FFFFFF"/>
        </w:rPr>
        <w:t xml:space="preserve">Datasets: </w:t>
      </w:r>
      <w:r w:rsidR="005748B5">
        <w:rPr>
          <w:color w:val="000000"/>
          <w:shd w:val="clear" w:color="auto" w:fill="FFFFFF"/>
        </w:rPr>
        <w:t xml:space="preserve">METABRIC (1969 primary breast </w:t>
      </w:r>
      <w:proofErr w:type="gramStart"/>
      <w:r w:rsidR="005748B5">
        <w:rPr>
          <w:color w:val="000000"/>
          <w:shd w:val="clear" w:color="auto" w:fill="FFFFFF"/>
        </w:rPr>
        <w:t xml:space="preserve">cancers) </w:t>
      </w:r>
      <w:r>
        <w:rPr>
          <w:color w:val="000000"/>
          <w:shd w:val="clear" w:color="auto" w:fill="FFFFFF"/>
        </w:rPr>
        <w:t xml:space="preserve"> and</w:t>
      </w:r>
      <w:proofErr w:type="gramEnd"/>
      <w:r>
        <w:rPr>
          <w:color w:val="000000"/>
          <w:shd w:val="clear" w:color="auto" w:fill="FFFFFF"/>
        </w:rPr>
        <w:t xml:space="preserve"> </w:t>
      </w:r>
      <w:r w:rsidR="005748B5">
        <w:rPr>
          <w:color w:val="000000"/>
          <w:shd w:val="clear" w:color="auto" w:fill="FFFFFF"/>
        </w:rPr>
        <w:t>TCGA (524 primary invasive breast cancers</w:t>
      </w:r>
    </w:p>
    <w:p w14:paraId="6EE9D7B0" w14:textId="2639E826" w:rsidR="00D97CE3" w:rsidRDefault="001B212F">
      <w:pPr>
        <w:rPr>
          <w:color w:val="000000"/>
          <w:shd w:val="clear" w:color="auto" w:fill="FFFFFF"/>
        </w:rPr>
      </w:pPr>
      <w:r>
        <w:rPr>
          <w:color w:val="000000"/>
          <w:shd w:val="clear" w:color="auto" w:fill="FFFFFF"/>
        </w:rPr>
        <w:t>METABRIC:</w:t>
      </w:r>
    </w:p>
    <w:p w14:paraId="168BBA78" w14:textId="67BA7B2D" w:rsidR="001B212F" w:rsidRDefault="001B212F">
      <w:pPr>
        <w:rPr>
          <w:noProof/>
        </w:rPr>
      </w:pPr>
      <w:r>
        <w:rPr>
          <w:color w:val="000000"/>
          <w:shd w:val="clear" w:color="auto" w:fill="FFFFFF"/>
        </w:rPr>
        <w:t xml:space="preserve">Stratification: Average CA20 and CIN35 </w:t>
      </w:r>
      <w:proofErr w:type="gramStart"/>
      <w:r>
        <w:rPr>
          <w:color w:val="000000"/>
          <w:shd w:val="clear" w:color="auto" w:fill="FFFFFF"/>
        </w:rPr>
        <w:t xml:space="preserve">scores </w:t>
      </w:r>
      <w:r w:rsidR="00B332A1">
        <w:rPr>
          <w:color w:val="000000"/>
          <w:shd w:val="clear" w:color="auto" w:fill="FFFFFF"/>
        </w:rPr>
        <w:t>,</w:t>
      </w:r>
      <w:proofErr w:type="gramEnd"/>
      <w:r w:rsidR="00B332A1">
        <w:rPr>
          <w:color w:val="000000"/>
          <w:shd w:val="clear" w:color="auto" w:fill="FFFFFF"/>
        </w:rPr>
        <w:t xml:space="preserve"> optimal </w:t>
      </w:r>
      <w:proofErr w:type="spellStart"/>
      <w:r w:rsidR="00B332A1">
        <w:rPr>
          <w:color w:val="000000"/>
          <w:shd w:val="clear" w:color="auto" w:fill="FFFFFF"/>
        </w:rPr>
        <w:t>cutpoints</w:t>
      </w:r>
      <w:proofErr w:type="spellEnd"/>
      <w:r w:rsidR="00B332A1">
        <w:rPr>
          <w:color w:val="000000"/>
          <w:shd w:val="clear" w:color="auto" w:fill="FFFFFF"/>
        </w:rPr>
        <w:t xml:space="preserve"> in CA20 and CIN25 scores in d</w:t>
      </w:r>
      <w:r w:rsidR="001D3C0E">
        <w:rPr>
          <w:color w:val="000000"/>
          <w:shd w:val="clear" w:color="auto" w:fill="FFFFFF"/>
        </w:rPr>
        <w:t>i</w:t>
      </w:r>
      <w:r w:rsidR="00B332A1">
        <w:rPr>
          <w:color w:val="000000"/>
          <w:shd w:val="clear" w:color="auto" w:fill="FFFFFF"/>
        </w:rPr>
        <w:t xml:space="preserve">scovery sets using log rank test. </w:t>
      </w:r>
      <w:r w:rsidR="00AB2066">
        <w:rPr>
          <w:color w:val="000000"/>
          <w:shd w:val="clear" w:color="auto" w:fill="FFFFFF"/>
        </w:rPr>
        <w:t xml:space="preserve">CA20, when stratified by optimal and average cut points, </w:t>
      </w:r>
      <w:r w:rsidR="00803054">
        <w:rPr>
          <w:color w:val="000000"/>
          <w:shd w:val="clear" w:color="auto" w:fill="FFFFFF"/>
        </w:rPr>
        <w:t xml:space="preserve">significantly predicts BCSS in multivariate model. </w:t>
      </w:r>
      <w:r w:rsidR="00D62568">
        <w:rPr>
          <w:color w:val="000000"/>
          <w:shd w:val="clear" w:color="auto" w:fill="FFFFFF"/>
        </w:rPr>
        <w:t xml:space="preserve"> CA20 (whether stratified by the average score or optimal </w:t>
      </w:r>
      <w:proofErr w:type="spellStart"/>
      <w:r w:rsidR="00D62568">
        <w:rPr>
          <w:color w:val="000000"/>
          <w:shd w:val="clear" w:color="auto" w:fill="FFFFFF"/>
        </w:rPr>
        <w:t>cutpoint</w:t>
      </w:r>
      <w:proofErr w:type="spellEnd"/>
      <w:r w:rsidR="00D62568">
        <w:rPr>
          <w:color w:val="000000"/>
          <w:shd w:val="clear" w:color="auto" w:fill="FFFFFF"/>
        </w:rPr>
        <w:t>) is a significant predictor of BCSS after adjusting for stage and chemotherapy.</w:t>
      </w:r>
      <w:r w:rsidR="00F62F01" w:rsidRPr="00F62F01">
        <w:rPr>
          <w:noProof/>
        </w:rPr>
        <w:t xml:space="preserve"> </w:t>
      </w:r>
      <w:r w:rsidR="00F62F01">
        <w:rPr>
          <w:noProof/>
        </w:rPr>
        <w:drawing>
          <wp:inline distT="0" distB="0" distL="0" distR="0" wp14:anchorId="4A125F7A" wp14:editId="4C3983C4">
            <wp:extent cx="5731510" cy="26244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24455"/>
                    </a:xfrm>
                    <a:prstGeom prst="rect">
                      <a:avLst/>
                    </a:prstGeom>
                  </pic:spPr>
                </pic:pic>
              </a:graphicData>
            </a:graphic>
          </wp:inline>
        </w:drawing>
      </w:r>
      <w:r w:rsidR="009F0951" w:rsidRPr="009F0951">
        <w:rPr>
          <w:noProof/>
        </w:rPr>
        <w:t xml:space="preserve"> </w:t>
      </w:r>
      <w:r w:rsidR="009F0951">
        <w:rPr>
          <w:noProof/>
        </w:rPr>
        <w:drawing>
          <wp:inline distT="0" distB="0" distL="0" distR="0" wp14:anchorId="0E922AFF" wp14:editId="5525B924">
            <wp:extent cx="5731510" cy="8331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33120"/>
                    </a:xfrm>
                    <a:prstGeom prst="rect">
                      <a:avLst/>
                    </a:prstGeom>
                  </pic:spPr>
                </pic:pic>
              </a:graphicData>
            </a:graphic>
          </wp:inline>
        </w:drawing>
      </w:r>
    </w:p>
    <w:p w14:paraId="5058C210" w14:textId="78145F03" w:rsidR="009F0951" w:rsidRDefault="009F0951">
      <w:pPr>
        <w:rPr>
          <w:b/>
        </w:rPr>
      </w:pPr>
      <w:r>
        <w:rPr>
          <w:noProof/>
        </w:rPr>
        <w:drawing>
          <wp:inline distT="0" distB="0" distL="0" distR="0" wp14:anchorId="7FA3FAD5" wp14:editId="1A5F73C4">
            <wp:extent cx="5731510" cy="8305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30580"/>
                    </a:xfrm>
                    <a:prstGeom prst="rect">
                      <a:avLst/>
                    </a:prstGeom>
                  </pic:spPr>
                </pic:pic>
              </a:graphicData>
            </a:graphic>
          </wp:inline>
        </w:drawing>
      </w:r>
    </w:p>
    <w:p w14:paraId="408DE4FC" w14:textId="1B93532F" w:rsidR="001D3C0E" w:rsidRDefault="00526E0F">
      <w:pPr>
        <w:rPr>
          <w:b/>
        </w:rPr>
      </w:pPr>
      <w:r>
        <w:rPr>
          <w:b/>
        </w:rPr>
        <w:t>TCGA dataset:</w:t>
      </w:r>
    </w:p>
    <w:p w14:paraId="7DEAEA6B" w14:textId="37FABBBC" w:rsidR="00526E0F" w:rsidRDefault="00526E0F">
      <w:r>
        <w:t>Average and optimal cut point stratification</w:t>
      </w:r>
    </w:p>
    <w:p w14:paraId="761B3A92" w14:textId="7B975C7C" w:rsidR="000D6E2B" w:rsidRDefault="000D6E2B">
      <w:pPr>
        <w:rPr>
          <w:color w:val="000000"/>
          <w:shd w:val="clear" w:color="auto" w:fill="FFFFFF"/>
        </w:rPr>
      </w:pPr>
      <w:r>
        <w:rPr>
          <w:color w:val="000000"/>
          <w:shd w:val="clear" w:color="auto" w:fill="FFFFFF"/>
        </w:rPr>
        <w:t>Discussion</w:t>
      </w:r>
    </w:p>
    <w:p w14:paraId="2900DF7C" w14:textId="16C747D3" w:rsidR="00526E0F" w:rsidRDefault="000D6E2B">
      <w:pPr>
        <w:rPr>
          <w:color w:val="000000"/>
          <w:shd w:val="clear" w:color="auto" w:fill="FFFFFF"/>
        </w:rPr>
      </w:pPr>
      <w:r>
        <w:rPr>
          <w:color w:val="000000"/>
          <w:shd w:val="clear" w:color="auto" w:fill="FFFFFF"/>
        </w:rPr>
        <w:t xml:space="preserve">we found that high CA20 score was associated with worse BCSS and OS after adjusting for potentially confounding factors, suggesting that CA20 could be a useful clinical tool to identify breast cancer </w:t>
      </w:r>
      <w:r>
        <w:rPr>
          <w:color w:val="000000"/>
          <w:shd w:val="clear" w:color="auto" w:fill="FFFFFF"/>
        </w:rPr>
        <w:lastRenderedPageBreak/>
        <w:t>patients at greater risk of poor outcomes. When both CA20 and CIN25 were factored into multivariable models, only CA20 was significantly associated with outcomes. This finding suggests that when CA20 is accounted for CIN25 no longer holds prognostic value. </w:t>
      </w:r>
    </w:p>
    <w:p w14:paraId="593664D6" w14:textId="5DDA6A56" w:rsidR="000D6E2B" w:rsidRDefault="00D00D7B">
      <w:r>
        <w:t>Calculation details of CA20 Score:</w:t>
      </w:r>
    </w:p>
    <w:p w14:paraId="1F2E4CCC" w14:textId="3689BA6C" w:rsidR="00D00D7B" w:rsidRDefault="00D00D7B">
      <w:pPr>
        <w:rPr>
          <w:color w:val="000000"/>
          <w:shd w:val="clear" w:color="auto" w:fill="FFFFFF"/>
        </w:rPr>
      </w:pPr>
      <w:r>
        <w:t xml:space="preserve">Data: </w:t>
      </w:r>
      <w:r>
        <w:rPr>
          <w:color w:val="000000"/>
          <w:shd w:val="clear" w:color="auto" w:fill="FFFFFF"/>
        </w:rPr>
        <w:t xml:space="preserve"> log</w:t>
      </w:r>
      <w:r>
        <w:rPr>
          <w:color w:val="000000"/>
          <w:sz w:val="20"/>
          <w:szCs w:val="20"/>
          <w:shd w:val="clear" w:color="auto" w:fill="FFFFFF"/>
          <w:vertAlign w:val="subscript"/>
        </w:rPr>
        <w:t>2</w:t>
      </w:r>
      <w:r>
        <w:rPr>
          <w:color w:val="000000"/>
          <w:shd w:val="clear" w:color="auto" w:fill="FFFFFF"/>
        </w:rPr>
        <w:t> median-</w:t>
      </w:r>
      <w:proofErr w:type="spellStart"/>
      <w:r>
        <w:rPr>
          <w:color w:val="000000"/>
          <w:shd w:val="clear" w:color="auto" w:fill="FFFFFF"/>
        </w:rPr>
        <w:t>centered</w:t>
      </w:r>
      <w:proofErr w:type="spellEnd"/>
      <w:r>
        <w:rPr>
          <w:color w:val="000000"/>
          <w:shd w:val="clear" w:color="auto" w:fill="FFFFFF"/>
        </w:rPr>
        <w:t xml:space="preserve"> signature gene expression levels</w:t>
      </w:r>
      <w:r w:rsidR="00AB2F06">
        <w:rPr>
          <w:color w:val="000000"/>
          <w:shd w:val="clear" w:color="auto" w:fill="FFFFFF"/>
        </w:rPr>
        <w:t xml:space="preserve">. </w:t>
      </w:r>
      <w:r w:rsidR="00AB2F06">
        <w:rPr>
          <w:rStyle w:val="Strong"/>
          <w:color w:val="000000"/>
          <w:shd w:val="clear" w:color="auto" w:fill="FFFFFF"/>
        </w:rPr>
        <w:t>METABRIC dataset:</w:t>
      </w:r>
      <w:r w:rsidR="00AB2F06">
        <w:rPr>
          <w:color w:val="000000"/>
          <w:shd w:val="clear" w:color="auto" w:fill="FFFFFF"/>
        </w:rPr>
        <w:t xml:space="preserve"> Normal breast, benign breast neoplasms, and cases without BCSS annotation were excluded from analyses, resulting in a sample size of n = 1,969 primary breast cancers. </w:t>
      </w:r>
      <w:r w:rsidR="00E02FC2">
        <w:rPr>
          <w:color w:val="000000"/>
          <w:shd w:val="clear" w:color="auto" w:fill="FFFFFF"/>
        </w:rPr>
        <w:t>T</w:t>
      </w:r>
      <w:r w:rsidR="00E02FC2">
        <w:rPr>
          <w:rStyle w:val="Strong"/>
          <w:color w:val="000000"/>
          <w:shd w:val="clear" w:color="auto" w:fill="FFFFFF"/>
        </w:rPr>
        <w:t>CGA dataset:</w:t>
      </w:r>
      <w:r w:rsidR="00E02FC2">
        <w:rPr>
          <w:color w:val="000000"/>
          <w:shd w:val="clear" w:color="auto" w:fill="FFFFFF"/>
        </w:rPr>
        <w:t> Normal breast specimens, metastases, and male breast cancers were excluded from analyses, resulting in a sample size of n = 524 primary invasive breast cancers</w:t>
      </w:r>
      <w:r w:rsidR="009D4CFF">
        <w:rPr>
          <w:color w:val="000000"/>
          <w:shd w:val="clear" w:color="auto" w:fill="FFFFFF"/>
        </w:rPr>
        <w:t>. The CA20 and CIN25 scores were calculated as the sum of the normalized (log</w:t>
      </w:r>
      <w:r w:rsidR="009D4CFF">
        <w:rPr>
          <w:color w:val="000000"/>
          <w:sz w:val="20"/>
          <w:szCs w:val="20"/>
          <w:shd w:val="clear" w:color="auto" w:fill="FFFFFF"/>
          <w:vertAlign w:val="subscript"/>
        </w:rPr>
        <w:t>2</w:t>
      </w:r>
      <w:r w:rsidR="009D4CFF">
        <w:rPr>
          <w:color w:val="000000"/>
          <w:shd w:val="clear" w:color="auto" w:fill="FFFFFF"/>
        </w:rPr>
        <w:t>median-centered) expression levels of the signature genes.</w:t>
      </w:r>
    </w:p>
    <w:p w14:paraId="5CC191B5" w14:textId="77777777" w:rsidR="00821BB9" w:rsidRPr="00526E0F" w:rsidRDefault="00821BB9"/>
    <w:sectPr w:rsidR="00821BB9" w:rsidRPr="00526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1ACC"/>
    <w:rsid w:val="000D6E2B"/>
    <w:rsid w:val="001B212F"/>
    <w:rsid w:val="001D3C0E"/>
    <w:rsid w:val="00261FCB"/>
    <w:rsid w:val="00315927"/>
    <w:rsid w:val="004E2BDF"/>
    <w:rsid w:val="004F64A3"/>
    <w:rsid w:val="00526E0F"/>
    <w:rsid w:val="005748B5"/>
    <w:rsid w:val="005F36FC"/>
    <w:rsid w:val="005F508C"/>
    <w:rsid w:val="00694E2D"/>
    <w:rsid w:val="007734F3"/>
    <w:rsid w:val="00803054"/>
    <w:rsid w:val="00821BB9"/>
    <w:rsid w:val="00951C5E"/>
    <w:rsid w:val="00961ACC"/>
    <w:rsid w:val="009D4CFF"/>
    <w:rsid w:val="009F0951"/>
    <w:rsid w:val="00AB2066"/>
    <w:rsid w:val="00AB2F06"/>
    <w:rsid w:val="00B332A1"/>
    <w:rsid w:val="00D00D7B"/>
    <w:rsid w:val="00D62568"/>
    <w:rsid w:val="00D97CE3"/>
    <w:rsid w:val="00DC4DC1"/>
    <w:rsid w:val="00E02FC2"/>
    <w:rsid w:val="00F62F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6676"/>
  <w15:chartTrackingRefBased/>
  <w15:docId w15:val="{A088B14D-A065-4397-A86C-2A05EAAB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F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F01"/>
    <w:rPr>
      <w:rFonts w:ascii="Segoe UI" w:hAnsi="Segoe UI" w:cs="Segoe UI"/>
      <w:sz w:val="18"/>
      <w:szCs w:val="18"/>
    </w:rPr>
  </w:style>
  <w:style w:type="character" w:styleId="Strong">
    <w:name w:val="Strong"/>
    <w:basedOn w:val="DefaultParagraphFont"/>
    <w:uiPriority w:val="22"/>
    <w:qFormat/>
    <w:rsid w:val="00AB2F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74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1711</TotalTime>
  <Pages>2</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AJMAL, HAMDA</dc:creator>
  <cp:keywords/>
  <dc:description/>
  <cp:lastModifiedBy>AJMAL, HAMDA</cp:lastModifiedBy>
  <cp:revision>25</cp:revision>
  <dcterms:created xsi:type="dcterms:W3CDTF">2019-04-30T10:37:00Z</dcterms:created>
  <dcterms:modified xsi:type="dcterms:W3CDTF">2019-05-03T15:21:00Z</dcterms:modified>
</cp:coreProperties>
</file>