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{pngname}" ContentType="image/png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rPr/>
      </w:pPr>
      <w:r>
        <w:rPr/>
        <w:t>Purpose</w:t>
      </w:r>
    </w:p>
    <w:p>
      <w:pPr>
        <w:pStyle w:val="Normal"/>
        <w:rPr/>
      </w:pPr>
      <w:r>
        <w:rPr/>
        <w:br/>
        <w:t>The purpose of the transfer meeting is to ensure a complete and uniform transfer of all project data to a next phase.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 xml:space="preserve">Scope </w:t>
      </w:r>
    </w:p>
    <w:p>
      <w:pPr>
        <w:pStyle w:val="Normal"/>
        <w:rPr>
          <w:b/>
        </w:rPr>
      </w:pPr>
      <w:r>
        <w:rPr>
          <w:b/>
        </w:rPr>
        <w:br/>
      </w:r>
      <w:r>
        <w:rPr/>
        <w:t>This procedure is applicable for all projects</w:t>
        <w:br/>
      </w:r>
    </w:p>
    <w:p>
      <w:pPr>
        <w:pStyle w:val="Heading1"/>
        <w:rPr/>
      </w:pPr>
      <w:r>
        <w:rPr/>
        <w:t>Explanation of terms</w:t>
      </w:r>
    </w:p>
    <w:p>
      <w:pPr>
        <w:pStyle w:val="Normal"/>
        <w:rPr/>
      </w:pPr>
      <w:r>
        <w:rPr>
          <w:b/>
        </w:rPr>
        <w:br/>
      </w:r>
      <w:r>
        <w:rPr/>
        <w:t>None.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Heading1"/>
        <w:rPr/>
      </w:pPr>
      <w:r>
        <w:rPr/>
        <w:t>Interface documentation</w:t>
      </w:r>
    </w:p>
    <w:p>
      <w:pPr>
        <w:pStyle w:val="Normal"/>
        <w:rPr/>
      </w:pPr>
      <w:r>
        <w:rPr/>
      </w:r>
    </w:p>
    <w:p>
      <w:pPr>
        <w:pStyle w:val="Normal"/>
        <w:numPr>
          <w:ilvl w:val="0"/>
          <w:numId w:val="7"/>
        </w:numPr>
        <w:tabs>
          <w:tab w:val="clear" w:pos="567"/>
        </w:tabs>
        <w:ind w:hanging="567" w:left="1134" w:right="0"/>
        <w:rPr/>
      </w:pPr>
      <w:r>
        <w:rPr/>
        <w:t>Procedure Kick Off Meeting [QU-P-18]</w:t>
      </w:r>
    </w:p>
    <w:p>
      <w:pPr>
        <w:pStyle w:val="Normal"/>
        <w:numPr>
          <w:ilvl w:val="0"/>
          <w:numId w:val="7"/>
        </w:numPr>
        <w:tabs>
          <w:tab w:val="clear" w:pos="567"/>
        </w:tabs>
        <w:ind w:hanging="567" w:left="1134" w:right="0"/>
        <w:rPr/>
      </w:pPr>
      <w:r>
        <w:rPr/>
        <w:t>Procedure Project File [QU-P-05]</w:t>
      </w:r>
    </w:p>
    <w:p>
      <w:pPr>
        <w:pStyle w:val="Normal"/>
        <w:ind w:left="360" w:right="0"/>
        <w:rPr/>
      </w:pPr>
      <w:r>
        <w:rPr/>
      </w:r>
    </w:p>
    <w:p>
      <w:pPr>
        <w:pStyle w:val="Heading1"/>
        <w:rPr/>
      </w:pPr>
      <w:r>
        <w:rPr/>
        <w:t>Responsibilities</w:t>
        <w:br/>
      </w:r>
    </w:p>
    <w:p>
      <w:pPr>
        <w:pStyle w:val="BodyTextIndent"/>
        <w:rPr/>
      </w:pPr>
      <w:r>
        <w:rPr/>
        <w:t>The table below indicates the organiser of the Transfer Meeting, the minimum attendance and the distribution.</w:t>
      </w:r>
    </w:p>
    <w:p>
      <w:pPr>
        <w:pStyle w:val="Normal"/>
        <w:ind w:left="0" w:right="0"/>
        <w:rPr/>
      </w:pPr>
      <w:r>
        <w:rPr/>
      </w:r>
    </w:p>
    <w:tbl>
      <w:tblPr>
        <w:tblW w:w="8364" w:type="dxa"/>
        <w:jc w:val="left"/>
        <w:tblInd w:w="67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8"/>
        <w:gridCol w:w="1275"/>
        <w:gridCol w:w="3403"/>
        <w:gridCol w:w="1418"/>
      </w:tblGrid>
      <w:tr>
        <w:trPr/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b/>
              </w:rPr>
            </w:pPr>
            <w:r>
              <w:rPr>
                <w:b/>
              </w:rPr>
              <w:t>Transfer meeting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b/>
              </w:rPr>
            </w:pPr>
            <w:r>
              <w:rPr>
                <w:b/>
              </w:rPr>
              <w:t>Organiser of meeting &amp; agenda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b/>
              </w:rPr>
            </w:pPr>
            <w:r>
              <w:rPr>
                <w:b/>
              </w:rPr>
              <w:t>Proposed attendance by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b/>
              </w:rPr>
            </w:pPr>
            <w:r>
              <w:rPr>
                <w:b/>
              </w:rPr>
              <w:t>Distribution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/>
              <w:t>Marketing &amp; Business Development to Tender &amp; Negotiation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/>
              <w:t>Area/ subs manager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/>
              <w:t>Area manager/ subsidiary manager, tender manager, estimator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/>
              <w:t xml:space="preserve">Participants + PE  dept  head 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Tender kick off meeting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i/>
                <w:i/>
              </w:rPr>
            </w:pPr>
            <w:r>
              <w:rPr>
                <w:i/>
              </w:rPr>
              <w:t>See procedure kick off meeting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0" w:right="0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/>
              <w:t>Tender &amp; Negotiation to Work Preparation.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/>
              <w:t>Area/ Subs manager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/>
              <w:t>Tender team: Tender manager, estimator, area manager/ subsidiary manager, ad hoc staff, department related experts.</w:t>
            </w:r>
          </w:p>
          <w:p>
            <w:pPr>
              <w:pStyle w:val="Normal"/>
              <w:ind w:left="0" w:right="0"/>
              <w:rPr/>
            </w:pPr>
            <w:r>
              <w:rPr/>
              <w:t>Work preparation team: Project manager, work preparation team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/>
              <w:t>Participants + PE department head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Project kick off meeting with Partners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i/>
                <w:i/>
              </w:rPr>
            </w:pPr>
            <w:r>
              <w:rPr>
                <w:i/>
              </w:rPr>
              <w:t>Area/ subs manager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i/>
                <w:i/>
              </w:rPr>
            </w:pPr>
            <w:r>
              <w:rPr>
                <w:i/>
              </w:rPr>
              <w:t>See procedure kick off meetings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0" w:right="0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Internal project kick off meeting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i/>
                <w:i/>
              </w:rPr>
            </w:pPr>
            <w:r>
              <w:rPr>
                <w:i/>
              </w:rPr>
              <w:t>Area/ subs manager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i/>
                <w:i/>
              </w:rPr>
            </w:pPr>
            <w:r>
              <w:rPr>
                <w:i/>
              </w:rPr>
              <w:t>See procedure kick off meetings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ind w:left="0" w:right="0"/>
              <w:rPr>
                <w:i/>
                <w:i/>
              </w:rPr>
            </w:pPr>
            <w:r>
              <w:rPr>
                <w:i/>
              </w:rPr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Work package kick off meetings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i/>
                <w:i/>
              </w:rPr>
            </w:pPr>
            <w:r>
              <w:rPr>
                <w:i/>
              </w:rPr>
              <w:t>Project manager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i/>
                <w:i/>
              </w:rPr>
            </w:pPr>
            <w:r>
              <w:rPr>
                <w:i/>
              </w:rPr>
              <w:t>See procedure kick off meetings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i/>
                <w:i/>
              </w:rPr>
            </w:pPr>
            <w:r>
              <w:rPr>
                <w:i/>
              </w:rPr>
              <w:t>Participants + area/ subs managers</w:t>
            </w:r>
          </w:p>
        </w:tc>
      </w:tr>
      <w:tr>
        <w:trPr/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/>
              <w:t>Work Execution to Liability &amp; After Sales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/>
              <w:t>Project manager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/>
              <w:t>Project manager, area/ subs manager, key maintenance personnel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/>
            </w:pPr>
            <w:r>
              <w:rPr/>
              <w:t>Participants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Description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General</w:t>
      </w:r>
    </w:p>
    <w:p>
      <w:pPr>
        <w:pStyle w:val="Normal"/>
        <w:rPr/>
      </w:pPr>
      <w:r>
        <w:rPr/>
        <w:br/>
        <w:t>The organiser is responsible for organising the transfer meeting at the earliest opportunity. He shall ensure that all documents gathered during the previous phase are transferred in a logic and orderly manner with the necessary explanations.</w:t>
        <w:br/>
        <w:br/>
        <w:t>Some typical items for the establishment of the agenda of the Transfer Meetings are included in the attachment.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Attached documentation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numPr>
          <w:ilvl w:val="0"/>
          <w:numId w:val="4"/>
        </w:numPr>
        <w:tabs>
          <w:tab w:val="clear" w:pos="567"/>
          <w:tab w:val="left" w:pos="927" w:leader="none"/>
        </w:tabs>
        <w:ind w:hanging="360" w:left="927" w:right="0"/>
        <w:rPr/>
      </w:pPr>
      <w:r>
        <w:rPr/>
        <w:t>Attachment: Typical agenda items for Transfer Meetings</w:t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1985" w:right="1134" w:gutter="0" w:header="851" w:top="3119" w:footer="1067" w:bottom="1531"/>
          <w:pgNumType w:fmt="decimal"/>
          <w:formProt w:val="false"/>
          <w:textDirection w:val="lrTb"/>
          <w:docGrid w:type="default" w:linePitch="360" w:charSpace="0"/>
        </w:sectPr>
        <w:pStyle w:val="Header"/>
        <w:tabs>
          <w:tab w:val="clear" w:pos="4320"/>
          <w:tab w:val="clear" w:pos="8640"/>
        </w:tabs>
        <w:rPr/>
      </w:pPr>
      <w:r>
        <w:rPr/>
      </w:r>
    </w:p>
    <w:p>
      <w:pPr>
        <w:pStyle w:val="Normal"/>
        <w:rPr/>
      </w:pPr>
      <w:r>
        <w:rPr/>
        <w:t>Attachment: Typical agenda items for Transfer Meetings</w:t>
        <w:br/>
      </w:r>
    </w:p>
    <w:tbl>
      <w:tblPr>
        <w:tblW w:w="1357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27"/>
        <w:gridCol w:w="4819"/>
        <w:gridCol w:w="2127"/>
        <w:gridCol w:w="3402"/>
      </w:tblGrid>
      <w:tr>
        <w:trPr/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b/>
              </w:rPr>
            </w:pPr>
            <w:r>
              <w:rPr>
                <w:b/>
              </w:rPr>
              <w:t>Marketing &amp; Business Development to Tender &amp; Negotiation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34" w:right="0"/>
              <w:rPr>
                <w:b/>
              </w:rPr>
            </w:pPr>
            <w:r>
              <w:rPr>
                <w:b/>
              </w:rPr>
              <w:t>Tender &amp; Negotiation to Work Preparation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0" w:right="0"/>
              <w:rPr>
                <w:b/>
                <w:i/>
                <w:i/>
              </w:rPr>
            </w:pPr>
            <w:r>
              <w:rPr>
                <w:b/>
                <w:i/>
              </w:rPr>
              <w:t xml:space="preserve">Kick off meeting work packages 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ind w:left="33" w:right="0"/>
              <w:rPr>
                <w:b/>
              </w:rPr>
            </w:pPr>
            <w:r>
              <w:rPr>
                <w:b/>
              </w:rPr>
              <w:t>Work Execution to Liability &amp; After Sales</w:t>
            </w:r>
          </w:p>
        </w:tc>
      </w:tr>
      <w:tr>
        <w:trPr/>
        <w:tc>
          <w:tcPr>
            <w:tcW w:w="3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The Project File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Project history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Budget estimate [where applicable]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Funding &amp; payment ideas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Pre-qualification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Involved parties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Client, consultants, project managers, preferred subcontractors, funding agency]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Status of correspondence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left="720" w:right="0"/>
              <w:rPr>
                <w:sz w:val="16"/>
              </w:rPr>
            </w:pPr>
            <w:r>
              <w:rPr>
                <w:rFonts w:eastAsia="Arial"/>
                <w:sz w:val="16"/>
              </w:rPr>
              <w:t xml:space="preserve"> </w:t>
            </w:r>
            <w:r>
              <w:rPr>
                <w:sz w:val="16"/>
              </w:rPr>
              <w:t>with Client, engineer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partners, subcontractors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 xml:space="preserve">Minutes of meetings 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with Client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with others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Agreements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left="72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pre-bid agreement including important j.v. agreements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memorandum of understanding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expression of interest of potential subcontractors</w:t>
            </w:r>
          </w:p>
          <w:p>
            <w:pPr>
              <w:pStyle w:val="Normal"/>
              <w:numPr>
                <w:ilvl w:val="0"/>
                <w:numId w:val="2"/>
              </w:numPr>
              <w:rPr>
                <w:sz w:val="16"/>
              </w:rPr>
            </w:pPr>
            <w:r>
              <w:rPr>
                <w:sz w:val="16"/>
              </w:rPr>
              <w:t>Tender documents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Invitation to Tender</w:t>
            </w:r>
          </w:p>
          <w:p>
            <w:pPr>
              <w:pStyle w:val="Normal"/>
              <w:numPr>
                <w:ilvl w:val="0"/>
                <w:numId w:val="2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Bid Documents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ind w:left="0" w:right="0"/>
              <w:rPr>
                <w:sz w:val="16"/>
              </w:rPr>
            </w:pPr>
            <w:r>
              <w:rPr>
                <w:sz w:val="16"/>
              </w:rPr>
              <w:t>[ Mom to be produced and distributed]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The Project File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Project history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The tender submission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Liquidity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Risk analysis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Applicable codes, standards, specifications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The results of the negotiations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Finance, payment terms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The involved parties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Key project team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Status of correspondence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Minutes of meetings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i/>
                <w:i/>
                <w:sz w:val="16"/>
              </w:rPr>
            </w:pPr>
            <w:r>
              <w:rPr>
                <w:sz w:val="16"/>
              </w:rPr>
              <w:t xml:space="preserve">Agreements </w:t>
            </w:r>
            <w:r>
              <w:rPr>
                <w:i/>
                <w:sz w:val="16"/>
              </w:rPr>
              <w:t>[contract, consortium/ j.v. agreement]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Design aspects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Verification of aspects to be designed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Design planing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Approval procedure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Auxiliaries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Work methods &amp; take off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Document deliverable list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Overall work schedule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Design schedule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Procurement schedule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Personnel schedule with chart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Equipment schedule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Mobilisation schedule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Financing schedule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Subcontractors and discounts during tender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Technical advise</w:t>
            </w:r>
          </w:p>
          <w:p>
            <w:pPr>
              <w:pStyle w:val="Normal"/>
              <w:numPr>
                <w:ilvl w:val="0"/>
                <w:numId w:val="3"/>
              </w:numPr>
              <w:ind w:hanging="360" w:left="720" w:right="0"/>
              <w:rPr>
                <w:sz w:val="16"/>
              </w:rPr>
            </w:pPr>
            <w:r>
              <w:rPr>
                <w:sz w:val="16"/>
              </w:rPr>
              <w:t>Concrete, steel, piping, etc.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Status project plan including safety matters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 xml:space="preserve">Required permits </w:t>
            </w:r>
          </w:p>
          <w:p>
            <w:pPr>
              <w:pStyle w:val="Normal"/>
              <w:numPr>
                <w:ilvl w:val="0"/>
                <w:numId w:val="3"/>
              </w:numPr>
              <w:rPr>
                <w:sz w:val="16"/>
              </w:rPr>
            </w:pPr>
            <w:r>
              <w:rPr>
                <w:sz w:val="16"/>
              </w:rPr>
              <w:t>The critical activities for the next weeks</w:t>
            </w:r>
          </w:p>
          <w:p>
            <w:pPr>
              <w:pStyle w:val="Normal"/>
              <w:ind w:left="0" w:right="0"/>
              <w:rPr>
                <w:sz w:val="16"/>
              </w:rPr>
            </w:pPr>
            <w:r>
              <w:rPr>
                <w:sz w:val="16"/>
              </w:rPr>
              <w:t xml:space="preserve">[ MoM to be produces and distributed] </w:t>
            </w:r>
          </w:p>
        </w:tc>
        <w:tc>
          <w:tcPr>
            <w:tcW w:w="21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6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The transfer between the work preparation and work execution phase is by means of a number of kick off meetings about work packages.</w:t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numPr>
                <w:ilvl w:val="0"/>
                <w:numId w:val="6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 xml:space="preserve">The agenda of the kick off meetings is described in the procedure kick off meetings. </w:t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</w:r>
          </w:p>
          <w:p>
            <w:pPr>
              <w:pStyle w:val="Normal"/>
              <w:ind w:left="0" w:right="0"/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[ MoM to be produced and distributed]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rPr>
                <w:sz w:val="16"/>
              </w:rPr>
            </w:pPr>
            <w:r>
              <w:rPr>
                <w:sz w:val="16"/>
              </w:rPr>
              <w:t>The Project File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sz w:val="16"/>
              </w:rPr>
            </w:pPr>
            <w:r>
              <w:rPr>
                <w:sz w:val="16"/>
              </w:rPr>
              <w:t>Demobilisation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sz w:val="16"/>
              </w:rPr>
            </w:pPr>
            <w:r>
              <w:rPr>
                <w:sz w:val="16"/>
              </w:rPr>
              <w:t>Project after sales plan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sz w:val="16"/>
              </w:rPr>
            </w:pPr>
            <w:r>
              <w:rPr>
                <w:sz w:val="16"/>
              </w:rPr>
              <w:t>Status close out report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sz w:val="16"/>
              </w:rPr>
            </w:pPr>
            <w:r>
              <w:rPr>
                <w:sz w:val="16"/>
              </w:rPr>
              <w:t>Liability to Client [project maintenance organisation]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sz w:val="16"/>
              </w:rPr>
            </w:pPr>
            <w:r>
              <w:rPr>
                <w:sz w:val="16"/>
              </w:rPr>
              <w:t>Status retrieval bonds &amp; guarantees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sz w:val="16"/>
              </w:rPr>
            </w:pPr>
            <w:r>
              <w:rPr>
                <w:sz w:val="16"/>
              </w:rPr>
              <w:t>Status completion certificate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sz w:val="16"/>
              </w:rPr>
            </w:pPr>
            <w:r>
              <w:rPr>
                <w:sz w:val="16"/>
              </w:rPr>
              <w:t>Status final account with Client, Partners, Subcontractors and suppliers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Final documentation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>Taking over certificate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i/>
                <w:i/>
                <w:sz w:val="16"/>
              </w:rPr>
            </w:pPr>
            <w:r>
              <w:rPr>
                <w:i/>
                <w:sz w:val="16"/>
              </w:rPr>
              <w:t xml:space="preserve">Punch list </w:t>
            </w:r>
          </w:p>
          <w:p>
            <w:pPr>
              <w:pStyle w:val="Normal"/>
              <w:numPr>
                <w:ilvl w:val="0"/>
                <w:numId w:val="5"/>
              </w:numPr>
              <w:rPr>
                <w:sz w:val="16"/>
              </w:rPr>
            </w:pPr>
            <w:r>
              <w:rPr>
                <w:sz w:val="16"/>
              </w:rPr>
              <w:t>Any other outstanding items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</w:r>
          </w:p>
          <w:p>
            <w:pPr>
              <w:pStyle w:val="Normal"/>
              <w:ind w:left="33" w:right="0"/>
              <w:rPr>
                <w:sz w:val="16"/>
              </w:rPr>
            </w:pPr>
            <w:r>
              <w:rPr>
                <w:sz w:val="16"/>
              </w:rPr>
              <w:t>[ MoM to be produced and distributed]</w:t>
            </w:r>
          </w:p>
          <w:p>
            <w:pPr>
              <w:pStyle w:val="Normal"/>
              <w:rPr>
                <w:sz w:val="16"/>
              </w:rPr>
            </w:pPr>
            <w:r>
              <w:rPr>
                <w:sz w:val="16"/>
              </w:rPr>
              <w:t xml:space="preserve">. </w:t>
            </w:r>
          </w:p>
        </w:tc>
      </w:tr>
    </w:tbl>
    <w:p>
      <w:pPr>
        <w:pStyle w:val="Header"/>
        <w:tabs>
          <w:tab w:val="clear" w:pos="4320"/>
          <w:tab w:val="clear" w:pos="8640"/>
        </w:tabs>
        <w:rPr/>
      </w:pPr>
      <w:r>
        <w:rPr/>
      </w:r>
    </w:p>
    <w:p>
      <w:pPr>
        <w:pStyle w:val="Normal"/>
        <w:rPr/>
      </w:pPr>
      <w:r>
        <w:rPr/>
      </w:r>
    </w:p>
    <w:sectPr>
      <w:headerReference w:type="default" r:id="rId4"/>
      <w:headerReference w:type="first" r:id="rId5"/>
      <w:footerReference w:type="default" r:id="rId6"/>
      <w:footerReference w:type="first" r:id="rId7"/>
      <w:type w:val="nextPage"/>
      <w:pgSz w:orient="landscape" w:w="16838" w:h="11906"/>
      <w:pgMar w:left="1531" w:right="3119" w:gutter="0" w:header="851" w:top="1985" w:footer="1066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567" w:right="0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\p </w:instrText>
    </w:r>
    <w:r>
      <w:rPr>
        <w:sz w:val="16"/>
      </w:rPr>
      <w:fldChar w:fldCharType="separate"/>
    </w:r>
    <w:r>
      <w:rPr>
        <w:sz w:val="16"/>
      </w:rPr>
      <w:t>/mnt/data/phase1/work/SHANFARI_PHASE_1_ORIGINAL_46_DOCS/QUALITY/QU-P-10-Procedure-Transfer-Meeting.DOC</w:t>
    </w:r>
    <w:r>
      <w:rPr>
        <w:sz w:val="16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567" w:right="0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\p </w:instrText>
    </w:r>
    <w:r>
      <w:rPr>
        <w:sz w:val="16"/>
      </w:rPr>
      <w:fldChar w:fldCharType="separate"/>
    </w:r>
    <w:r>
      <w:rPr>
        <w:sz w:val="16"/>
      </w:rPr>
      <w:t>/mnt/data/phase1/work/SHANFARI_PHASE_1_ORIGINAL_46_DOCS/QUALITY/QU-P-10-Procedure-Transfer-Meeting.DOC</w:t>
    </w:r>
    <w:r>
      <w:rPr>
        <w:sz w:val="16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left="-567" w:right="0"/>
      <w:rPr>
        <w:sz w:val="16"/>
      </w:rPr>
    </w:pPr>
    <w:r>
      <w:rPr>
        <w:sz w:val="16"/>
      </w:rPr>
      <w:fldChar w:fldCharType="begin"/>
    </w:r>
    <w:r>
      <w:rPr>
        <w:sz w:val="16"/>
      </w:rPr>
      <w:instrText xml:space="preserve"> FILENAME \p </w:instrText>
    </w:r>
    <w:r>
      <w:rPr>
        <w:sz w:val="16"/>
      </w:rPr>
      <w:fldChar w:fldCharType="separate"/>
    </w:r>
    <w:r>
      <w:rPr>
        <w:sz w:val="16"/>
      </w:rPr>
      <w:t>/mnt/data/phase1/work/SHANFARI_PHASE_1_ORIGINAL_46_DOCS/QUALITY/QU-P-10-Procedure-Transfer-Meeting.DOC</w:t>
    </w:r>
    <w:r>
      <w:rPr>
        <w:sz w:val="16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9" w:type="dxa"/>
      <w:jc w:val="left"/>
      <w:tblInd w:w="-459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835"/>
      <w:gridCol w:w="3969"/>
      <w:gridCol w:w="2835"/>
    </w:tblGrid>
    <w:tr>
      <w:trPr>
        <w:trHeight w:val="1701" w:hRule="exact"/>
      </w:trPr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>
          <w:pPr>
            <w:pStyle w:val="Header"/>
            <w:tabs>
              <w:tab w:val="clear" w:pos="4320"/>
              <w:tab w:val="clear" w:pos="8640"/>
            </w:tabs>
            <w:spacing w:before="280" w:after="0"/>
            <w:ind w:left="-108" w:right="0"/>
            <w:jc w:val="center"/>
            <w:rPr/>
          </w:pPr>
          <w:r>
            <w:rPr/>
            <w:drawing>
              <wp:inline distT="0" distB="0" distL="0" distR="0">
                <wp:extent cx="500000" cy="500000"/>
                <wp:effectExtent l="0" t="0" r="0" b="0"/>
                <wp:docPr id="1" name="Image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24" t="-132" r="-24" b="-13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00000" cy="500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  <w:p>
          <w:pPr>
            <w:pStyle w:val="Header"/>
            <w:tabs>
              <w:tab w:val="clear" w:pos="4320"/>
              <w:tab w:val="clear" w:pos="8640"/>
            </w:tabs>
            <w:rPr/>
          </w:pPr>
          <w:r>
            <w:rPr/>
          </w:r>
        </w:p>
      </w:tc>
      <w:tc>
        <w:tcPr>
          <w:tcW w:w="396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COMPANY MANAGEMENT SYSTEM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  <w:sz w:val="22"/>
            </w:rPr>
          </w:pPr>
          <w:r>
            <w:rPr>
              <w:b/>
              <w:sz w:val="22"/>
            </w:rPr>
            <w:t>Part 2 – Primary Process</w:t>
          </w:r>
        </w:p>
        <w:p>
          <w:pPr>
            <w:pStyle w:val="Normal"/>
            <w:spacing w:before="120" w:after="0"/>
            <w:ind w:left="0" w:right="-62"/>
            <w:jc w:val="center"/>
            <w:rPr>
              <w:b/>
            </w:rPr>
          </w:pPr>
          <w:r>
            <w:rPr>
              <w:b/>
              <w:sz w:val="22"/>
            </w:rPr>
            <w:t>Procedure</w:t>
          </w:r>
        </w:p>
        <w:p>
          <w:pPr>
            <w:pStyle w:val="Normal"/>
            <w:spacing w:before="120" w:after="0"/>
            <w:ind w:left="-108" w:right="-62"/>
            <w:jc w:val="center"/>
            <w:rPr/>
          </w:pPr>
          <w:r>
            <w:rPr/>
            <w:t>Transfer Meeting</w:t>
          </w:r>
        </w:p>
        <w:p>
          <w:pPr>
            <w:pStyle w:val="Header"/>
            <w:ind w:left="-108" w:right="0"/>
            <w:rPr/>
          </w:pPr>
          <w:r>
            <w:rPr/>
          </w:r>
        </w:p>
      </w:tc>
      <w:tc>
        <w:tcPr>
          <w:tcW w:w="28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Doc. No.</w:t>
            <w:tab/>
            <w:t>:</w:t>
            <w:tab/>
          </w:r>
          <w:r>
            <w:rPr>
              <w:b/>
            </w:rPr>
            <w:t>QU-P-10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Rev.</w:t>
            <w:tab/>
            <w:t>:</w:t>
            <w:tab/>
            <w:t>00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Date</w:t>
            <w:tab/>
            <w:t>:</w:t>
            <w:tab/>
            <w:t>26 August 1999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Author</w:t>
            <w:tab/>
            <w:t>:</w:t>
            <w:tab/>
            <w:t>HKU</w:t>
          </w:r>
        </w:p>
        <w:p>
          <w:pPr>
            <w:pStyle w:val="Normal"/>
            <w:tabs>
              <w:tab w:val="clear" w:pos="567"/>
              <w:tab w:val="left" w:pos="993" w:leader="none"/>
              <w:tab w:val="left" w:pos="1134" w:leader="none"/>
            </w:tabs>
            <w:spacing w:before="80" w:after="0"/>
            <w:ind w:left="34" w:right="0"/>
            <w:jc w:val="both"/>
            <w:rPr/>
          </w:pPr>
          <w:r>
            <w:rPr/>
            <w:t>Page</w:t>
            <w:tab/>
            <w:t>:</w:t>
            <w:tab/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2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3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Normal"/>
      <w:ind w:left="0" w:right="0"/>
      <w:rPr>
        <w:lang w:val="en-US" w:eastAsia="en-US"/>
      </w:rPr>
    </w:pPr>
    <w:r>
      <w:rPr>
        <w:lang w:val="en-US" w:eastAsia="en-US"/>
      </w:rPr>
      <mc:AlternateContent>
        <mc:Choice Requires="wpg">
          <w:drawing>
            <wp:anchor behindDoc="1" distT="0" distB="0" distL="114935" distR="114935" simplePos="0" locked="0" layoutInCell="1" allowOverlap="1" relativeHeight="5">
              <wp:simplePos x="0" y="0"/>
              <wp:positionH relativeFrom="column">
                <wp:posOffset>-379095</wp:posOffset>
              </wp:positionH>
              <wp:positionV relativeFrom="paragraph">
                <wp:posOffset>-1905</wp:posOffset>
              </wp:positionV>
              <wp:extent cx="6138545" cy="8214995"/>
              <wp:effectExtent l="5080" t="0" r="0" b="4445"/>
              <wp:wrapNone/>
              <wp:docPr id="2" name="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138720" cy="8214840"/>
                        <a:chOff x="0" y="0"/>
                        <a:chExt cx="6138720" cy="8214840"/>
                      </a:xfrm>
                    </wpg:grpSpPr>
                    <wps:wsp>
                      <wps:cNvSpPr/>
                      <wps:spPr>
                        <a:xfrm>
                          <a:off x="0" y="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6129000" y="4320"/>
                          <a:ext cx="0" cy="821052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  <wps:wsp>
                      <wps:cNvSpPr/>
                      <wps:spPr>
                        <a:xfrm>
                          <a:off x="14040" y="8214480"/>
                          <a:ext cx="61246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id="shape_0" style="position:absolute;margin-left:-29.85pt;margin-top:-0.15pt;width:483.3pt;height:646.8pt" coordorigin="-597,-3" coordsize="9666,12936">
              <v:line id="shape_0" from="-597,-3" to="-597,12926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9055,4" to="9055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  <v:line id="shape_0" from="-575,12933" to="9069,12933" stroked="t" o:allowincell="f" style="position:absolute">
                <v:stroke color="black" weight="9360" joinstyle="miter" endcap="flat"/>
                <v:fill o:detectmouseclick="t" on="false"/>
                <w10:wrap type="none"/>
              </v:line>
            </v:group>
          </w:pict>
        </mc:Fallback>
      </mc:AlternateContent>
    </w:r>
  </w:p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decimal"/>
      <w:lvlText w:val="%1."/>
      <w:lvlJc w:val="left"/>
      <w:pPr>
        <w:tabs>
          <w:tab w:val="num" w:pos="1134"/>
        </w:tabs>
        <w:ind w:left="1134" w:hanging="1134"/>
      </w:pPr>
      <w:rPr>
        <w:u w:val="none"/>
      </w:rPr>
    </w:lvl>
    <w:lvl w:ilvl="1">
      <w:start w:val="1"/>
      <w:pStyle w:val="Heading2"/>
      <w:numFmt w:val="decimal"/>
      <w:lvlText w:val="%1.%2"/>
      <w:lvlJc w:val="left"/>
      <w:pPr>
        <w:tabs>
          <w:tab w:val="num" w:pos="1134"/>
        </w:tabs>
        <w:ind w:left="1134" w:hanging="1134"/>
      </w:pPr>
      <w:rPr>
        <w:u w:val="none"/>
      </w:rPr>
    </w:lvl>
    <w:lvl w:ilvl="2">
      <w:start w:val="1"/>
      <w:pStyle w:val="Heading3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u w:val="none"/>
      </w:rPr>
    </w:lvl>
    <w:lvl w:ilvl="3">
      <w:start w:val="1"/>
      <w:pStyle w:val="Heading4"/>
      <w:numFmt w:val="decimal"/>
      <w:lvlText w:val="%1.%2.%3.%4"/>
      <w:lvlJc w:val="left"/>
      <w:pPr>
        <w:tabs>
          <w:tab w:val="num" w:pos="1134"/>
        </w:tabs>
        <w:ind w:left="1134" w:hanging="1134"/>
      </w:pPr>
      <w:rPr>
        <w:u w:val="none"/>
      </w:rPr>
    </w:lvl>
    <w:lvl w:ilvl="4">
      <w:start w:val="1"/>
      <w:pStyle w:val="Heading5"/>
      <w:numFmt w:val="decimal"/>
      <w:lvlText w:val="%1.%2.%3.%4.%5"/>
      <w:lvlJc w:val="left"/>
      <w:pPr>
        <w:tabs>
          <w:tab w:val="num" w:pos="1134"/>
        </w:tabs>
        <w:ind w:left="1134" w:hanging="1134"/>
      </w:pPr>
    </w:lvl>
    <w:lvl w:ilvl="5">
      <w:start w:val="1"/>
      <w:pStyle w:val="Heading6"/>
      <w:numFmt w:val="decimal"/>
      <w:lvlText w:val="%1.%2.%3.%4.%5.%6"/>
      <w:lvlJc w:val="left"/>
      <w:pPr>
        <w:tabs>
          <w:tab w:val="num" w:pos="1134"/>
        </w:tabs>
        <w:ind w:left="1134" w:hanging="1134"/>
      </w:pPr>
    </w:lvl>
    <w:lvl w:ilvl="6">
      <w:start w:val="1"/>
      <w:pStyle w:val="Heading7"/>
      <w:numFmt w:val="decimal"/>
      <w:lvlText w:val="%1.%2.%3.%4.%5.%6.%7"/>
      <w:lvlJc w:val="left"/>
      <w:pPr>
        <w:tabs>
          <w:tab w:val="num" w:pos="1418"/>
        </w:tabs>
        <w:ind w:left="1418" w:hanging="1418"/>
      </w:pPr>
    </w:lvl>
    <w:lvl w:ilvl="7">
      <w:start w:val="1"/>
      <w:pStyle w:val="Heading8"/>
      <w:numFmt w:val="decimal"/>
      <w:lvlText w:val="%1.%2.%3.%4.%5.%6.%7.%8"/>
      <w:lvlJc w:val="left"/>
      <w:pPr>
        <w:tabs>
          <w:tab w:val="num" w:pos="1701"/>
        </w:tabs>
        <w:ind w:left="1701" w:hanging="1701"/>
      </w:pPr>
    </w:lvl>
    <w:lvl w:ilvl="8">
      <w:start w:val="1"/>
      <w:pStyle w:val="Heading9"/>
      <w:numFmt w:val="decimal"/>
      <w:lvlText w:val="%1.%2.%3.%4.%5.%6.%7.%8.%9"/>
      <w:lvlJc w:val="left"/>
      <w:pPr>
        <w:tabs>
          <w:tab w:val="num" w:pos="1800"/>
        </w:tabs>
        <w:ind w:left="1701" w:hanging="1701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  <w:color w:val="auto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454"/>
        </w:tabs>
        <w:ind w:left="454" w:hanging="454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567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ind w:hanging="0" w:left="567" w:right="0"/>
    </w:pPr>
    <w:rPr>
      <w:rFonts w:ascii="Arial" w:hAnsi="Arial" w:eastAsia="Times New Roman" w:cs="Arial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numPr>
        <w:ilvl w:val="0"/>
        <w:numId w:val="1"/>
      </w:numPr>
      <w:tabs>
        <w:tab w:val="clear" w:pos="567"/>
      </w:tabs>
      <w:ind w:hanging="567" w:left="567" w:right="0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numPr>
        <w:ilvl w:val="1"/>
        <w:numId w:val="1"/>
      </w:numPr>
      <w:tabs>
        <w:tab w:val="clear" w:pos="567"/>
      </w:tabs>
      <w:ind w:hanging="567" w:left="567" w:right="0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numPr>
        <w:ilvl w:val="2"/>
        <w:numId w:val="1"/>
      </w:numPr>
      <w:tabs>
        <w:tab w:val="clear" w:pos="567"/>
      </w:tabs>
      <w:ind w:hanging="567" w:left="567" w:right="0"/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b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outlineLvl w:val="5"/>
    </w:pPr>
    <w:rPr>
      <w:b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outlineLvl w:val="6"/>
    </w:pPr>
    <w:rPr>
      <w:b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outlineLvl w:val="7"/>
    </w:pPr>
    <w:rPr>
      <w:b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outlineLvl w:val="8"/>
    </w:pPr>
    <w:rPr>
      <w:b/>
    </w:rPr>
  </w:style>
  <w:style w:type="character" w:styleId="WW8Num1z0">
    <w:name w:val="WW8Num1z0"/>
    <w:qFormat/>
    <w:rPr>
      <w:u w:val="no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  <w:color w:val="auto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567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567"/>
        <w:tab w:val="center" w:pos="4320" w:leader="none"/>
        <w:tab w:val="right" w:pos="8640" w:leader="none"/>
      </w:tabs>
    </w:pPr>
    <w:rPr/>
  </w:style>
  <w:style w:type="paragraph" w:styleId="TOC2">
    <w:name w:val="toc 2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>
      <w:caps/>
    </w:rPr>
  </w:style>
  <w:style w:type="paragraph" w:styleId="TOC1">
    <w:name w:val="toc 1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>
      <w:caps/>
    </w:rPr>
  </w:style>
  <w:style w:type="paragraph" w:styleId="TOC3">
    <w:name w:val="toc 3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4">
    <w:name w:val="toc 4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5">
    <w:name w:val="toc 5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6">
    <w:name w:val="toc 6"/>
    <w:basedOn w:val="Normal"/>
    <w:next w:val="Normal"/>
    <w:pPr>
      <w:tabs>
        <w:tab w:val="clear" w:pos="567"/>
        <w:tab w:val="left" w:pos="1134" w:leader="none"/>
        <w:tab w:val="right" w:pos="8505" w:leader="dot"/>
      </w:tabs>
    </w:pPr>
    <w:rPr/>
  </w:style>
  <w:style w:type="paragraph" w:styleId="TOC7">
    <w:name w:val="toc 7"/>
    <w:basedOn w:val="Normal"/>
    <w:next w:val="Normal"/>
    <w:pPr>
      <w:tabs>
        <w:tab w:val="clear" w:pos="567"/>
        <w:tab w:val="left" w:pos="1418" w:leader="none"/>
        <w:tab w:val="right" w:pos="8505" w:leader="dot"/>
      </w:tabs>
    </w:pPr>
    <w:rPr/>
  </w:style>
  <w:style w:type="paragraph" w:styleId="TOC8">
    <w:name w:val="toc 8"/>
    <w:basedOn w:val="Normal"/>
    <w:next w:val="Normal"/>
    <w:pPr>
      <w:tabs>
        <w:tab w:val="clear" w:pos="567"/>
        <w:tab w:val="left" w:pos="1701" w:leader="none"/>
        <w:tab w:val="right" w:pos="8505" w:leader="dot"/>
      </w:tabs>
    </w:pPr>
    <w:rPr/>
  </w:style>
  <w:style w:type="paragraph" w:styleId="TOC9">
    <w:name w:val="toc 9"/>
    <w:basedOn w:val="Normal"/>
    <w:next w:val="Normal"/>
    <w:pPr>
      <w:tabs>
        <w:tab w:val="clear" w:pos="567"/>
        <w:tab w:val="left" w:pos="1985" w:leader="none"/>
        <w:tab w:val="right" w:pos="8505" w:leader="dot"/>
      </w:tabs>
    </w:pPr>
    <w:rPr/>
  </w:style>
  <w:style w:type="paragraph" w:styleId="BodyTextIndent">
    <w:name w:val="Body Text Indent"/>
    <w:basedOn w:val="Normal"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2002-03-05T10:39:00Z</dcterms:created>
  <dc:creator>rstalfoo</dc:creator>
  <dc:description/>
  <dc:language>en-US</dc:language>
  <cp:lastModifiedBy>jbyrne</cp:lastModifiedBy>
  <cp:lastPrinted>2000-03-14T09:55:00Z</cp:lastPrinted>
  <dcterms:modified xsi:type="dcterms:W3CDTF">2003-12-05T13:46:00Z</dcterms:modified>
  <cp:revision>6</cp:revision>
  <dc:subject/>
  <dc:title>Procedure Transfer Meeting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0">
    <vt:lpwstr>HKU</vt:lpwstr>
  </property>
  <property fmtid="{D5CDD505-2E9C-101B-9397-08002B2CF9AE}" pid="3" name="Date">
    <vt:lpwstr/>
  </property>
  <property fmtid="{D5CDD505-2E9C-101B-9397-08002B2CF9AE}" pid="4" name="Department">
    <vt:lpwstr>QA/QC</vt:lpwstr>
  </property>
  <property fmtid="{D5CDD505-2E9C-101B-9397-08002B2CF9AE}" pid="5" name="Dept">
    <vt:lpwstr/>
  </property>
  <property fmtid="{D5CDD505-2E9C-101B-9397-08002B2CF9AE}" pid="6" name="Doc Owner">
    <vt:lpwstr>QA/QC</vt:lpwstr>
  </property>
  <property fmtid="{D5CDD505-2E9C-101B-9397-08002B2CF9AE}" pid="7" name="Doc type">
    <vt:lpwstr>Procedure</vt:lpwstr>
  </property>
  <property fmtid="{D5CDD505-2E9C-101B-9397-08002B2CF9AE}" pid="8" name="Document ID">
    <vt:lpwstr>QU-P-10</vt:lpwstr>
  </property>
  <property fmtid="{D5CDD505-2E9C-101B-9397-08002B2CF9AE}" pid="9" name="Gen">
    <vt:lpwstr/>
  </property>
  <property fmtid="{D5CDD505-2E9C-101B-9397-08002B2CF9AE}" pid="10" name="LAS">
    <vt:lpwstr>LAS</vt:lpwstr>
  </property>
  <property fmtid="{D5CDD505-2E9C-101B-9397-08002B2CF9AE}" pid="11" name="Last rev">
    <vt:lpwstr>00</vt:lpwstr>
  </property>
  <property fmtid="{D5CDD505-2E9C-101B-9397-08002B2CF9AE}" pid="12" name="MBD">
    <vt:lpwstr>MBD</vt:lpwstr>
  </property>
  <property fmtid="{D5CDD505-2E9C-101B-9397-08002B2CF9AE}" pid="13" name="Order">
    <vt:lpwstr>71500.0000000000</vt:lpwstr>
  </property>
  <property fmtid="{D5CDD505-2E9C-101B-9397-08002B2CF9AE}" pid="14" name="TN">
    <vt:lpwstr>TN</vt:lpwstr>
  </property>
  <property fmtid="{D5CDD505-2E9C-101B-9397-08002B2CF9AE}" pid="15" name="WE">
    <vt:lpwstr>WE</vt:lpwstr>
  </property>
  <property fmtid="{D5CDD505-2E9C-101B-9397-08002B2CF9AE}" pid="16" name="WP">
    <vt:lpwstr>WP</vt:lpwstr>
  </property>
</Properties>
</file>