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_rels/header1.xml.rels" ContentType="application/vnd.openxmlformats-package.relationships+xml"/>
  <Override PartName="/word/_rels/document.xml.rels" ContentType="application/vnd.openxmlformats-package.relationships+xml"/>
  <Override PartName="/{pngname}" ContentType="image/png"/>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ind w:hanging="0" w:left="567"/>
        <w:rPr/>
      </w:pPr>
      <w:r>
        <w:rPr/>
        <w:t>Purpose</w:t>
      </w:r>
    </w:p>
    <w:p>
      <w:pPr>
        <w:pStyle w:val="Normal"/>
        <w:rPr/>
      </w:pPr>
      <w:r>
        <w:rPr/>
      </w:r>
    </w:p>
    <w:p>
      <w:pPr>
        <w:pStyle w:val="Normal"/>
        <w:rPr/>
      </w:pPr>
      <w:r>
        <w:rPr/>
        <w:t>The purpose of this procedure is to ensure the archiving and disposal of documents in a controlled manner, complying with legislation and internal requirements. The procedure also covers the selection and placement of information in the Knowledge Library.</w:t>
      </w:r>
    </w:p>
    <w:p>
      <w:pPr>
        <w:pStyle w:val="Normal"/>
        <w:rPr/>
      </w:pPr>
      <w:r>
        <w:rPr/>
      </w:r>
    </w:p>
    <w:p>
      <w:pPr>
        <w:pStyle w:val="Heading1"/>
        <w:ind w:hanging="0" w:left="567"/>
        <w:rPr/>
      </w:pPr>
      <w:r>
        <w:rPr/>
        <w:t>Scope</w:t>
      </w:r>
    </w:p>
    <w:p>
      <w:pPr>
        <w:pStyle w:val="Normal"/>
        <w:rPr/>
      </w:pPr>
      <w:r>
        <w:rPr/>
      </w:r>
    </w:p>
    <w:p>
      <w:pPr>
        <w:pStyle w:val="Normal"/>
        <w:rPr/>
      </w:pPr>
      <w:r>
        <w:rPr/>
        <w:t>This procedure applies to Head Office as well as project archives.</w:t>
      </w:r>
    </w:p>
    <w:p>
      <w:pPr>
        <w:pStyle w:val="Normal"/>
        <w:rPr/>
      </w:pPr>
      <w:r>
        <w:rPr/>
      </w:r>
    </w:p>
    <w:p>
      <w:pPr>
        <w:pStyle w:val="Heading1"/>
        <w:ind w:hanging="0" w:left="567"/>
        <w:rPr/>
      </w:pPr>
      <w:r>
        <w:rPr/>
        <w:t>Explanation of terms</w:t>
      </w:r>
    </w:p>
    <w:p>
      <w:pPr>
        <w:pStyle w:val="Normal"/>
        <w:rPr/>
      </w:pPr>
      <w:r>
        <w:rPr/>
      </w:r>
    </w:p>
    <w:p>
      <w:pPr>
        <w:pStyle w:val="Normal"/>
        <w:ind w:hanging="1701" w:left="2268" w:right="0"/>
        <w:rPr/>
      </w:pPr>
      <w:r>
        <w:rPr/>
        <w:t>Archiving:</w:t>
        <w:tab/>
        <w:t>Storage of useful documents, after their operational life, in such a way that easy retrieval is possible.</w:t>
      </w:r>
    </w:p>
    <w:p>
      <w:pPr>
        <w:pStyle w:val="Normal"/>
        <w:ind w:hanging="1701" w:left="2268" w:right="0"/>
        <w:rPr/>
      </w:pPr>
      <w:r>
        <w:rPr/>
      </w:r>
    </w:p>
    <w:p>
      <w:pPr>
        <w:pStyle w:val="Normal"/>
        <w:ind w:hanging="1701" w:left="2268" w:right="0"/>
        <w:rPr/>
      </w:pPr>
      <w:r>
        <w:rPr/>
        <w:t>Filing:</w:t>
        <w:tab/>
        <w:t>Storage of useful documents, during their operational life, in such a way that easy retrieval is possible.</w:t>
      </w:r>
    </w:p>
    <w:p>
      <w:pPr>
        <w:pStyle w:val="Normal"/>
        <w:rPr/>
      </w:pPr>
      <w:r>
        <w:rPr/>
      </w:r>
    </w:p>
    <w:p>
      <w:pPr>
        <w:pStyle w:val="Heading1"/>
        <w:ind w:hanging="0" w:left="567"/>
        <w:rPr/>
      </w:pPr>
      <w:r>
        <w:rPr/>
        <w:t>Interface documentation</w:t>
      </w:r>
    </w:p>
    <w:p>
      <w:pPr>
        <w:pStyle w:val="Normal"/>
        <w:rPr/>
      </w:pPr>
      <w:r>
        <w:rPr/>
      </w:r>
    </w:p>
    <w:p>
      <w:pPr>
        <w:pStyle w:val="Normal"/>
        <w:tabs>
          <w:tab w:val="clear" w:pos="567"/>
          <w:tab w:val="left" w:pos="4820" w:leader="none"/>
        </w:tabs>
        <w:rPr/>
      </w:pPr>
      <w:r>
        <w:rPr/>
        <w:t>Procedure Project File</w:t>
        <w:tab/>
        <w:t>[QU-P-05]</w:t>
      </w:r>
    </w:p>
    <w:p>
      <w:pPr>
        <w:pStyle w:val="Normal"/>
        <w:tabs>
          <w:tab w:val="clear" w:pos="567"/>
          <w:tab w:val="left" w:pos="4820" w:leader="none"/>
        </w:tabs>
        <w:rPr>
          <w:lang w:val="nl-NL"/>
        </w:rPr>
      </w:pPr>
      <w:r>
        <w:rPr>
          <w:lang w:val="nl-NL"/>
        </w:rPr>
        <w:t>Procedure Project Document Coding</w:t>
        <w:tab/>
        <w:t>[QU-W-09]</w:t>
      </w:r>
    </w:p>
    <w:p>
      <w:pPr>
        <w:pStyle w:val="Normal"/>
        <w:tabs>
          <w:tab w:val="clear" w:pos="567"/>
          <w:tab w:val="left" w:pos="4820" w:leader="none"/>
        </w:tabs>
        <w:rPr/>
      </w:pPr>
      <w:r>
        <w:rPr/>
        <w:t>Procedure Head Office Document Control</w:t>
        <w:tab/>
        <w:t>[QU-P-02]</w:t>
      </w:r>
    </w:p>
    <w:p>
      <w:pPr>
        <w:pStyle w:val="Normal"/>
        <w:tabs>
          <w:tab w:val="clear" w:pos="567"/>
          <w:tab w:val="left" w:pos="4820" w:leader="none"/>
        </w:tabs>
        <w:rPr/>
      </w:pPr>
      <w:r>
        <w:rPr/>
        <w:t>Work Instruction Archiving of Electronic Data</w:t>
        <w:tab/>
        <w:t>[IT-W-58]</w:t>
      </w:r>
    </w:p>
    <w:p>
      <w:pPr>
        <w:pStyle w:val="Normal"/>
        <w:tabs>
          <w:tab w:val="clear" w:pos="567"/>
          <w:tab w:val="left" w:pos="4820" w:leader="none"/>
        </w:tabs>
        <w:rPr/>
      </w:pPr>
      <w:r>
        <w:rPr/>
        <w:t>Guidance Note PL dept. Filing Archive</w:t>
        <w:tab/>
        <w:t>[PL-N-05]</w:t>
      </w:r>
    </w:p>
    <w:p>
      <w:pPr>
        <w:pStyle w:val="Normal"/>
        <w:tabs>
          <w:tab w:val="clear" w:pos="567"/>
          <w:tab w:val="left" w:pos="4820" w:leader="none"/>
        </w:tabs>
        <w:rPr/>
      </w:pPr>
      <w:r>
        <w:rPr/>
        <w:t>Procedure Filing and Document Security</w:t>
        <w:tab/>
        <w:t>[PG-P-14]</w:t>
      </w:r>
    </w:p>
    <w:p>
      <w:pPr>
        <w:pStyle w:val="Normal"/>
        <w:tabs>
          <w:tab w:val="clear" w:pos="567"/>
          <w:tab w:val="left" w:pos="4820" w:leader="none"/>
        </w:tabs>
        <w:rPr/>
      </w:pPr>
      <w:r>
        <w:rPr/>
        <w:t>Procedure Control of Project Quality Records</w:t>
        <w:tab/>
        <w:t>[QU-P-26]</w:t>
      </w:r>
    </w:p>
    <w:p>
      <w:pPr>
        <w:pStyle w:val="Normal"/>
        <w:tabs>
          <w:tab w:val="clear" w:pos="567"/>
          <w:tab w:val="left" w:pos="4820" w:leader="none"/>
        </w:tabs>
        <w:rPr/>
      </w:pPr>
      <w:r>
        <w:rPr/>
        <w:t>Example Project Archiving Guidelines</w:t>
        <w:tab/>
        <w:t>[QU-E-08]</w:t>
        <w:tab/>
      </w:r>
    </w:p>
    <w:p>
      <w:pPr>
        <w:pStyle w:val="Normal"/>
        <w:rPr/>
      </w:pPr>
      <w:r>
        <w:rPr/>
      </w:r>
    </w:p>
    <w:p>
      <w:pPr>
        <w:pStyle w:val="Heading1"/>
        <w:ind w:hanging="0" w:left="567"/>
        <w:rPr/>
      </w:pPr>
      <w:r>
        <w:rPr/>
        <w:t>Responsibilities</w:t>
      </w:r>
    </w:p>
    <w:p>
      <w:pPr>
        <w:pStyle w:val="Normal"/>
        <w:rPr/>
      </w:pPr>
      <w:r>
        <w:rPr/>
      </w:r>
    </w:p>
    <w:p>
      <w:pPr>
        <w:pStyle w:val="Normal"/>
        <w:rPr/>
      </w:pPr>
      <w:r>
        <w:rPr/>
        <w:t xml:space="preserve">The </w:t>
      </w:r>
      <w:r>
        <w:rPr>
          <w:b/>
        </w:rPr>
        <w:t xml:space="preserve">Users </w:t>
      </w:r>
      <w:r>
        <w:rPr/>
        <w:t>of the various documents are responsible for their identification, indexing, filing and access during their operational life.</w:t>
      </w:r>
    </w:p>
    <w:p>
      <w:pPr>
        <w:pStyle w:val="Normal"/>
        <w:rPr/>
      </w:pPr>
      <w:r>
        <w:rPr/>
      </w:r>
    </w:p>
    <w:p>
      <w:pPr>
        <w:pStyle w:val="Normal"/>
        <w:rPr/>
      </w:pPr>
      <w:r>
        <w:rPr/>
        <w:t xml:space="preserve">The </w:t>
      </w:r>
      <w:r>
        <w:rPr>
          <w:b/>
        </w:rPr>
        <w:t>Area Managers /</w:t>
      </w:r>
      <w:r>
        <w:rPr/>
        <w:t xml:space="preserve"> </w:t>
      </w:r>
      <w:r>
        <w:rPr>
          <w:b/>
        </w:rPr>
        <w:t>Department Heads</w:t>
      </w:r>
      <w:r>
        <w:rPr/>
        <w:t xml:space="preserve"> and the </w:t>
      </w:r>
      <w:r>
        <w:rPr>
          <w:b/>
        </w:rPr>
        <w:t>Project Managers</w:t>
      </w:r>
      <w:r>
        <w:rPr/>
        <w:t xml:space="preserve"> decide after the operational life of documents when archiving or disposal should begin. </w:t>
      </w:r>
    </w:p>
    <w:p>
      <w:pPr>
        <w:pStyle w:val="Normal"/>
        <w:rPr/>
      </w:pPr>
      <w:r>
        <w:rPr/>
      </w:r>
    </w:p>
    <w:p>
      <w:pPr>
        <w:pStyle w:val="Normal"/>
        <w:rPr/>
      </w:pPr>
      <w:r>
        <w:rPr/>
        <w:t xml:space="preserve">The </w:t>
      </w:r>
      <w:r>
        <w:rPr>
          <w:b/>
        </w:rPr>
        <w:t>Area Managers/</w:t>
      </w:r>
      <w:r>
        <w:rPr/>
        <w:t xml:space="preserve"> </w:t>
      </w:r>
      <w:r>
        <w:rPr>
          <w:b/>
        </w:rPr>
        <w:t>Department Heads</w:t>
      </w:r>
      <w:r>
        <w:rPr/>
        <w:t xml:space="preserve"> and the </w:t>
      </w:r>
      <w:r>
        <w:rPr>
          <w:b/>
        </w:rPr>
        <w:t>Project Managers</w:t>
      </w:r>
      <w:r>
        <w:rPr/>
        <w:t xml:space="preserve"> are responsible for offering the documents to the </w:t>
      </w:r>
      <w:r>
        <w:rPr>
          <w:b/>
        </w:rPr>
        <w:t>Information Control Engineer</w:t>
      </w:r>
      <w:r>
        <w:rPr/>
        <w:t xml:space="preserve"> for archiving. The </w:t>
      </w:r>
      <w:r>
        <w:rPr>
          <w:b/>
        </w:rPr>
        <w:t>Information Control Engineer</w:t>
      </w:r>
      <w:r>
        <w:rPr/>
        <w:t xml:space="preserve"> prepares the documents for archiving and sends them to BAM Facilities which takes care of the archiving. </w:t>
      </w:r>
    </w:p>
    <w:p>
      <w:pPr>
        <w:pStyle w:val="Normal"/>
        <w:rPr/>
      </w:pPr>
      <w:r>
        <w:rPr/>
      </w:r>
    </w:p>
    <w:p>
      <w:pPr>
        <w:pStyle w:val="Normal"/>
        <w:rPr/>
      </w:pPr>
      <w:r>
        <w:rPr/>
        <w:t xml:space="preserve">The </w:t>
      </w:r>
      <w:r>
        <w:rPr>
          <w:b/>
        </w:rPr>
        <w:t>Head of the PE Department</w:t>
      </w:r>
      <w:r>
        <w:rPr/>
        <w:t xml:space="preserve"> is responsible for selecting useful technical documentation for placement in the Knowledge Library. The </w:t>
      </w:r>
      <w:r>
        <w:rPr>
          <w:b/>
        </w:rPr>
        <w:t>Information Control Engineer</w:t>
      </w:r>
      <w:r>
        <w:rPr/>
        <w:t xml:space="preserve"> is responsible for placing the information in the library and for the maintenance of the library.</w:t>
      </w:r>
    </w:p>
    <w:p>
      <w:pPr>
        <w:pStyle w:val="Normal"/>
        <w:rPr/>
      </w:pPr>
      <w:r>
        <w:rPr/>
      </w:r>
    </w:p>
    <w:p>
      <w:pPr>
        <w:pStyle w:val="Normal"/>
        <w:rPr/>
      </w:pPr>
      <w:r>
        <w:rPr>
          <w:b/>
        </w:rPr>
        <w:t>Area Managers</w:t>
      </w:r>
      <w:r>
        <w:rPr/>
        <w:t xml:space="preserve"> shall advise staff departments on a yearly basis about leads for which correspondence and documents can be disposed of [unsuccessful pre-qualifications and tenders]. </w:t>
      </w:r>
    </w:p>
    <w:p>
      <w:pPr>
        <w:pStyle w:val="Normal"/>
        <w:rPr/>
      </w:pPr>
      <w:r>
        <w:rPr/>
      </w:r>
      <w:r>
        <w:br w:type="page"/>
      </w:r>
    </w:p>
    <w:p>
      <w:pPr>
        <w:pStyle w:val="Heading1"/>
        <w:ind w:hanging="0" w:left="567"/>
        <w:rPr/>
      </w:pPr>
      <w:r>
        <w:rPr/>
        <w:t>Description</w:t>
      </w:r>
    </w:p>
    <w:p>
      <w:pPr>
        <w:pStyle w:val="Normal"/>
        <w:rPr/>
      </w:pPr>
      <w:r>
        <w:rPr/>
      </w:r>
    </w:p>
    <w:p>
      <w:pPr>
        <w:pStyle w:val="Heading2"/>
        <w:ind w:hanging="0" w:left="567"/>
        <w:rPr/>
      </w:pPr>
      <w:r>
        <w:rPr/>
        <w:t>Archiving</w:t>
      </w:r>
    </w:p>
    <w:p>
      <w:pPr>
        <w:pStyle w:val="Normal"/>
        <w:rPr/>
      </w:pPr>
      <w:r>
        <w:rPr/>
      </w:r>
    </w:p>
    <w:p>
      <w:pPr>
        <w:pStyle w:val="Normal"/>
        <w:rPr/>
      </w:pPr>
      <w:r>
        <w:rPr/>
        <w:t>Files, [hard copy, microfilm, etc] to be archived, should be packed in cardboard boxes or other suitable containers [available from the</w:t>
      </w:r>
      <w:r>
        <w:rPr>
          <w:b/>
        </w:rPr>
        <w:t xml:space="preserve"> Information Control Engineer</w:t>
      </w:r>
      <w:r>
        <w:rPr/>
        <w:t>].</w:t>
        <w:br/>
        <w:t xml:space="preserve">The boxes/ containers should be clearly marked identifying their contents and the respective disposal dates. </w:t>
      </w:r>
    </w:p>
    <w:p>
      <w:pPr>
        <w:pStyle w:val="Normal"/>
        <w:rPr/>
      </w:pPr>
      <w:r>
        <w:rPr/>
        <w:t xml:space="preserve">Computer files that are ready for archiving shall be archived electronically by IT Department on request of the </w:t>
      </w:r>
      <w:r>
        <w:rPr>
          <w:b/>
        </w:rPr>
        <w:t>Area Managers / Department Heads</w:t>
      </w:r>
      <w:r>
        <w:rPr/>
        <w:t xml:space="preserve">. </w:t>
      </w:r>
    </w:p>
    <w:p>
      <w:pPr>
        <w:pStyle w:val="Normal"/>
        <w:rPr/>
      </w:pPr>
      <w:r>
        <w:rPr/>
      </w:r>
    </w:p>
    <w:p>
      <w:pPr>
        <w:pStyle w:val="Normal"/>
        <w:rPr/>
      </w:pPr>
      <w:r>
        <w:rPr/>
      </w:r>
    </w:p>
    <w:p>
      <w:pPr>
        <w:pStyle w:val="Normal"/>
        <w:rPr/>
      </w:pPr>
      <w:r>
        <w:rPr/>
        <w:t>The marking is as follows:</w:t>
      </w:r>
    </w:p>
    <w:tbl>
      <w:tblPr>
        <w:tblW w:w="8046" w:type="dxa"/>
        <w:jc w:val="left"/>
        <w:tblInd w:w="675" w:type="dxa"/>
        <w:tblLayout w:type="fixed"/>
        <w:tblCellMar>
          <w:top w:w="0" w:type="dxa"/>
          <w:left w:w="108" w:type="dxa"/>
          <w:bottom w:w="0" w:type="dxa"/>
          <w:right w:w="108" w:type="dxa"/>
        </w:tblCellMar>
      </w:tblPr>
      <w:tblGrid>
        <w:gridCol w:w="851"/>
        <w:gridCol w:w="6095"/>
        <w:gridCol w:w="1100"/>
      </w:tblGrid>
      <w:tr>
        <w:trPr/>
        <w:tc>
          <w:tcPr>
            <w:tcW w:w="851" w:type="dxa"/>
            <w:tcBorders>
              <w:top w:val="single" w:sz="4" w:space="0" w:color="000000"/>
              <w:left w:val="single" w:sz="4" w:space="0" w:color="000000"/>
              <w:bottom w:val="single" w:sz="4" w:space="0" w:color="000000"/>
              <w:right w:val="single" w:sz="4" w:space="0" w:color="000000"/>
            </w:tcBorders>
          </w:tcPr>
          <w:p>
            <w:pPr>
              <w:pStyle w:val="Normal"/>
              <w:ind w:left="0" w:right="0"/>
              <w:rPr/>
            </w:pPr>
            <w:r>
              <w:rPr/>
              <w:t>Source</w:t>
            </w:r>
          </w:p>
        </w:tc>
        <w:tc>
          <w:tcPr>
            <w:tcW w:w="6095" w:type="dxa"/>
            <w:tcBorders>
              <w:top w:val="single" w:sz="4" w:space="0" w:color="000000"/>
              <w:left w:val="single" w:sz="4" w:space="0" w:color="000000"/>
              <w:bottom w:val="single" w:sz="4" w:space="0" w:color="000000"/>
              <w:right w:val="single" w:sz="4" w:space="0" w:color="000000"/>
            </w:tcBorders>
          </w:tcPr>
          <w:p>
            <w:pPr>
              <w:pStyle w:val="Normal"/>
              <w:ind w:left="0" w:right="0"/>
              <w:rPr/>
            </w:pPr>
            <w:r>
              <w:rPr/>
              <w:t>Extensive contents indication</w:t>
            </w:r>
          </w:p>
        </w:tc>
        <w:tc>
          <w:tcPr>
            <w:tcW w:w="1100" w:type="dxa"/>
            <w:tcBorders>
              <w:top w:val="single" w:sz="4" w:space="0" w:color="000000"/>
              <w:left w:val="single" w:sz="4" w:space="0" w:color="000000"/>
              <w:bottom w:val="single" w:sz="4" w:space="0" w:color="000000"/>
              <w:right w:val="single" w:sz="4" w:space="0" w:color="000000"/>
            </w:tcBorders>
          </w:tcPr>
          <w:p>
            <w:pPr>
              <w:pStyle w:val="Normal"/>
              <w:ind w:left="0" w:right="0"/>
              <w:rPr/>
            </w:pPr>
            <w:r>
              <w:rPr/>
              <w:t>Destroy</w:t>
            </w:r>
          </w:p>
        </w:tc>
      </w:tr>
      <w:tr>
        <w:trPr/>
        <w:tc>
          <w:tcPr>
            <w:tcW w:w="851" w:type="dxa"/>
            <w:tcBorders>
              <w:top w:val="single" w:sz="4" w:space="0" w:color="000000"/>
              <w:left w:val="single" w:sz="4" w:space="0" w:color="000000"/>
              <w:bottom w:val="single" w:sz="4" w:space="0" w:color="000000"/>
              <w:right w:val="single" w:sz="4" w:space="0" w:color="000000"/>
            </w:tcBorders>
          </w:tcPr>
          <w:p>
            <w:pPr>
              <w:pStyle w:val="Normal"/>
              <w:ind w:left="0" w:right="0"/>
              <w:rPr/>
            </w:pPr>
            <w:r>
              <w:rPr/>
              <w:t>ME</w:t>
            </w:r>
          </w:p>
        </w:tc>
        <w:tc>
          <w:tcPr>
            <w:tcW w:w="6095" w:type="dxa"/>
            <w:tcBorders>
              <w:top w:val="single" w:sz="4" w:space="0" w:color="000000"/>
              <w:left w:val="single" w:sz="4" w:space="0" w:color="000000"/>
              <w:bottom w:val="single" w:sz="4" w:space="0" w:color="000000"/>
              <w:right w:val="single" w:sz="4" w:space="0" w:color="000000"/>
            </w:tcBorders>
          </w:tcPr>
          <w:p>
            <w:pPr>
              <w:pStyle w:val="Normal"/>
              <w:ind w:left="0" w:right="0"/>
              <w:rPr/>
            </w:pPr>
            <w:r>
              <w:rPr/>
              <w:t xml:space="preserve">Tender doc’s, project 599881, Abu Razak Jetty, Oman, 1999 </w:t>
            </w:r>
          </w:p>
        </w:tc>
        <w:tc>
          <w:tcPr>
            <w:tcW w:w="1100" w:type="dxa"/>
            <w:tcBorders>
              <w:top w:val="single" w:sz="4" w:space="0" w:color="000000"/>
              <w:left w:val="single" w:sz="4" w:space="0" w:color="000000"/>
              <w:bottom w:val="single" w:sz="4" w:space="0" w:color="000000"/>
              <w:right w:val="single" w:sz="4" w:space="0" w:color="000000"/>
            </w:tcBorders>
          </w:tcPr>
          <w:p>
            <w:pPr>
              <w:pStyle w:val="Normal"/>
              <w:ind w:left="0" w:right="0"/>
              <w:rPr/>
            </w:pPr>
            <w:r>
              <w:rPr/>
              <w:t>2009</w:t>
            </w:r>
          </w:p>
        </w:tc>
      </w:tr>
    </w:tbl>
    <w:p>
      <w:pPr>
        <w:pStyle w:val="Normal"/>
        <w:rPr/>
      </w:pPr>
      <w:r>
        <w:rPr/>
      </w:r>
    </w:p>
    <w:p>
      <w:pPr>
        <w:pStyle w:val="Normal"/>
        <w:rPr/>
      </w:pPr>
      <w:r>
        <w:rPr/>
        <w:t>Where:</w:t>
      </w:r>
    </w:p>
    <w:p>
      <w:pPr>
        <w:pStyle w:val="Normal"/>
        <w:tabs>
          <w:tab w:val="clear" w:pos="567"/>
          <w:tab w:val="left" w:pos="4536" w:leader="none"/>
        </w:tabs>
        <w:rPr/>
      </w:pPr>
      <w:r>
        <w:rPr/>
        <w:t>Board</w:t>
        <w:tab/>
        <w:tab/>
        <w:t>BD</w:t>
      </w:r>
    </w:p>
    <w:p>
      <w:pPr>
        <w:pStyle w:val="Normal"/>
        <w:tabs>
          <w:tab w:val="clear" w:pos="567"/>
          <w:tab w:val="left" w:pos="4536" w:leader="none"/>
        </w:tabs>
        <w:rPr/>
      </w:pPr>
      <w:r>
        <w:rPr/>
        <w:t>Planning &amp; Engineering</w:t>
        <w:tab/>
        <w:tab/>
        <w:t>PE</w:t>
      </w:r>
    </w:p>
    <w:p>
      <w:pPr>
        <w:pStyle w:val="Normal"/>
        <w:tabs>
          <w:tab w:val="clear" w:pos="567"/>
          <w:tab w:val="left" w:pos="4536" w:leader="none"/>
        </w:tabs>
        <w:rPr/>
      </w:pPr>
      <w:r>
        <w:rPr/>
        <w:t>Plant &amp; Logistics</w:t>
        <w:tab/>
        <w:tab/>
        <w:t>PL</w:t>
      </w:r>
    </w:p>
    <w:p>
      <w:pPr>
        <w:pStyle w:val="Normal"/>
        <w:tabs>
          <w:tab w:val="clear" w:pos="567"/>
          <w:tab w:val="left" w:pos="4536" w:leader="none"/>
        </w:tabs>
        <w:rPr/>
      </w:pPr>
      <w:r>
        <w:rPr/>
        <w:t>Financial Administration</w:t>
        <w:tab/>
        <w:tab/>
        <w:t>FA</w:t>
      </w:r>
    </w:p>
    <w:p>
      <w:pPr>
        <w:pStyle w:val="Normal"/>
        <w:tabs>
          <w:tab w:val="clear" w:pos="567"/>
          <w:tab w:val="left" w:pos="4536" w:leader="none"/>
        </w:tabs>
        <w:rPr/>
      </w:pPr>
      <w:r>
        <w:rPr/>
        <w:t>Personnel &amp; General Affairs</w:t>
        <w:tab/>
        <w:t>PG</w:t>
      </w:r>
    </w:p>
    <w:p>
      <w:pPr>
        <w:pStyle w:val="Normal"/>
        <w:tabs>
          <w:tab w:val="clear" w:pos="567"/>
          <w:tab w:val="left" w:pos="4536" w:leader="none"/>
        </w:tabs>
        <w:rPr/>
      </w:pPr>
      <w:r>
        <w:rPr/>
        <w:t>Contractual Affairs</w:t>
        <w:tab/>
        <w:tab/>
        <w:t>CA</w:t>
      </w:r>
    </w:p>
    <w:p>
      <w:pPr>
        <w:pStyle w:val="Normal"/>
        <w:tabs>
          <w:tab w:val="clear" w:pos="567"/>
          <w:tab w:val="left" w:pos="4536" w:leader="none"/>
        </w:tabs>
        <w:rPr/>
      </w:pPr>
      <w:r>
        <w:rPr/>
        <w:t>Quality</w:t>
        <w:tab/>
        <w:t>QU</w:t>
      </w:r>
    </w:p>
    <w:p>
      <w:pPr>
        <w:pStyle w:val="Normal"/>
        <w:tabs>
          <w:tab w:val="clear" w:pos="567"/>
          <w:tab w:val="left" w:pos="4536" w:leader="none"/>
        </w:tabs>
        <w:rPr/>
      </w:pPr>
      <w:r>
        <w:rPr/>
        <w:t>Safety</w:t>
        <w:tab/>
        <w:t>SF</w:t>
      </w:r>
    </w:p>
    <w:p>
      <w:pPr>
        <w:pStyle w:val="Normal"/>
        <w:tabs>
          <w:tab w:val="clear" w:pos="567"/>
          <w:tab w:val="left" w:pos="4536" w:leader="none"/>
        </w:tabs>
        <w:rPr/>
      </w:pPr>
      <w:r>
        <w:rPr/>
        <w:t>Public Relations</w:t>
        <w:tab/>
        <w:t>PR</w:t>
      </w:r>
    </w:p>
    <w:p>
      <w:pPr>
        <w:pStyle w:val="Normal"/>
        <w:tabs>
          <w:tab w:val="clear" w:pos="567"/>
          <w:tab w:val="left" w:pos="4536" w:leader="none"/>
        </w:tabs>
        <w:rPr/>
      </w:pPr>
      <w:r>
        <w:rPr/>
        <w:t xml:space="preserve">Information &amp; Communication </w:t>
      </w:r>
    </w:p>
    <w:p>
      <w:pPr>
        <w:pStyle w:val="Normal"/>
        <w:tabs>
          <w:tab w:val="clear" w:pos="567"/>
          <w:tab w:val="left" w:pos="4536" w:leader="none"/>
        </w:tabs>
        <w:rPr/>
      </w:pPr>
      <w:r>
        <w:rPr/>
        <w:t>Technology</w:t>
        <w:tab/>
        <w:t>IT</w:t>
      </w:r>
    </w:p>
    <w:p>
      <w:pPr>
        <w:pStyle w:val="Normal"/>
        <w:tabs>
          <w:tab w:val="clear" w:pos="567"/>
          <w:tab w:val="left" w:pos="4536" w:leader="none"/>
        </w:tabs>
        <w:rPr/>
      </w:pPr>
      <w:r>
        <w:rPr/>
      </w:r>
    </w:p>
    <w:p>
      <w:pPr>
        <w:pStyle w:val="Normal"/>
        <w:tabs>
          <w:tab w:val="clear" w:pos="567"/>
          <w:tab w:val="left" w:pos="4536" w:leader="none"/>
        </w:tabs>
        <w:rPr/>
      </w:pPr>
      <w:r>
        <w:rPr/>
        <w:t>Area Africa:</w:t>
        <w:tab/>
        <w:tab/>
        <w:t>AF</w:t>
      </w:r>
    </w:p>
    <w:p>
      <w:pPr>
        <w:pStyle w:val="Normal"/>
        <w:tabs>
          <w:tab w:val="clear" w:pos="567"/>
          <w:tab w:val="left" w:pos="4536" w:leader="none"/>
        </w:tabs>
        <w:rPr/>
      </w:pPr>
      <w:r>
        <w:rPr/>
        <w:t>Area Middle East:</w:t>
        <w:tab/>
        <w:tab/>
        <w:t>ME</w:t>
      </w:r>
    </w:p>
    <w:p>
      <w:pPr>
        <w:pStyle w:val="Normal"/>
        <w:tabs>
          <w:tab w:val="clear" w:pos="567"/>
          <w:tab w:val="left" w:pos="4536" w:leader="none"/>
        </w:tabs>
        <w:rPr/>
      </w:pPr>
      <w:r>
        <w:rPr/>
        <w:t>Area Arabian Gulf</w:t>
        <w:tab/>
        <w:tab/>
        <w:t>AG</w:t>
      </w:r>
    </w:p>
    <w:p>
      <w:pPr>
        <w:pStyle w:val="Normal"/>
        <w:tabs>
          <w:tab w:val="clear" w:pos="567"/>
          <w:tab w:val="left" w:pos="4536" w:leader="none"/>
        </w:tabs>
        <w:rPr/>
      </w:pPr>
      <w:r>
        <w:rPr/>
        <w:t>Area America’s:</w:t>
        <w:tab/>
        <w:tab/>
        <w:t>AM</w:t>
      </w:r>
    </w:p>
    <w:p>
      <w:pPr>
        <w:pStyle w:val="Normal"/>
        <w:tabs>
          <w:tab w:val="clear" w:pos="567"/>
          <w:tab w:val="left" w:pos="4536" w:leader="none"/>
        </w:tabs>
        <w:rPr/>
      </w:pPr>
      <w:r>
        <w:rPr/>
        <w:t>Area Asia Pacific:</w:t>
        <w:tab/>
        <w:tab/>
        <w:t>AP</w:t>
      </w:r>
    </w:p>
    <w:p>
      <w:pPr>
        <w:pStyle w:val="Normal"/>
        <w:tabs>
          <w:tab w:val="clear" w:pos="567"/>
          <w:tab w:val="left" w:pos="4536" w:leader="none"/>
        </w:tabs>
        <w:rPr/>
      </w:pPr>
      <w:r>
        <w:rPr/>
        <w:t>Product Group Near Shore Facilities:</w:t>
        <w:tab/>
        <w:t>GN</w:t>
      </w:r>
    </w:p>
    <w:p>
      <w:pPr>
        <w:pStyle w:val="Normal"/>
        <w:rPr/>
      </w:pPr>
      <w:r>
        <w:rPr/>
      </w:r>
    </w:p>
    <w:p>
      <w:pPr>
        <w:pStyle w:val="Normal"/>
        <w:rPr/>
      </w:pPr>
      <w:r>
        <w:rPr/>
        <w:t xml:space="preserve">Small boxes are placed into large archive boxes. The contents are marked and the date for disposal indicated [only items with the same destroy year to be placed in one box].  </w:t>
      </w:r>
    </w:p>
    <w:p>
      <w:pPr>
        <w:pStyle w:val="Normal"/>
        <w:rPr/>
      </w:pPr>
      <w:r>
        <w:rPr/>
        <w:t xml:space="preserve">An extensive accompanying content list shall be enclosed. </w:t>
      </w:r>
    </w:p>
    <w:p>
      <w:pPr>
        <w:pStyle w:val="Normal"/>
        <w:rPr/>
      </w:pPr>
      <w:r>
        <w:rPr/>
      </w:r>
    </w:p>
    <w:p>
      <w:pPr>
        <w:pStyle w:val="Normal"/>
        <w:rPr/>
      </w:pPr>
      <w:r>
        <w:rPr/>
        <w:t>BAM Facilities are responsible for organising the dispatch of the archive boxes to the archive location and for ensuring their confidentiality where required. While in storage, records shall be protected from damage, loss or deterioration due to environmental or other conditions</w:t>
      </w:r>
    </w:p>
    <w:p>
      <w:pPr>
        <w:pStyle w:val="Normal"/>
        <w:rPr/>
      </w:pPr>
      <w:r>
        <w:rPr/>
      </w:r>
    </w:p>
    <w:p>
      <w:pPr>
        <w:pStyle w:val="Heading2"/>
        <w:ind w:hanging="0" w:left="567"/>
        <w:rPr/>
      </w:pPr>
      <w:r>
        <w:rPr/>
        <w:t>Archiving of Head Office Documents:</w:t>
      </w:r>
    </w:p>
    <w:p>
      <w:pPr>
        <w:pStyle w:val="Normal"/>
        <w:rPr/>
      </w:pPr>
      <w:r>
        <w:rPr/>
      </w:r>
    </w:p>
    <w:p>
      <w:pPr>
        <w:pStyle w:val="Normal"/>
        <w:rPr/>
      </w:pPr>
      <w:r>
        <w:rPr/>
        <w:t xml:space="preserve">The </w:t>
      </w:r>
      <w:r>
        <w:rPr>
          <w:b/>
        </w:rPr>
        <w:t>Area Managers / Department Heads</w:t>
      </w:r>
      <w:r>
        <w:rPr/>
        <w:t xml:space="preserve"> indicate which documents need to be archived after their operational life.</w:t>
      </w:r>
    </w:p>
    <w:p>
      <w:pPr>
        <w:pStyle w:val="Normal"/>
        <w:rPr/>
      </w:pPr>
      <w:r>
        <w:rPr/>
        <w:t xml:space="preserve">The </w:t>
      </w:r>
      <w:r>
        <w:rPr>
          <w:b/>
        </w:rPr>
        <w:t>Area Managers / Department Heads</w:t>
      </w:r>
      <w:r>
        <w:rPr/>
        <w:t xml:space="preserve"> submit the documents for archiving to the </w:t>
      </w:r>
      <w:r>
        <w:rPr>
          <w:b/>
        </w:rPr>
        <w:t>Information Control Engineer</w:t>
      </w:r>
    </w:p>
    <w:p>
      <w:pPr>
        <w:pStyle w:val="Normal"/>
        <w:rPr/>
      </w:pPr>
      <w:r>
        <w:rPr/>
        <w:t>However PG and PL Department archiving matters shall meet specific requirements as stated respectively in PG-P-14, filing and document security and PL-N-05, Plant Department Filing Archive.</w:t>
      </w:r>
    </w:p>
    <w:p>
      <w:pPr>
        <w:pStyle w:val="Normal"/>
        <w:rPr/>
      </w:pPr>
      <w:r>
        <w:rPr/>
      </w:r>
    </w:p>
    <w:p>
      <w:pPr>
        <w:pStyle w:val="Normal"/>
        <w:rPr/>
      </w:pPr>
      <w:r>
        <w:rPr/>
        <w:t xml:space="preserve">The </w:t>
      </w:r>
      <w:r>
        <w:rPr>
          <w:b/>
        </w:rPr>
        <w:t>Department Head</w:t>
      </w:r>
      <w:r>
        <w:rPr/>
        <w:t xml:space="preserve"> arranges disposal of documents, through the BAM Facilities as follows:</w:t>
      </w:r>
    </w:p>
    <w:p>
      <w:pPr>
        <w:pStyle w:val="Normal"/>
        <w:numPr>
          <w:ilvl w:val="0"/>
          <w:numId w:val="3"/>
        </w:numPr>
        <w:tabs>
          <w:tab w:val="clear" w:pos="567"/>
          <w:tab w:val="left" w:pos="927" w:leader="none"/>
        </w:tabs>
        <w:ind w:hanging="360" w:left="927" w:right="0"/>
        <w:rPr/>
      </w:pPr>
      <w:r>
        <w:rPr/>
        <w:t xml:space="preserve">Non confidential documents are disposed of as waste paper.  </w:t>
      </w:r>
    </w:p>
    <w:p>
      <w:pPr>
        <w:pStyle w:val="Normal"/>
        <w:numPr>
          <w:ilvl w:val="0"/>
          <w:numId w:val="3"/>
        </w:numPr>
        <w:tabs>
          <w:tab w:val="clear" w:pos="567"/>
          <w:tab w:val="left" w:pos="927" w:leader="none"/>
        </w:tabs>
        <w:ind w:hanging="360" w:left="927" w:right="0"/>
        <w:rPr/>
      </w:pPr>
      <w:r>
        <w:rPr/>
        <w:t xml:space="preserve">Confidential documents are shredded before being disposed of. </w:t>
      </w:r>
    </w:p>
    <w:p>
      <w:pPr>
        <w:pStyle w:val="Normal"/>
        <w:rPr/>
      </w:pPr>
      <w:r>
        <w:rPr/>
      </w:r>
    </w:p>
    <w:p>
      <w:pPr>
        <w:pStyle w:val="Heading2"/>
        <w:ind w:hanging="0" w:left="567"/>
        <w:rPr/>
      </w:pPr>
      <w:r>
        <w:rPr/>
        <w:t>Archiving of Project Documents</w:t>
      </w:r>
    </w:p>
    <w:p>
      <w:pPr>
        <w:pStyle w:val="Normal"/>
        <w:rPr/>
      </w:pPr>
      <w:r>
        <w:rPr/>
      </w:r>
    </w:p>
    <w:p>
      <w:pPr>
        <w:pStyle w:val="Normal"/>
        <w:rPr/>
      </w:pPr>
      <w:r>
        <w:rPr/>
        <w:t xml:space="preserve">The </w:t>
      </w:r>
      <w:r>
        <w:rPr>
          <w:b/>
        </w:rPr>
        <w:t>Project Manager</w:t>
      </w:r>
      <w:r>
        <w:rPr/>
        <w:t xml:space="preserve"> indicates which documents need to be archived after their operational life.</w:t>
      </w:r>
    </w:p>
    <w:p>
      <w:pPr>
        <w:pStyle w:val="Normal"/>
        <w:rPr/>
      </w:pPr>
      <w:r>
        <w:rPr/>
      </w:r>
    </w:p>
    <w:p>
      <w:pPr>
        <w:pStyle w:val="Normal"/>
        <w:rPr/>
      </w:pPr>
      <w:r>
        <w:rPr/>
        <w:t xml:space="preserve">The </w:t>
      </w:r>
      <w:r>
        <w:rPr>
          <w:b/>
        </w:rPr>
        <w:t>Project Engineer</w:t>
      </w:r>
      <w:r>
        <w:rPr/>
        <w:t xml:space="preserve"> shall prepare all documents for archiving prior to his departure from the project. In particular, attention should be paid to:</w:t>
      </w:r>
    </w:p>
    <w:p>
      <w:pPr>
        <w:pStyle w:val="Normal"/>
        <w:numPr>
          <w:ilvl w:val="0"/>
          <w:numId w:val="2"/>
        </w:numPr>
        <w:rPr/>
      </w:pPr>
      <w:r>
        <w:rPr/>
        <w:t>Personal files for each employee (these need to be sorted out)</w:t>
      </w:r>
    </w:p>
    <w:p>
      <w:pPr>
        <w:pStyle w:val="Normal"/>
        <w:numPr>
          <w:ilvl w:val="0"/>
          <w:numId w:val="2"/>
        </w:numPr>
        <w:rPr/>
      </w:pPr>
      <w:r>
        <w:rPr/>
        <w:t>Document Control files (double check)</w:t>
      </w:r>
    </w:p>
    <w:p>
      <w:pPr>
        <w:pStyle w:val="Normal"/>
        <w:numPr>
          <w:ilvl w:val="0"/>
          <w:numId w:val="2"/>
        </w:numPr>
        <w:rPr/>
      </w:pPr>
      <w:r>
        <w:rPr/>
        <w:t>Making electronic copies / disc of drawings</w:t>
      </w:r>
    </w:p>
    <w:p>
      <w:pPr>
        <w:pStyle w:val="Normal"/>
        <w:numPr>
          <w:ilvl w:val="0"/>
          <w:numId w:val="2"/>
        </w:numPr>
        <w:rPr/>
      </w:pPr>
      <w:r>
        <w:rPr/>
        <w:t>Making up a complete as built set of drawings</w:t>
      </w:r>
    </w:p>
    <w:p>
      <w:pPr>
        <w:pStyle w:val="Normal"/>
        <w:numPr>
          <w:ilvl w:val="0"/>
          <w:numId w:val="2"/>
        </w:numPr>
        <w:rPr/>
      </w:pPr>
      <w:r>
        <w:rPr/>
        <w:t>Gathering all documents that need to be:</w:t>
      </w:r>
    </w:p>
    <w:p>
      <w:pPr>
        <w:pStyle w:val="Normal"/>
        <w:numPr>
          <w:ilvl w:val="1"/>
          <w:numId w:val="2"/>
        </w:numPr>
        <w:rPr/>
      </w:pPr>
      <w:r>
        <w:rPr/>
        <w:t>sent the Head Office in the Netherlands</w:t>
      </w:r>
    </w:p>
    <w:p>
      <w:pPr>
        <w:pStyle w:val="Normal"/>
        <w:numPr>
          <w:ilvl w:val="1"/>
          <w:numId w:val="2"/>
        </w:numPr>
        <w:rPr/>
      </w:pPr>
      <w:r>
        <w:rPr/>
        <w:t>destroyed</w:t>
      </w:r>
    </w:p>
    <w:p>
      <w:pPr>
        <w:pStyle w:val="Normal"/>
        <w:numPr>
          <w:ilvl w:val="1"/>
          <w:numId w:val="2"/>
        </w:numPr>
        <w:rPr/>
      </w:pPr>
      <w:r>
        <w:rPr/>
        <w:t>stored in country of project</w:t>
      </w:r>
    </w:p>
    <w:p>
      <w:pPr>
        <w:pStyle w:val="Normal"/>
        <w:rPr/>
      </w:pPr>
      <w:r>
        <w:rPr/>
      </w:r>
    </w:p>
    <w:p>
      <w:pPr>
        <w:pStyle w:val="Normal"/>
        <w:rPr/>
      </w:pPr>
      <w:r>
        <w:rPr/>
        <w:t xml:space="preserve">The </w:t>
      </w:r>
      <w:r>
        <w:rPr>
          <w:b/>
        </w:rPr>
        <w:t>Project Manager</w:t>
      </w:r>
      <w:r>
        <w:rPr/>
        <w:t xml:space="preserve"> shall forward copies of Method Statements, and other relevant information to the </w:t>
      </w:r>
      <w:r>
        <w:rPr>
          <w:b/>
        </w:rPr>
        <w:t>Information Control Engineer</w:t>
      </w:r>
      <w:r>
        <w:rPr/>
        <w:t xml:space="preserve"> for placement in the Knowledge Library. Following review and selection by the </w:t>
      </w:r>
      <w:r>
        <w:rPr>
          <w:b/>
        </w:rPr>
        <w:t xml:space="preserve">Head of PE Department, </w:t>
      </w:r>
      <w:r>
        <w:rPr/>
        <w:t xml:space="preserve">selected material is placed in the library by the </w:t>
      </w:r>
      <w:r>
        <w:rPr>
          <w:b/>
        </w:rPr>
        <w:t>Information Control Engineer</w:t>
      </w:r>
      <w:r>
        <w:rPr/>
        <w:t>.</w:t>
      </w:r>
    </w:p>
    <w:p>
      <w:pPr>
        <w:pStyle w:val="Normal"/>
        <w:rPr/>
      </w:pPr>
      <w:r>
        <w:rPr/>
      </w:r>
    </w:p>
    <w:p>
      <w:pPr>
        <w:pStyle w:val="Normal"/>
        <w:rPr/>
      </w:pPr>
      <w:r>
        <w:rPr/>
        <w:t xml:space="preserve">The </w:t>
      </w:r>
      <w:r>
        <w:rPr>
          <w:b/>
        </w:rPr>
        <w:t>Project Manager</w:t>
      </w:r>
      <w:r>
        <w:rPr/>
        <w:t xml:space="preserve"> delivers the documents in accordance with this archiving procedure to the various involved parties.</w:t>
      </w:r>
    </w:p>
    <w:p>
      <w:pPr>
        <w:pStyle w:val="Normal"/>
        <w:rPr/>
      </w:pPr>
      <w:r>
        <w:rPr/>
      </w:r>
    </w:p>
    <w:p>
      <w:pPr>
        <w:pStyle w:val="Normal"/>
        <w:rPr/>
      </w:pPr>
      <w:r>
        <w:rPr/>
        <w:t xml:space="preserve">The </w:t>
      </w:r>
      <w:r>
        <w:rPr>
          <w:b/>
        </w:rPr>
        <w:t>Project Manager</w:t>
      </w:r>
      <w:r>
        <w:rPr/>
        <w:t xml:space="preserve"> arranges disposal of documents as follows:</w:t>
      </w:r>
    </w:p>
    <w:p>
      <w:pPr>
        <w:pStyle w:val="Normal"/>
        <w:rPr/>
      </w:pPr>
      <w:r>
        <w:rPr/>
        <w:t xml:space="preserve">Non confidential documents are disposed of as waste paper. Confidential documents are shredded before being disposed of. </w:t>
      </w:r>
    </w:p>
    <w:p>
      <w:pPr>
        <w:pStyle w:val="Normal"/>
        <w:rPr/>
      </w:pPr>
      <w:r>
        <w:rPr/>
      </w:r>
    </w:p>
    <w:p>
      <w:pPr>
        <w:pStyle w:val="Heading2"/>
        <w:ind w:hanging="0" w:left="567"/>
        <w:rPr/>
      </w:pPr>
      <w:r>
        <w:rPr/>
        <w:t>Retrieval of archived documents:</w:t>
      </w:r>
    </w:p>
    <w:p>
      <w:pPr>
        <w:pStyle w:val="Normal"/>
        <w:rPr/>
      </w:pPr>
      <w:r>
        <w:rPr/>
      </w:r>
    </w:p>
    <w:p>
      <w:pPr>
        <w:pStyle w:val="Normal"/>
        <w:rPr/>
      </w:pPr>
      <w:r>
        <w:rPr/>
        <w:t xml:space="preserve">Any person seeking the retrieval of archived documents should request this in writing to the </w:t>
      </w:r>
      <w:r>
        <w:rPr>
          <w:b/>
        </w:rPr>
        <w:t>Information Control Engineer</w:t>
      </w:r>
      <w:r>
        <w:rPr/>
        <w:t xml:space="preserve">. The </w:t>
      </w:r>
      <w:r>
        <w:rPr>
          <w:b/>
        </w:rPr>
        <w:t>Information Control Engineer</w:t>
      </w:r>
      <w:r>
        <w:rPr/>
        <w:t xml:space="preserve"> arranges the retrieval from and return of the documents to BAM Facilities.</w:t>
      </w:r>
    </w:p>
    <w:p>
      <w:pPr>
        <w:pStyle w:val="Normal"/>
        <w:rPr>
          <w:b/>
        </w:rPr>
      </w:pPr>
      <w:r>
        <w:rPr>
          <w:b/>
        </w:rPr>
      </w:r>
    </w:p>
    <w:p>
      <w:pPr>
        <w:pStyle w:val="Normal"/>
        <w:rPr/>
      </w:pPr>
      <w:r>
        <w:rPr/>
        <w:t>The</w:t>
      </w:r>
      <w:r>
        <w:rPr>
          <w:b/>
        </w:rPr>
        <w:t xml:space="preserve"> user </w:t>
      </w:r>
      <w:r>
        <w:rPr/>
        <w:t xml:space="preserve">ensures completeness of documentation when returning them to the </w:t>
      </w:r>
      <w:r>
        <w:rPr>
          <w:b/>
        </w:rPr>
        <w:t>Information Control Engineer</w:t>
      </w:r>
      <w:r>
        <w:rPr/>
        <w:t>.</w:t>
      </w:r>
    </w:p>
    <w:p>
      <w:pPr>
        <w:pStyle w:val="Normal"/>
        <w:rPr/>
      </w:pPr>
      <w:r>
        <w:rPr/>
      </w:r>
    </w:p>
    <w:p>
      <w:pPr>
        <w:pStyle w:val="Heading1"/>
        <w:ind w:hanging="0" w:left="567"/>
        <w:rPr/>
      </w:pPr>
      <w:r>
        <w:rPr/>
        <w:t>Attached documentation</w:t>
      </w:r>
    </w:p>
    <w:p>
      <w:pPr>
        <w:pStyle w:val="Normal"/>
        <w:rPr/>
      </w:pPr>
      <w:r>
        <w:rPr/>
      </w:r>
    </w:p>
    <w:p>
      <w:pPr>
        <w:pStyle w:val="Normal"/>
        <w:rPr/>
      </w:pPr>
      <w:r>
        <w:rPr/>
        <w:t>7.1</w:t>
        <w:tab/>
        <w:t>Archiving of Head Office documentation [after its operational life]</w:t>
      </w:r>
    </w:p>
    <w:p>
      <w:pPr>
        <w:pStyle w:val="Normal"/>
        <w:numPr>
          <w:ilvl w:val="1"/>
          <w:numId w:val="4"/>
        </w:numPr>
        <w:rPr/>
      </w:pPr>
      <w:r>
        <w:rPr/>
        <w:t>Archiving of Project documentation [after its operational life]</w:t>
      </w:r>
      <w:r>
        <w:br w:type="page"/>
      </w:r>
    </w:p>
    <w:p>
      <w:pPr>
        <w:pStyle w:val="Heading2"/>
        <w:ind w:hanging="709" w:left="567" w:right="0"/>
        <w:rPr/>
      </w:pPr>
      <w:r>
        <w:rPr/>
        <w:t>Archiving of Head Office documentation [after its operational life]. Documents are all considered Quality Records.</w:t>
      </w:r>
    </w:p>
    <w:p>
      <w:pPr>
        <w:pStyle w:val="Normal"/>
        <w:rPr/>
      </w:pPr>
      <w:r>
        <w:rPr/>
      </w:r>
    </w:p>
    <w:tbl>
      <w:tblPr>
        <w:tblW w:w="8472" w:type="dxa"/>
        <w:jc w:val="left"/>
        <w:tblInd w:w="0" w:type="dxa"/>
        <w:tblLayout w:type="fixed"/>
        <w:tblCellMar>
          <w:top w:w="0" w:type="dxa"/>
          <w:left w:w="108" w:type="dxa"/>
          <w:bottom w:w="0" w:type="dxa"/>
          <w:right w:w="108" w:type="dxa"/>
        </w:tblCellMar>
      </w:tblPr>
      <w:tblGrid>
        <w:gridCol w:w="5070"/>
        <w:gridCol w:w="1134"/>
        <w:gridCol w:w="1134"/>
        <w:gridCol w:w="1134"/>
      </w:tblGrid>
      <w:tr>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jc w:val="center"/>
              <w:rPr>
                <w:b/>
              </w:rPr>
            </w:pPr>
            <w:r>
              <w:rPr>
                <w:b/>
              </w:rPr>
              <w:t>Documents</w:t>
            </w:r>
          </w:p>
        </w:tc>
        <w:tc>
          <w:tcPr>
            <w:tcW w:w="1134" w:type="dxa"/>
            <w:tcBorders>
              <w:top w:val="single" w:sz="4" w:space="0" w:color="000000"/>
              <w:left w:val="single" w:sz="4" w:space="0" w:color="000000"/>
              <w:bottom w:val="single" w:sz="4" w:space="0" w:color="000000"/>
              <w:right w:val="single" w:sz="4" w:space="0" w:color="000000"/>
            </w:tcBorders>
          </w:tcPr>
          <w:p>
            <w:pPr>
              <w:pStyle w:val="Normal"/>
              <w:ind w:left="0" w:right="0"/>
              <w:jc w:val="center"/>
              <w:rPr>
                <w:b/>
              </w:rPr>
            </w:pPr>
            <w:r>
              <w:rPr>
                <w:b/>
              </w:rPr>
              <w:t>Source</w:t>
            </w:r>
          </w:p>
        </w:tc>
        <w:tc>
          <w:tcPr>
            <w:tcW w:w="1134" w:type="dxa"/>
            <w:tcBorders>
              <w:top w:val="single" w:sz="4" w:space="0" w:color="000000"/>
              <w:left w:val="single" w:sz="4" w:space="0" w:color="000000"/>
              <w:bottom w:val="single" w:sz="4" w:space="0" w:color="000000"/>
              <w:right w:val="single" w:sz="4" w:space="0" w:color="000000"/>
            </w:tcBorders>
          </w:tcPr>
          <w:p>
            <w:pPr>
              <w:pStyle w:val="Normal"/>
              <w:ind w:left="0" w:right="0"/>
              <w:jc w:val="center"/>
              <w:rPr>
                <w:b/>
              </w:rPr>
            </w:pPr>
            <w:r>
              <w:rPr>
                <w:b/>
              </w:rPr>
              <w:t>How long [in years]</w:t>
            </w:r>
          </w:p>
        </w:tc>
        <w:tc>
          <w:tcPr>
            <w:tcW w:w="1134" w:type="dxa"/>
            <w:tcBorders>
              <w:top w:val="single" w:sz="4" w:space="0" w:color="000000"/>
              <w:left w:val="single" w:sz="4" w:space="0" w:color="000000"/>
              <w:bottom w:val="single" w:sz="4" w:space="0" w:color="000000"/>
              <w:right w:val="single" w:sz="4" w:space="0" w:color="000000"/>
            </w:tcBorders>
          </w:tcPr>
          <w:p>
            <w:pPr>
              <w:pStyle w:val="Normal"/>
              <w:ind w:left="0" w:right="0"/>
              <w:jc w:val="center"/>
              <w:rPr>
                <w:b/>
              </w:rPr>
            </w:pPr>
            <w:r>
              <w:rPr>
                <w:b/>
              </w:rPr>
              <w:t>Type</w:t>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rPr>
                <w:b/>
                <w:sz w:val="16"/>
              </w:rPr>
            </w:pPr>
            <w:r>
              <w:rPr>
                <w:b/>
                <w:sz w:val="16"/>
                <w:highlight w:val="yellow"/>
              </w:rPr>
              <w:t>The HBG instruction 11 February 1999 jz-00358.lk states the following archive periods:</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b/>
                <w:sz w:val="16"/>
              </w:rPr>
            </w:pPr>
            <w:r>
              <w:rPr>
                <w:b/>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b/>
                <w:sz w:val="16"/>
              </w:rPr>
            </w:pPr>
            <w:r>
              <w:rPr>
                <w:b/>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b/>
                <w:sz w:val="16"/>
              </w:rPr>
            </w:pPr>
            <w:r>
              <w:rPr>
                <w:b/>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Contractual documents containing a liability</w:t>
            </w:r>
          </w:p>
        </w:tc>
        <w:tc>
          <w:tcPr>
            <w:tcW w:w="1134"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CA</w:t>
            </w:r>
          </w:p>
        </w:tc>
        <w:tc>
          <w:tcPr>
            <w:tcW w:w="1134"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 xml:space="preserve">20 </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Documents dealing with real estate</w:t>
            </w:r>
          </w:p>
        </w:tc>
        <w:tc>
          <w:tcPr>
            <w:tcW w:w="1134"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CA</w:t>
            </w:r>
          </w:p>
        </w:tc>
        <w:tc>
          <w:tcPr>
            <w:tcW w:w="1134"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10</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Financial documents</w:t>
            </w:r>
          </w:p>
        </w:tc>
        <w:tc>
          <w:tcPr>
            <w:tcW w:w="1134"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FA</w:t>
            </w:r>
          </w:p>
        </w:tc>
        <w:tc>
          <w:tcPr>
            <w:tcW w:w="1134"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7</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b/>
                <w:sz w:val="16"/>
              </w:rPr>
            </w:pPr>
            <w:r>
              <w:rPr>
                <w:b/>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b/>
                <w:sz w:val="16"/>
              </w:rPr>
            </w:pPr>
            <w:r>
              <w:rPr>
                <w:b/>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b/>
                <w:sz w:val="16"/>
              </w:rPr>
            </w:pPr>
            <w:r>
              <w:rPr>
                <w:b/>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b/>
                <w:sz w:val="16"/>
              </w:rPr>
            </w:pPr>
            <w:r>
              <w:rPr>
                <w:b/>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rPr/>
            </w:pPr>
            <w:r>
              <w:rPr>
                <w:b/>
                <w:sz w:val="16"/>
              </w:rPr>
              <w:t xml:space="preserve">Note:  In general the detailed archiving instructions of the Departments should be followed as the above is only applicable for The Netherlands and it seems that liability periods for example design or EPC projects are not considered.  </w:t>
            </w:r>
            <w:r>
              <w:rPr>
                <w:b/>
                <w:sz w:val="16"/>
                <w:lang w:val="nl-NL"/>
              </w:rPr>
              <w:t>The NVBA [Nederlandse Vereniging van Bedrijfs Archivarissen] suggests the following:</w:t>
            </w:r>
          </w:p>
          <w:p>
            <w:pPr>
              <w:pStyle w:val="Normal"/>
              <w:ind w:left="0" w:right="0"/>
              <w:rPr>
                <w:b/>
                <w:sz w:val="16"/>
              </w:rPr>
            </w:pPr>
            <w:r>
              <w:rPr>
                <w:b/>
                <w:sz w:val="16"/>
              </w:rPr>
              <w:t>Archiving without a time limit is not known legally. A limitation period of 30 years applies. Within these 30 years exhibits might have to be shown (there is no obligation to archive – but it is advisable)</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b/>
                <w:sz w:val="16"/>
              </w:rPr>
            </w:pPr>
            <w:r>
              <w:rPr>
                <w:b/>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b/>
                <w:sz w:val="16"/>
              </w:rPr>
            </w:pPr>
            <w:r>
              <w:rPr>
                <w:b/>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b/>
                <w:sz w:val="16"/>
              </w:rPr>
            </w:pPr>
            <w:r>
              <w:rPr>
                <w:b/>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b/>
                <w:sz w:val="16"/>
              </w:rPr>
            </w:pPr>
            <w:r>
              <w:rPr>
                <w:b/>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b/>
                <w:sz w:val="16"/>
              </w:rPr>
            </w:pPr>
            <w:r>
              <w:rPr>
                <w:b/>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b/>
                <w:sz w:val="16"/>
              </w:rPr>
            </w:pPr>
            <w:r>
              <w:rPr>
                <w:b/>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b/>
                <w:sz w:val="16"/>
              </w:rPr>
            </w:pPr>
            <w:r>
              <w:rPr>
                <w:b/>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rPr>
                <w:b/>
                <w:sz w:val="16"/>
              </w:rPr>
            </w:pPr>
            <w:r>
              <w:rPr>
                <w:b/>
                <w:sz w:val="16"/>
              </w:rPr>
              <w:t>General</w:t>
            </w:r>
          </w:p>
        </w:tc>
        <w:tc>
          <w:tcPr>
            <w:tcW w:w="1134"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Secretaries</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b/>
                <w:sz w:val="16"/>
              </w:rPr>
            </w:pPr>
            <w:r>
              <w:rPr>
                <w:b/>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b/>
                <w:sz w:val="16"/>
              </w:rPr>
            </w:pPr>
            <w:r>
              <w:rPr>
                <w:b/>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All correspondence, etc.</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10</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Reports of workgroups and steering committees</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10</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Telefax/ telex/ copy letters</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5</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Customer complaints register</w:t>
            </w:r>
          </w:p>
        </w:tc>
        <w:tc>
          <w:tcPr>
            <w:tcW w:w="1134"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QU</w:t>
            </w:r>
          </w:p>
        </w:tc>
        <w:tc>
          <w:tcPr>
            <w:tcW w:w="1134"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5</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rPr>
                <w:b/>
                <w:sz w:val="16"/>
              </w:rPr>
            </w:pPr>
            <w:r>
              <w:rPr>
                <w:b/>
                <w:sz w:val="16"/>
              </w:rPr>
              <w:t>Board documents</w:t>
            </w:r>
          </w:p>
        </w:tc>
        <w:tc>
          <w:tcPr>
            <w:tcW w:w="1134"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Board Secretary</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b/>
                <w:sz w:val="16"/>
              </w:rPr>
            </w:pPr>
            <w:r>
              <w:rPr>
                <w:b/>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b/>
                <w:sz w:val="16"/>
              </w:rPr>
            </w:pPr>
            <w:r>
              <w:rPr>
                <w:b/>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MTP’s, OP’s, BSC’s, management reviews</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10</w:t>
            </w:r>
          </w:p>
        </w:tc>
        <w:tc>
          <w:tcPr>
            <w:tcW w:w="1134"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Confidential</w:t>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Minutes of meeting</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10</w:t>
            </w:r>
          </w:p>
        </w:tc>
        <w:tc>
          <w:tcPr>
            <w:tcW w:w="1134"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Confidential</w:t>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rPr>
                <w:b/>
                <w:sz w:val="16"/>
              </w:rPr>
            </w:pPr>
            <w:r>
              <w:rPr>
                <w:b/>
                <w:sz w:val="16"/>
              </w:rPr>
              <w:t>Area documents</w:t>
            </w:r>
          </w:p>
        </w:tc>
        <w:tc>
          <w:tcPr>
            <w:tcW w:w="1134"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Area Secretary</w:t>
            </w:r>
          </w:p>
        </w:tc>
        <w:tc>
          <w:tcPr>
            <w:tcW w:w="1134"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10</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b/>
                <w:sz w:val="16"/>
              </w:rPr>
            </w:pPr>
            <w:r>
              <w:rPr>
                <w:b/>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b/>
                <w:sz w:val="16"/>
              </w:rPr>
            </w:pPr>
            <w:r>
              <w:rPr>
                <w:b/>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rPr>
                <w:b/>
                <w:sz w:val="16"/>
              </w:rPr>
            </w:pPr>
            <w:r>
              <w:rPr>
                <w:b/>
                <w:sz w:val="16"/>
              </w:rPr>
              <w:t>CA documents</w:t>
            </w:r>
          </w:p>
        </w:tc>
        <w:tc>
          <w:tcPr>
            <w:tcW w:w="1134"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CA</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b/>
                <w:sz w:val="16"/>
              </w:rPr>
            </w:pPr>
            <w:r>
              <w:rPr>
                <w:b/>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b/>
                <w:sz w:val="16"/>
              </w:rPr>
            </w:pPr>
            <w:r>
              <w:rPr>
                <w:b/>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Contracts, claims, etc</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30</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Patents</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indefinite</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Licenses from the Ned. bank</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indefinite</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rPr>
                <w:b/>
                <w:sz w:val="16"/>
              </w:rPr>
            </w:pPr>
            <w:r>
              <w:rPr>
                <w:b/>
                <w:sz w:val="16"/>
              </w:rPr>
              <w:t>PG documents [see PG-P-14 for details]</w:t>
            </w:r>
          </w:p>
        </w:tc>
        <w:tc>
          <w:tcPr>
            <w:tcW w:w="1134"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PG</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Personnel files</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80</w:t>
            </w:r>
          </w:p>
        </w:tc>
        <w:tc>
          <w:tcPr>
            <w:tcW w:w="1134"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Confidential</w:t>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 xml:space="preserve">Personnel files of VUT personnel [2 years after termination of the benefit] </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Confidential</w:t>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Medical check ups</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30</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Social annual reports</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20</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Payroll, salary administration &amp; adaptations</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10</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Legal protection forms [after session period expires], lease car files</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10</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Judgement forms, files of trainees</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5</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Unsuccessful applications and accompanying documentation</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2</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CV’s</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10</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Training records and planning</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ind w:left="0" w:right="0"/>
              <w:rPr>
                <w:sz w:val="16"/>
                <w:lang w:val="nl-NL"/>
              </w:rPr>
            </w:pPr>
            <w:r>
              <w:rPr>
                <w:sz w:val="16"/>
                <w:lang w:val="nl-NL"/>
              </w:rPr>
              <w:t>10</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lang w:val="nl-NL"/>
              </w:rPr>
            </w:pPr>
            <w:r>
              <w:rPr>
                <w:sz w:val="16"/>
                <w:lang w:val="nl-NL"/>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lang w:val="nl-NL"/>
              </w:rPr>
            </w:pPr>
            <w:r>
              <w:rPr>
                <w:sz w:val="16"/>
                <w:lang w:val="nl-NL"/>
              </w:rPr>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lang w:val="nl-NL"/>
              </w:rPr>
            </w:pPr>
            <w:r>
              <w:rPr>
                <w:sz w:val="16"/>
                <w:lang w:val="nl-NL"/>
              </w:rPr>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lang w:val="nl-NL"/>
              </w:rPr>
            </w:pPr>
            <w:r>
              <w:rPr>
                <w:sz w:val="16"/>
                <w:lang w:val="nl-NL"/>
              </w:rPr>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lang w:val="nl-NL"/>
              </w:rPr>
            </w:pPr>
            <w:r>
              <w:rPr>
                <w:sz w:val="16"/>
                <w:lang w:val="nl-NL"/>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rPr>
                <w:b/>
                <w:sz w:val="16"/>
                <w:lang w:val="nl-NL"/>
              </w:rPr>
            </w:pPr>
            <w:r>
              <w:rPr>
                <w:b/>
                <w:sz w:val="16"/>
                <w:lang w:val="nl-NL"/>
              </w:rPr>
              <w:t>FA documents</w:t>
            </w:r>
          </w:p>
        </w:tc>
        <w:tc>
          <w:tcPr>
            <w:tcW w:w="1134" w:type="dxa"/>
            <w:tcBorders>
              <w:top w:val="single" w:sz="4" w:space="0" w:color="000000"/>
              <w:left w:val="single" w:sz="4" w:space="0" w:color="000000"/>
              <w:bottom w:val="single" w:sz="4" w:space="0" w:color="000000"/>
              <w:right w:val="single" w:sz="4" w:space="0" w:color="000000"/>
            </w:tcBorders>
          </w:tcPr>
          <w:p>
            <w:pPr>
              <w:pStyle w:val="Normal"/>
              <w:ind w:left="0" w:right="0"/>
              <w:rPr>
                <w:sz w:val="16"/>
                <w:lang w:val="nl-NL"/>
              </w:rPr>
            </w:pPr>
            <w:r>
              <w:rPr>
                <w:sz w:val="16"/>
                <w:lang w:val="nl-NL"/>
              </w:rPr>
              <w:t>FA</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lang w:val="nl-NL"/>
              </w:rPr>
            </w:pPr>
            <w:r>
              <w:rPr>
                <w:sz w:val="16"/>
                <w:lang w:val="nl-NL"/>
              </w:rPr>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b/>
                <w:sz w:val="16"/>
                <w:lang w:val="nl-NL"/>
              </w:rPr>
            </w:pPr>
            <w:r>
              <w:rPr>
                <w:b/>
                <w:sz w:val="16"/>
                <w:lang w:val="nl-NL"/>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rPr>
                <w:sz w:val="16"/>
                <w:lang w:val="nl-NL"/>
              </w:rPr>
            </w:pPr>
            <w:r>
              <w:rPr>
                <w:sz w:val="16"/>
                <w:lang w:val="nl-NL"/>
              </w:rPr>
              <w:t>Licenses Nederlandse Bank</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lang w:val="nl-NL"/>
              </w:rPr>
            </w:pPr>
            <w:r>
              <w:rPr>
                <w:sz w:val="16"/>
                <w:lang w:val="nl-NL"/>
              </w:rPr>
            </w:r>
          </w:p>
        </w:tc>
        <w:tc>
          <w:tcPr>
            <w:tcW w:w="1134"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indefinite</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Accounts</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10</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Annual accounts</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30</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rPr>
                <w:b/>
                <w:sz w:val="16"/>
              </w:rPr>
            </w:pPr>
            <w:r>
              <w:rPr>
                <w:b/>
                <w:sz w:val="16"/>
              </w:rPr>
              <w:t>PE Documents [Knowledge Filing system]</w:t>
            </w:r>
          </w:p>
        </w:tc>
        <w:tc>
          <w:tcPr>
            <w:tcW w:w="1134"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PE</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b/>
                <w:sz w:val="16"/>
              </w:rPr>
            </w:pPr>
            <w:r>
              <w:rPr>
                <w:b/>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b/>
                <w:sz w:val="16"/>
              </w:rPr>
            </w:pPr>
            <w:r>
              <w:rPr>
                <w:b/>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Tenders [QU-P-05] incl.:</w:t>
            </w:r>
          </w:p>
          <w:p>
            <w:pPr>
              <w:pStyle w:val="Normal"/>
              <w:ind w:left="0" w:right="0"/>
              <w:rPr>
                <w:sz w:val="16"/>
              </w:rPr>
            </w:pPr>
            <w:r>
              <w:rPr>
                <w:sz w:val="16"/>
              </w:rPr>
              <w:t>Contract Review, Design Review / Verification</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10</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Meteorology/ oceanology/ soil conditions</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indefinite</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Own designs</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indefinite</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rPr>
                <w:b/>
                <w:sz w:val="16"/>
              </w:rPr>
            </w:pPr>
            <w:r>
              <w:rPr>
                <w:b/>
                <w:sz w:val="16"/>
              </w:rPr>
              <w:t>IT documents</w:t>
            </w:r>
          </w:p>
        </w:tc>
        <w:tc>
          <w:tcPr>
            <w:tcW w:w="1134"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IT</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b/>
                <w:sz w:val="16"/>
              </w:rPr>
            </w:pPr>
            <w:r>
              <w:rPr>
                <w:b/>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b/>
                <w:sz w:val="16"/>
              </w:rPr>
            </w:pPr>
            <w:r>
              <w:rPr>
                <w:b/>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User manuals</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5</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 xml:space="preserve">Data files [as per IT procedures] </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rPr>
                <w:b/>
                <w:sz w:val="16"/>
              </w:rPr>
            </w:pPr>
            <w:r>
              <w:rPr>
                <w:b/>
                <w:sz w:val="16"/>
              </w:rPr>
              <w:t>PL documents</w:t>
            </w:r>
          </w:p>
        </w:tc>
        <w:tc>
          <w:tcPr>
            <w:tcW w:w="1134"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PL</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b/>
                <w:sz w:val="16"/>
              </w:rPr>
            </w:pPr>
            <w:r>
              <w:rPr>
                <w:b/>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b/>
                <w:sz w:val="16"/>
              </w:rPr>
            </w:pPr>
            <w:r>
              <w:rPr>
                <w:b/>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Present plant &amp; equipment</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Plant &amp; equipment documents</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10</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Procurement documents</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10</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10</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Transport docs</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10</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Calibration records</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10</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Vendor assessment records</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10</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Vendor performance records</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ind w:left="0" w:right="0"/>
              <w:rPr>
                <w:sz w:val="16"/>
                <w:lang w:val="nl-NL"/>
              </w:rPr>
            </w:pPr>
            <w:r>
              <w:rPr>
                <w:sz w:val="16"/>
                <w:lang w:val="nl-NL"/>
              </w:rPr>
              <w:t>10</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lang w:val="nl-NL"/>
              </w:rPr>
            </w:pPr>
            <w:r>
              <w:rPr>
                <w:sz w:val="16"/>
                <w:lang w:val="nl-NL"/>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lang w:val="nl-NL"/>
              </w:rPr>
            </w:pPr>
            <w:r>
              <w:rPr>
                <w:sz w:val="16"/>
                <w:lang w:val="nl-NL"/>
              </w:rPr>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lang w:val="nl-NL"/>
              </w:rPr>
            </w:pPr>
            <w:r>
              <w:rPr>
                <w:sz w:val="16"/>
                <w:lang w:val="nl-NL"/>
              </w:rPr>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lang w:val="nl-NL"/>
              </w:rPr>
            </w:pPr>
            <w:r>
              <w:rPr>
                <w:sz w:val="16"/>
                <w:lang w:val="nl-NL"/>
              </w:rPr>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lang w:val="nl-NL"/>
              </w:rPr>
            </w:pPr>
            <w:r>
              <w:rPr>
                <w:sz w:val="16"/>
                <w:lang w:val="nl-NL"/>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rPr>
                <w:b/>
                <w:sz w:val="16"/>
                <w:lang w:val="nl-NL"/>
              </w:rPr>
            </w:pPr>
            <w:r>
              <w:rPr>
                <w:b/>
                <w:sz w:val="16"/>
                <w:lang w:val="nl-NL"/>
              </w:rPr>
              <w:t xml:space="preserve">QU documents </w:t>
            </w:r>
          </w:p>
        </w:tc>
        <w:tc>
          <w:tcPr>
            <w:tcW w:w="1134" w:type="dxa"/>
            <w:tcBorders>
              <w:top w:val="single" w:sz="4" w:space="0" w:color="000000"/>
              <w:left w:val="single" w:sz="4" w:space="0" w:color="000000"/>
              <w:bottom w:val="single" w:sz="4" w:space="0" w:color="000000"/>
              <w:right w:val="single" w:sz="4" w:space="0" w:color="000000"/>
            </w:tcBorders>
          </w:tcPr>
          <w:p>
            <w:pPr>
              <w:pStyle w:val="Normal"/>
              <w:ind w:left="0" w:right="0"/>
              <w:rPr>
                <w:sz w:val="16"/>
                <w:lang w:val="nl-NL"/>
              </w:rPr>
            </w:pPr>
            <w:r>
              <w:rPr>
                <w:sz w:val="16"/>
                <w:lang w:val="nl-NL"/>
              </w:rPr>
              <w:t>QU</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b/>
                <w:sz w:val="16"/>
                <w:lang w:val="nl-NL"/>
              </w:rPr>
            </w:pPr>
            <w:r>
              <w:rPr>
                <w:b/>
                <w:sz w:val="16"/>
                <w:lang w:val="nl-NL"/>
              </w:rPr>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b/>
                <w:sz w:val="16"/>
                <w:lang w:val="nl-NL"/>
              </w:rPr>
            </w:pPr>
            <w:r>
              <w:rPr>
                <w:b/>
                <w:sz w:val="16"/>
                <w:lang w:val="nl-NL"/>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Project plans</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10</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Audit reports, Corrective Actions and Non - Conformities</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10</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Quality planning</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10</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rPr>
                <w:b/>
                <w:sz w:val="16"/>
              </w:rPr>
            </w:pPr>
            <w:r>
              <w:rPr>
                <w:b/>
                <w:sz w:val="16"/>
              </w:rPr>
              <w:t xml:space="preserve">Safety documents </w:t>
            </w:r>
          </w:p>
        </w:tc>
        <w:tc>
          <w:tcPr>
            <w:tcW w:w="1134"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SF</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b/>
                <w:sz w:val="16"/>
              </w:rPr>
            </w:pPr>
            <w:r>
              <w:rPr>
                <w:b/>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b/>
                <w:sz w:val="16"/>
              </w:rPr>
            </w:pPr>
            <w:r>
              <w:rPr>
                <w:b/>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Safety history</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indefinite</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Other</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10</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rPr>
                <w:b/>
                <w:sz w:val="16"/>
              </w:rPr>
            </w:pPr>
            <w:r>
              <w:rPr>
                <w:b/>
                <w:sz w:val="16"/>
              </w:rPr>
              <w:t>PR documents</w:t>
            </w:r>
          </w:p>
        </w:tc>
        <w:tc>
          <w:tcPr>
            <w:tcW w:w="1134"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PR</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b/>
                <w:sz w:val="16"/>
              </w:rPr>
            </w:pPr>
            <w:r>
              <w:rPr>
                <w:b/>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b/>
                <w:sz w:val="16"/>
              </w:rPr>
            </w:pPr>
            <w:r>
              <w:rPr>
                <w:b/>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Historical archive</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indefinite</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Other</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10</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r>
    </w:tbl>
    <w:p>
      <w:pPr>
        <w:pStyle w:val="Normal"/>
        <w:ind w:left="0" w:right="0"/>
        <w:rPr>
          <w:sz w:val="16"/>
        </w:rPr>
      </w:pPr>
      <w:r>
        <w:rPr>
          <w:sz w:val="16"/>
        </w:rPr>
      </w:r>
    </w:p>
    <w:p>
      <w:pPr>
        <w:pStyle w:val="Normal"/>
        <w:ind w:left="0" w:right="0"/>
        <w:rPr>
          <w:sz w:val="16"/>
        </w:rPr>
      </w:pPr>
      <w:r>
        <w:rPr>
          <w:sz w:val="16"/>
        </w:rPr>
      </w:r>
    </w:p>
    <w:p>
      <w:pPr>
        <w:pStyle w:val="Normal"/>
        <w:ind w:left="0" w:right="0"/>
        <w:rPr>
          <w:sz w:val="16"/>
        </w:rPr>
      </w:pPr>
      <w:r>
        <w:rPr>
          <w:sz w:val="16"/>
        </w:rPr>
        <w:t>CA</w:t>
        <w:tab/>
        <w:t>Contractual Affairs Department</w:t>
      </w:r>
    </w:p>
    <w:p>
      <w:pPr>
        <w:pStyle w:val="Normal"/>
        <w:ind w:left="0" w:right="0"/>
        <w:rPr>
          <w:sz w:val="16"/>
        </w:rPr>
      </w:pPr>
      <w:r>
        <w:rPr>
          <w:sz w:val="16"/>
        </w:rPr>
        <w:t>FA</w:t>
        <w:tab/>
        <w:t>Finance and Administration</w:t>
      </w:r>
    </w:p>
    <w:p>
      <w:pPr>
        <w:pStyle w:val="Normal"/>
        <w:ind w:left="0" w:right="0"/>
        <w:rPr>
          <w:sz w:val="16"/>
        </w:rPr>
      </w:pPr>
      <w:r>
        <w:rPr>
          <w:sz w:val="16"/>
        </w:rPr>
        <w:t>IT</w:t>
        <w:tab/>
        <w:t>Information and Communications Technology Department</w:t>
      </w:r>
    </w:p>
    <w:p>
      <w:pPr>
        <w:pStyle w:val="Normal"/>
        <w:ind w:left="0" w:right="0"/>
        <w:rPr>
          <w:sz w:val="16"/>
        </w:rPr>
      </w:pPr>
      <w:r>
        <w:rPr>
          <w:sz w:val="16"/>
        </w:rPr>
        <w:t>PL</w:t>
        <w:tab/>
        <w:t>Plant and Logistics Department</w:t>
      </w:r>
    </w:p>
    <w:p>
      <w:pPr>
        <w:pStyle w:val="Normal"/>
        <w:ind w:left="0" w:right="0"/>
        <w:rPr>
          <w:sz w:val="16"/>
        </w:rPr>
      </w:pPr>
      <w:r>
        <w:rPr>
          <w:sz w:val="16"/>
        </w:rPr>
        <w:t>PE</w:t>
        <w:tab/>
        <w:t>Planning and Engineering Department</w:t>
      </w:r>
    </w:p>
    <w:p>
      <w:pPr>
        <w:pStyle w:val="Normal"/>
        <w:ind w:left="0" w:right="0"/>
        <w:rPr>
          <w:sz w:val="16"/>
        </w:rPr>
      </w:pPr>
      <w:r>
        <w:rPr>
          <w:sz w:val="16"/>
        </w:rPr>
        <w:t>PR</w:t>
        <w:tab/>
        <w:t xml:space="preserve">Public Relations Department </w:t>
      </w:r>
    </w:p>
    <w:p>
      <w:pPr>
        <w:pStyle w:val="Normal"/>
        <w:ind w:left="0" w:right="0"/>
        <w:rPr>
          <w:sz w:val="16"/>
        </w:rPr>
      </w:pPr>
      <w:r>
        <w:rPr>
          <w:sz w:val="16"/>
        </w:rPr>
        <w:t>QU</w:t>
        <w:tab/>
        <w:t>Quality Department</w:t>
      </w:r>
    </w:p>
    <w:p>
      <w:pPr>
        <w:pStyle w:val="Normal"/>
        <w:ind w:left="0" w:right="0"/>
        <w:rPr>
          <w:sz w:val="16"/>
        </w:rPr>
      </w:pPr>
      <w:r>
        <w:rPr>
          <w:sz w:val="16"/>
        </w:rPr>
        <w:t>SF</w:t>
        <w:tab/>
        <w:t>Safety Department</w:t>
      </w:r>
    </w:p>
    <w:p>
      <w:pPr>
        <w:pStyle w:val="Normal"/>
        <w:rPr>
          <w:sz w:val="16"/>
        </w:rPr>
      </w:pPr>
      <w:r>
        <w:rPr>
          <w:sz w:val="16"/>
        </w:rPr>
      </w:r>
    </w:p>
    <w:p>
      <w:pPr>
        <w:pStyle w:val="Normal"/>
        <w:rPr>
          <w:sz w:val="16"/>
        </w:rPr>
      </w:pPr>
      <w:r>
        <w:rPr>
          <w:sz w:val="16"/>
        </w:rPr>
      </w:r>
      <w:r>
        <w:br w:type="page"/>
      </w:r>
    </w:p>
    <w:p>
      <w:pPr>
        <w:pStyle w:val="Normal"/>
        <w:rPr/>
      </w:pPr>
      <w:r>
        <w:rPr/>
      </w:r>
    </w:p>
    <w:p>
      <w:pPr>
        <w:pStyle w:val="Heading2"/>
        <w:ind w:hanging="0" w:left="567"/>
        <w:rPr/>
      </w:pPr>
      <w:r>
        <w:rPr/>
        <w:t>Archiving of Project documentation [after its operational life]</w:t>
      </w:r>
    </w:p>
    <w:p>
      <w:pPr>
        <w:pStyle w:val="Normal"/>
        <w:rPr/>
      </w:pPr>
      <w:r>
        <w:rPr/>
      </w:r>
    </w:p>
    <w:tbl>
      <w:tblPr>
        <w:tblW w:w="8330" w:type="dxa"/>
        <w:jc w:val="left"/>
        <w:tblInd w:w="0" w:type="dxa"/>
        <w:tblLayout w:type="fixed"/>
        <w:tblCellMar>
          <w:top w:w="0" w:type="dxa"/>
          <w:left w:w="108" w:type="dxa"/>
          <w:bottom w:w="0" w:type="dxa"/>
          <w:right w:w="108" w:type="dxa"/>
        </w:tblCellMar>
      </w:tblPr>
      <w:tblGrid>
        <w:gridCol w:w="5070"/>
        <w:gridCol w:w="850"/>
        <w:gridCol w:w="1276"/>
        <w:gridCol w:w="1134"/>
      </w:tblGrid>
      <w:tr>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jc w:val="center"/>
              <w:rPr>
                <w:b/>
                <w:sz w:val="16"/>
              </w:rPr>
            </w:pPr>
            <w:r>
              <w:rPr>
                <w:b/>
                <w:sz w:val="16"/>
              </w:rPr>
              <w:t>Documents</w:t>
            </w:r>
          </w:p>
        </w:tc>
        <w:tc>
          <w:tcPr>
            <w:tcW w:w="850" w:type="dxa"/>
            <w:tcBorders>
              <w:top w:val="single" w:sz="4" w:space="0" w:color="000000"/>
              <w:left w:val="single" w:sz="4" w:space="0" w:color="000000"/>
              <w:bottom w:val="single" w:sz="4" w:space="0" w:color="000000"/>
              <w:right w:val="single" w:sz="4" w:space="0" w:color="000000"/>
            </w:tcBorders>
          </w:tcPr>
          <w:p>
            <w:pPr>
              <w:pStyle w:val="Normal"/>
              <w:ind w:left="0" w:right="0"/>
              <w:jc w:val="center"/>
              <w:rPr>
                <w:b/>
                <w:sz w:val="16"/>
              </w:rPr>
            </w:pPr>
            <w:r>
              <w:rPr>
                <w:b/>
                <w:sz w:val="16"/>
              </w:rPr>
              <w:t>Source</w:t>
            </w:r>
          </w:p>
        </w:tc>
        <w:tc>
          <w:tcPr>
            <w:tcW w:w="1276" w:type="dxa"/>
            <w:tcBorders>
              <w:top w:val="single" w:sz="4" w:space="0" w:color="000000"/>
              <w:left w:val="single" w:sz="4" w:space="0" w:color="000000"/>
              <w:bottom w:val="single" w:sz="4" w:space="0" w:color="000000"/>
              <w:right w:val="single" w:sz="4" w:space="0" w:color="000000"/>
            </w:tcBorders>
          </w:tcPr>
          <w:p>
            <w:pPr>
              <w:pStyle w:val="Normal"/>
              <w:ind w:left="0" w:right="0"/>
              <w:jc w:val="center"/>
              <w:rPr>
                <w:b/>
                <w:sz w:val="16"/>
              </w:rPr>
            </w:pPr>
            <w:r>
              <w:rPr>
                <w:b/>
                <w:sz w:val="16"/>
              </w:rPr>
              <w:t>How long [in years]</w:t>
            </w:r>
          </w:p>
        </w:tc>
        <w:tc>
          <w:tcPr>
            <w:tcW w:w="1134" w:type="dxa"/>
            <w:tcBorders>
              <w:top w:val="single" w:sz="4" w:space="0" w:color="000000"/>
              <w:left w:val="single" w:sz="4" w:space="0" w:color="000000"/>
              <w:bottom w:val="single" w:sz="4" w:space="0" w:color="000000"/>
              <w:right w:val="single" w:sz="4" w:space="0" w:color="000000"/>
            </w:tcBorders>
          </w:tcPr>
          <w:p>
            <w:pPr>
              <w:pStyle w:val="Normal"/>
              <w:ind w:left="0" w:right="0"/>
              <w:jc w:val="center"/>
              <w:rPr>
                <w:b/>
                <w:sz w:val="16"/>
              </w:rPr>
            </w:pPr>
            <w:r>
              <w:rPr>
                <w:b/>
                <w:sz w:val="16"/>
              </w:rPr>
              <w:t>Type</w:t>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b/>
                <w:sz w:val="16"/>
              </w:rPr>
            </w:pPr>
            <w:r>
              <w:rPr>
                <w:b/>
                <w:sz w:val="16"/>
              </w:rPr>
            </w:r>
          </w:p>
        </w:tc>
        <w:tc>
          <w:tcPr>
            <w:tcW w:w="850"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276"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rPr>
                <w:b/>
                <w:sz w:val="16"/>
              </w:rPr>
            </w:pPr>
            <w:r>
              <w:rPr>
                <w:b/>
                <w:sz w:val="16"/>
              </w:rPr>
              <w:t>Project file from M&amp;BD phase</w:t>
            </w:r>
          </w:p>
        </w:tc>
        <w:tc>
          <w:tcPr>
            <w:tcW w:w="850"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Area</w:t>
            </w:r>
          </w:p>
        </w:tc>
        <w:tc>
          <w:tcPr>
            <w:tcW w:w="1276"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10</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b/>
                <w:sz w:val="16"/>
              </w:rPr>
            </w:pPr>
            <w:r>
              <w:rPr>
                <w:b/>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b/>
                <w:sz w:val="16"/>
              </w:rPr>
            </w:pPr>
            <w:r>
              <w:rPr>
                <w:b/>
                <w:sz w:val="16"/>
              </w:rPr>
            </w:r>
          </w:p>
        </w:tc>
        <w:tc>
          <w:tcPr>
            <w:tcW w:w="850"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276"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rPr>
                <w:b/>
                <w:sz w:val="16"/>
              </w:rPr>
            </w:pPr>
            <w:r>
              <w:rPr>
                <w:b/>
                <w:sz w:val="16"/>
              </w:rPr>
              <w:t>Project file from T&amp;N phase</w:t>
            </w:r>
          </w:p>
        </w:tc>
        <w:tc>
          <w:tcPr>
            <w:tcW w:w="850"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Area</w:t>
            </w:r>
          </w:p>
        </w:tc>
        <w:tc>
          <w:tcPr>
            <w:tcW w:w="1276"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10</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b/>
                <w:sz w:val="16"/>
              </w:rPr>
            </w:pPr>
            <w:r>
              <w:rPr>
                <w:b/>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b/>
                <w:sz w:val="16"/>
              </w:rPr>
            </w:pPr>
            <w:r>
              <w:rPr>
                <w:b/>
                <w:sz w:val="16"/>
              </w:rPr>
            </w:r>
          </w:p>
        </w:tc>
        <w:tc>
          <w:tcPr>
            <w:tcW w:w="850"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276"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rPr>
                <w:b/>
                <w:sz w:val="16"/>
              </w:rPr>
            </w:pPr>
            <w:r>
              <w:rPr>
                <w:b/>
                <w:sz w:val="16"/>
              </w:rPr>
              <w:t>From project phase of contract [Work Preparation &amp; Work Execution by PM and Liability &amp; After Sales by Area Manager]</w:t>
            </w:r>
          </w:p>
        </w:tc>
        <w:tc>
          <w:tcPr>
            <w:tcW w:w="850"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PM</w:t>
            </w:r>
          </w:p>
        </w:tc>
        <w:tc>
          <w:tcPr>
            <w:tcW w:w="1276"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b/>
                <w:sz w:val="16"/>
              </w:rPr>
            </w:pPr>
            <w:r>
              <w:rPr>
                <w:b/>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Original contract, original performance certificate, etc.</w:t>
            </w:r>
          </w:p>
        </w:tc>
        <w:tc>
          <w:tcPr>
            <w:tcW w:w="850"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276"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30</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Contractual matters, including final hand over documentation, variations, etc.</w:t>
            </w:r>
          </w:p>
        </w:tc>
        <w:tc>
          <w:tcPr>
            <w:tcW w:w="850"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276"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30</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Subcontract matters</w:t>
            </w:r>
          </w:p>
        </w:tc>
        <w:tc>
          <w:tcPr>
            <w:tcW w:w="850"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276"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30</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Master Files</w:t>
            </w:r>
          </w:p>
        </w:tc>
        <w:tc>
          <w:tcPr>
            <w:tcW w:w="850"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276"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10</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Financial files</w:t>
            </w:r>
          </w:p>
        </w:tc>
        <w:tc>
          <w:tcPr>
            <w:tcW w:w="850"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276"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10</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Personnel files [training records and planning]</w:t>
            </w:r>
          </w:p>
        </w:tc>
        <w:tc>
          <w:tcPr>
            <w:tcW w:w="850"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276"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10</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Quality files [if not included in final handover documentation]</w:t>
            </w:r>
          </w:p>
        </w:tc>
        <w:tc>
          <w:tcPr>
            <w:tcW w:w="850"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276"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10</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Safety files</w:t>
            </w:r>
          </w:p>
        </w:tc>
        <w:tc>
          <w:tcPr>
            <w:tcW w:w="850"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276"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30</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Photo file</w:t>
            </w:r>
          </w:p>
        </w:tc>
        <w:tc>
          <w:tcPr>
            <w:tcW w:w="850"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276"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indefinite</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Project Quality Plans</w:t>
            </w:r>
          </w:p>
        </w:tc>
        <w:tc>
          <w:tcPr>
            <w:tcW w:w="850"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276"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10</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mc:AlternateContent>
                <mc:Choice Requires="wps">
                  <w:drawing>
                    <wp:anchor behindDoc="0" distT="0" distB="0" distL="114935" distR="114935" simplePos="0" locked="0" layoutInCell="0" allowOverlap="1" relativeHeight="26">
                      <wp:simplePos x="0" y="0"/>
                      <wp:positionH relativeFrom="margin">
                        <wp:posOffset>3951605</wp:posOffset>
                      </wp:positionH>
                      <wp:positionV relativeFrom="paragraph">
                        <wp:posOffset>74295</wp:posOffset>
                      </wp:positionV>
                      <wp:extent cx="91440" cy="1005840"/>
                      <wp:effectExtent l="0" t="5080" r="1270" b="5715"/>
                      <wp:wrapNone/>
                      <wp:docPr id="1" name=""/>
                      <a:graphic xmlns:a="http://schemas.openxmlformats.org/drawingml/2006/main">
                        <a:graphicData uri="http://schemas.microsoft.com/office/word/2010/wordprocessingShape">
                          <wps:wsp>
                            <wps:cNvSpPr/>
                            <wps:spPr>
                              <a:xfrm>
                                <a:off x="0" y="0"/>
                                <a:ext cx="91440" cy="1005840"/>
                              </a:xfrm>
                              <a:custGeom>
                                <a:avLst/>
                                <a:gdLst>
                                  <a:gd name="textAreaLeft" fmla="*/ 0 w 51840"/>
                                  <a:gd name="textAreaRight" fmla="*/ 18720 w 51840"/>
                                  <a:gd name="textAreaTop" fmla="*/ 14760 h 570240"/>
                                  <a:gd name="textAreaBottom" fmla="*/ 555480 h 570240"/>
                                  <a:gd name="GluePoint1X" fmla="*/ 0 w 21600"/>
                                  <a:gd name="GluePoint1Y" fmla="*/ 0 h 21600"/>
                                  <a:gd name="GluePoint2X" fmla="*/ 0 w 21600"/>
                                  <a:gd name="GluePoint2Y" fmla="*/ 21600 h 21600"/>
                                  <a:gd name="GluePoint3X" fmla="*/ 21600 w 21600"/>
                                  <a:gd name="GluePoint3Y" fmla="*/ 10800 h 21600"/>
                                </a:gdLst>
                                <a:ahLst/>
                                <a:cxnLst>
                                  <a:cxn ang="0">
                                    <a:pos x="GluePoint1X" y="GluePoint1Y"/>
                                  </a:cxn>
                                  <a:cxn ang="0">
                                    <a:pos x="GluePoint2X" y="GluePoint2Y"/>
                                  </a:cxn>
                                  <a:cxn ang="0">
                                    <a:pos x="GluePoint3X" y="GluePoint3Y"/>
                                  </a:cxn>
                                </a:cxnLst>
                                <a:rect l="textAreaLeft" t="textAreaTop" r="textAreaRight" b="textAreaBottom"/>
                                <a:pathLst>
                                  <a:path w="21600" h="21600">
                                    <a:moveTo>
                                      <a:pt x="0" y="0"/>
                                    </a:moveTo>
                                    <a:cubicBezTo>
                                      <a:pt x="5400" y="0"/>
                                      <a:pt x="10800" y="900"/>
                                      <a:pt x="10800" y="1800"/>
                                    </a:cubicBezTo>
                                    <a:lnTo>
                                      <a:pt x="10800" y="9000"/>
                                    </a:lnTo>
                                    <a:cubicBezTo>
                                      <a:pt x="10800" y="9900"/>
                                      <a:pt x="16200" y="10800"/>
                                      <a:pt x="21600" y="10800"/>
                                    </a:cubicBezTo>
                                    <a:cubicBezTo>
                                      <a:pt x="16200" y="10800"/>
                                      <a:pt x="10800" y="11700"/>
                                      <a:pt x="10800" y="12600"/>
                                    </a:cubicBezTo>
                                    <a:lnTo>
                                      <a:pt x="10800" y="19800"/>
                                    </a:lnTo>
                                    <a:cubicBezTo>
                                      <a:pt x="10800" y="20700"/>
                                      <a:pt x="5400" y="21600"/>
                                      <a:pt x="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type id="_x0000_t88" coordsize="21600,21600" o:spt="88" adj="10800,1800" path="m,qx@13@14l10800@5qy@15@16qx@17@18l10800@6qy@19@20xnsem,qx@13@14l10800@5qy@15@16qx@17@18l10800@6qy@19@20nfe">
                      <v:stroke joinstyle="miter"/>
                      <v:formulas>
                        <v:f eqn="val #0"/>
                        <v:f eqn="sum 21600 0 @0"/>
                        <v:f eqn="min @1 @0"/>
                        <v:f eqn="prod @2 1 2"/>
                        <v:f eqn="val #1"/>
                        <v:f eqn="sum @0 0 @4"/>
                        <v:f eqn="sum height 0 @4"/>
                        <v:f eqn="sumangle 0 45 0"/>
                        <v:f eqn="cos 10800 @7"/>
                        <v:f eqn="sin @4 @7"/>
                        <v:f eqn="sum 0 @8 0"/>
                        <v:f eqn="sum @4 0 @9"/>
                        <v:f eqn="sum height @9 @4"/>
                        <v:f eqn="sum 10800 0 0"/>
                        <v:f eqn="sum @4 0 0"/>
                        <v:f eqn="sum 10800 10800 0"/>
                        <v:f eqn="sum @4 @5 0"/>
                        <v:f eqn="sum 0 @15 10800"/>
                        <v:f eqn="sum @4 @16 0"/>
                        <v:f eqn="sum 0 10800 10800"/>
                        <v:f eqn="sum @4 @6 0"/>
                      </v:formulas>
                      <v:path gradientshapeok="t" o:connecttype="rect" textboxrect="0,@11,@10,@12"/>
                      <v:handles>
                        <v:h position="10800,@4"/>
                        <v:h position="21600,@0"/>
                      </v:handles>
                    </v:shapetype>
                    <v:shape id="shape_0" stroked="t" o:allowincell="f" style="position:absolute;margin-left:311.15pt;margin-top:5.85pt;width:7.15pt;height:79.15pt;mso-wrap-style:none;v-text-anchor:middle;mso-position-horizontal-relative:margin" type="_x0000_t88">
                      <v:fill o:detectmouseclick="t" on="false"/>
                      <v:stroke color="black" weight="9360" joinstyle="miter" endcap="flat"/>
                      <w10:wrap type="none"/>
                    </v:shape>
                  </w:pict>
                </mc:Fallback>
              </mc:AlternateContent>
            </w:r>
            <w:r>
              <w:rPr>
                <w:sz w:val="16"/>
              </w:rPr>
              <w:t>Project Safety Plans</w:t>
            </w:r>
          </w:p>
        </w:tc>
        <w:tc>
          <w:tcPr>
            <w:tcW w:w="850"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276"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10</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Contract Review, Design Review / Verification / Design changes</w:t>
            </w:r>
          </w:p>
        </w:tc>
        <w:tc>
          <w:tcPr>
            <w:tcW w:w="850"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276"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Equipment checks and calibration records</w:t>
            </w:r>
          </w:p>
        </w:tc>
        <w:tc>
          <w:tcPr>
            <w:tcW w:w="850"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276"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Vendor assessment records</w:t>
            </w:r>
          </w:p>
        </w:tc>
        <w:tc>
          <w:tcPr>
            <w:tcW w:w="850"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276"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Vendor performance records</w:t>
            </w:r>
          </w:p>
        </w:tc>
        <w:tc>
          <w:tcPr>
            <w:tcW w:w="850"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276" w:type="dxa"/>
            <w:tcBorders>
              <w:top w:val="single" w:sz="4" w:space="0" w:color="000000"/>
              <w:left w:val="single" w:sz="4" w:space="0" w:color="000000"/>
              <w:bottom w:val="single" w:sz="4" w:space="0" w:color="000000"/>
              <w:right w:val="single" w:sz="4" w:space="0" w:color="000000"/>
            </w:tcBorders>
          </w:tcPr>
          <w:p>
            <w:pPr>
              <w:pStyle w:val="Normal"/>
              <w:ind w:left="0" w:right="0"/>
              <w:jc w:val="right"/>
              <w:rPr>
                <w:sz w:val="16"/>
              </w:rPr>
            </w:pPr>
            <w:r>
              <w:rPr>
                <w:sz w:val="16"/>
              </w:rPr>
              <w:t>10</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Records of any customer supplied product that was damaged or lost</w:t>
            </w:r>
          </w:p>
        </w:tc>
        <w:tc>
          <w:tcPr>
            <w:tcW w:w="850"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276" w:type="dxa"/>
            <w:tcBorders>
              <w:top w:val="single" w:sz="4" w:space="0" w:color="000000"/>
              <w:left w:val="single" w:sz="4" w:space="0" w:color="000000"/>
              <w:bottom w:val="single" w:sz="4" w:space="0" w:color="000000"/>
              <w:right w:val="single" w:sz="4" w:space="0" w:color="000000"/>
            </w:tcBorders>
          </w:tcPr>
          <w:p>
            <w:pPr>
              <w:pStyle w:val="Normal"/>
              <w:snapToGrid w:val="false"/>
              <w:ind w:left="33" w:right="34"/>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Inspection and test plans</w:t>
            </w:r>
          </w:p>
        </w:tc>
        <w:tc>
          <w:tcPr>
            <w:tcW w:w="850"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276"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Inspection and test records/traceability records, material certificates</w:t>
            </w:r>
          </w:p>
        </w:tc>
        <w:tc>
          <w:tcPr>
            <w:tcW w:w="850"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276"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Audit reports, corrective actions, non-conformities</w:t>
            </w:r>
          </w:p>
        </w:tc>
        <w:tc>
          <w:tcPr>
            <w:tcW w:w="850"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276"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rPr>
                <w:b/>
                <w:sz w:val="16"/>
              </w:rPr>
            </w:pPr>
            <w:r>
              <w:rPr>
                <w:sz w:val="16"/>
              </w:rPr>
              <w:t>Close out reports</w:t>
            </w:r>
          </w:p>
        </w:tc>
        <w:tc>
          <w:tcPr>
            <w:tcW w:w="850"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b/>
                <w:sz w:val="16"/>
              </w:rPr>
            </w:pPr>
            <w:r>
              <w:rPr>
                <w:b/>
                <w:sz w:val="16"/>
              </w:rPr>
            </w:r>
          </w:p>
        </w:tc>
        <w:tc>
          <w:tcPr>
            <w:tcW w:w="1276" w:type="dxa"/>
            <w:tcBorders>
              <w:top w:val="single" w:sz="4" w:space="0" w:color="000000"/>
              <w:left w:val="single" w:sz="4" w:space="0" w:color="000000"/>
              <w:bottom w:val="single" w:sz="4" w:space="0" w:color="000000"/>
              <w:right w:val="single" w:sz="4" w:space="0" w:color="000000"/>
            </w:tcBorders>
          </w:tcPr>
          <w:p>
            <w:pPr>
              <w:pStyle w:val="Normal"/>
              <w:ind w:left="0" w:right="0"/>
              <w:rPr>
                <w:b/>
                <w:sz w:val="16"/>
              </w:rPr>
            </w:pPr>
            <w:r>
              <w:rPr>
                <w:sz w:val="16"/>
              </w:rPr>
              <w:t>30</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b/>
                <w:sz w:val="16"/>
              </w:rPr>
            </w:pPr>
            <w:r>
              <w:rPr>
                <w:b/>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b/>
                <w:sz w:val="16"/>
              </w:rPr>
            </w:pPr>
            <w:r>
              <w:rPr>
                <w:b/>
                <w:sz w:val="16"/>
              </w:rPr>
            </w:r>
          </w:p>
        </w:tc>
        <w:tc>
          <w:tcPr>
            <w:tcW w:w="850"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b/>
                <w:sz w:val="16"/>
              </w:rPr>
            </w:pPr>
            <w:r>
              <w:rPr>
                <w:b/>
                <w:sz w:val="16"/>
              </w:rPr>
            </w:r>
          </w:p>
        </w:tc>
        <w:tc>
          <w:tcPr>
            <w:tcW w:w="1276"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b/>
                <w:sz w:val="16"/>
              </w:rPr>
            </w:pPr>
            <w:r>
              <w:rPr>
                <w:b/>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b/>
                <w:sz w:val="16"/>
              </w:rPr>
            </w:pPr>
            <w:r>
              <w:rPr>
                <w:b/>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b/>
                <w:sz w:val="16"/>
              </w:rPr>
              <w:t>Knowledge Library:</w:t>
            </w:r>
          </w:p>
        </w:tc>
        <w:tc>
          <w:tcPr>
            <w:tcW w:w="850"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276"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r>
      <w:tr>
        <w:trPr>
          <w:trHeight w:val="227" w:hRule="atLeast"/>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Method statements</w:t>
            </w:r>
          </w:p>
        </w:tc>
        <w:tc>
          <w:tcPr>
            <w:tcW w:w="850"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PM</w:t>
            </w:r>
          </w:p>
        </w:tc>
        <w:tc>
          <w:tcPr>
            <w:tcW w:w="1276"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30</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Subcontractors and suppliers evaluations</w:t>
            </w:r>
          </w:p>
        </w:tc>
        <w:tc>
          <w:tcPr>
            <w:tcW w:w="850"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PM</w:t>
            </w:r>
          </w:p>
        </w:tc>
        <w:tc>
          <w:tcPr>
            <w:tcW w:w="1276"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10</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Meteorological, oceanological and soil data</w:t>
            </w:r>
          </w:p>
        </w:tc>
        <w:tc>
          <w:tcPr>
            <w:tcW w:w="850"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Area</w:t>
            </w:r>
          </w:p>
        </w:tc>
        <w:tc>
          <w:tcPr>
            <w:tcW w:w="1276"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indefinite</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r>
      <w:tr>
        <w:trPr/>
        <w:tc>
          <w:tcPr>
            <w:tcW w:w="5070"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Site visit reports, [collection of data for tenders]</w:t>
            </w:r>
          </w:p>
        </w:tc>
        <w:tc>
          <w:tcPr>
            <w:tcW w:w="850"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Area</w:t>
            </w:r>
          </w:p>
        </w:tc>
        <w:tc>
          <w:tcPr>
            <w:tcW w:w="1276"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20</w:t>
            </w:r>
          </w:p>
        </w:tc>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r>
    </w:tbl>
    <w:p>
      <w:pPr>
        <w:pStyle w:val="Normal"/>
        <w:ind w:left="0" w:right="0"/>
        <w:rPr/>
      </w:pPr>
      <w:r>
        <w:rPr/>
      </w:r>
    </w:p>
    <w:p>
      <w:pPr>
        <w:pStyle w:val="Normal"/>
        <w:ind w:left="0" w:right="0"/>
        <w:rPr>
          <w:sz w:val="16"/>
        </w:rPr>
      </w:pPr>
      <w:r>
        <w:rPr>
          <w:sz w:val="16"/>
        </w:rPr>
        <w:t>PM</w:t>
        <w:tab/>
        <w:t>Project Manager</w:t>
      </w:r>
    </w:p>
    <w:sectPr>
      <w:headerReference w:type="default" r:id="rId2"/>
      <w:footerReference w:type="default" r:id="rId3"/>
      <w:type w:val="nextPage"/>
      <w:pgSz w:w="11906" w:h="16838"/>
      <w:pgMar w:left="1985" w:right="1417" w:gutter="0" w:header="851" w:top="3119" w:footer="1067" w:bottom="153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Symbol">
    <w:altName w:val="Wingdings 3"/>
    <w:charset w:val="02"/>
    <w:family w:val="roman"/>
    <w:pitch w:val="default"/>
  </w:font>
  <w:font w:name="Wingdings">
    <w:charset w:val="02"/>
    <w:family w:val="auto"/>
    <w:pitch w:val="variable"/>
  </w:font>
  <w:font w:name="Courier New">
    <w:charset w:val="00"/>
    <w:family w:val="modern"/>
    <w:pitch w:val="default"/>
  </w:font>
  <w:font w:name="Liberation Sans">
    <w:altName w:val="Arial"/>
    <w:charset w:val="00"/>
    <w:family w:val="swiss"/>
    <w:pitch w:val="variable"/>
  </w:font>
  <w:font w:name="Tahoma">
    <w:charset w:val="00"/>
    <w:family w:val="swiss"/>
    <w:pitch w:val="variable"/>
  </w:font>
  <w:font w:name="Courier New">
    <w:charset w:val="00"/>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s>
      <w:ind w:left="-567" w:right="-567"/>
      <w:rPr>
        <w:sz w:val="16"/>
      </w:rPr>
    </w:pPr>
    <w:r>
      <w:rPr>
        <w:sz w:val="16"/>
      </w:rPr>
      <mc:AlternateContent>
        <mc:Choice Requires="wps">
          <w:drawing>
            <wp:anchor behindDoc="1" distT="0" distB="0" distL="114935" distR="114935" simplePos="0" locked="0" layoutInCell="1" allowOverlap="1" relativeHeight="25">
              <wp:simplePos x="0" y="0"/>
              <wp:positionH relativeFrom="column">
                <wp:posOffset>-365125</wp:posOffset>
              </wp:positionH>
              <wp:positionV relativeFrom="paragraph">
                <wp:posOffset>118110</wp:posOffset>
              </wp:positionV>
              <wp:extent cx="6124575" cy="0"/>
              <wp:effectExtent l="0" t="5080" r="0" b="5080"/>
              <wp:wrapNone/>
              <wp:docPr id="5" name=""/>
              <a:graphic xmlns:a="http://schemas.openxmlformats.org/drawingml/2006/main">
                <a:graphicData uri="http://schemas.microsoft.com/office/word/2010/wordprocessingShape">
                  <wps:wsp>
                    <wps:cNvSpPr/>
                    <wps:spPr>
                      <a:xfrm>
                        <a:off x="0" y="0"/>
                        <a:ext cx="61246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8.75pt,9.3pt" to="453.45pt,9.3pt" stroked="t" o:allowincell="f" style="position:absolute">
              <v:stroke color="black" weight="9360" joinstyle="miter" endcap="flat"/>
              <v:fill o:detectmouseclick="t" on="false"/>
              <w10:wrap type="none"/>
            </v:line>
          </w:pict>
        </mc:Fallback>
      </mc:AlternateContent>
      <w:fldChar w:fldCharType="begin"/>
    </w:r>
    <w:r>
      <w:rPr>
        <w:sz w:val="16"/>
      </w:rPr>
      <w:instrText xml:space="preserve"> FILENAME \p </w:instrText>
    </w:r>
    <w:r>
      <w:rPr>
        <w:sz w:val="16"/>
      </w:rPr>
      <w:fldChar w:fldCharType="separate"/>
    </w:r>
    <w:r>
      <w:rPr>
        <w:sz w:val="16"/>
      </w:rPr>
      <w:t>/mnt/data/phase1/work/SHANFARI_PHASE_1_ORIGINAL_46_DOCS/QUALITY/QU-P-14-Archiving.doc</w:t>
    </w:r>
    <w:r>
      <w:rPr>
        <w:sz w:val="16"/>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39" w:type="dxa"/>
      <w:jc w:val="left"/>
      <w:tblInd w:w="-459" w:type="dxa"/>
      <w:tblLayout w:type="fixed"/>
      <w:tblCellMar>
        <w:top w:w="0" w:type="dxa"/>
        <w:left w:w="108" w:type="dxa"/>
        <w:bottom w:w="0" w:type="dxa"/>
        <w:right w:w="108" w:type="dxa"/>
      </w:tblCellMar>
    </w:tblPr>
    <w:tblGrid>
      <w:gridCol w:w="2835"/>
      <w:gridCol w:w="3969"/>
      <w:gridCol w:w="2835"/>
    </w:tblGrid>
    <w:tr>
      <w:trPr>
        <w:trHeight w:val="1701" w:hRule="exact"/>
      </w:trPr>
      <w:tc>
        <w:tcPr>
          <w:tcW w:w="2835" w:type="dxa"/>
          <w:tcBorders>
            <w:top w:val="single" w:sz="4" w:space="0" w:color="000000"/>
            <w:left w:val="single" w:sz="4" w:space="0" w:color="000000"/>
            <w:bottom w:val="single" w:sz="4" w:space="0" w:color="000000"/>
            <w:right w:val="single" w:sz="4" w:space="0" w:color="000000"/>
          </w:tcBorders>
          <w:vAlign w:val="center"/>
        </w:tcPr>
        <w:p>
          <w:pPr>
            <w:pStyle w:val="Header"/>
            <w:tabs>
              <w:tab w:val="clear" w:pos="4320"/>
              <w:tab w:val="clear" w:pos="8640"/>
            </w:tabs>
            <w:spacing w:before="280" w:after="0"/>
            <w:ind w:left="-108" w:right="0"/>
            <w:jc w:val="center"/>
            <w:rPr/>
          </w:pPr>
          <w:r>
            <w:rPr/>
            <w:drawing>
              <wp:inline distT="0" distB="0" distL="0" distR="0">
                <wp:extent cx="500000" cy="500000"/>
                <wp:effectExtent l="0" t="0" r="0" b="0"/>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1"/>
                        <a:srcRect l="-24" t="-132" r="-24" b="-132"/>
                        <a:stretch>
                          <a:fillRect/>
                        </a:stretch>
                      </pic:blipFill>
                      <pic:spPr bwMode="auto">
                        <a:xfrm>
                          <a:off x="0" y="0"/>
                          <a:ext cx="500000" cy="500000"/>
                        </a:xfrm>
                        <a:prstGeom prst="rect">
                          <a:avLst/>
                        </a:prstGeom>
                        <a:noFill/>
                      </pic:spPr>
                    </pic:pic>
                  </a:graphicData>
                </a:graphic>
              </wp:inline>
            </w:drawing>
          </w:r>
        </w:p>
        <w:p>
          <w:pPr>
            <w:pStyle w:val="Header"/>
            <w:tabs>
              <w:tab w:val="clear" w:pos="4320"/>
              <w:tab w:val="clear" w:pos="8640"/>
            </w:tabs>
            <w:rPr>
              <w:lang w:val="nl-NL" w:eastAsia="en-US"/>
            </w:rPr>
          </w:pPr>
          <w:r>
            <w:rPr>
              <w:lang w:val="nl-NL" w:eastAsia="en-US"/>
            </w:rPr>
            <mc:AlternateContent>
              <mc:Choice Requires="wps">
                <w:drawing>
                  <wp:anchor behindDoc="1" distT="0" distB="0" distL="114935" distR="114935" simplePos="0" locked="0" layoutInCell="1" allowOverlap="1" relativeHeight="13">
                    <wp:simplePos x="0" y="0"/>
                    <wp:positionH relativeFrom="column">
                      <wp:posOffset>-117475</wp:posOffset>
                    </wp:positionH>
                    <wp:positionV relativeFrom="paragraph">
                      <wp:posOffset>427355</wp:posOffset>
                    </wp:positionV>
                    <wp:extent cx="29845" cy="8410575"/>
                    <wp:effectExtent l="5080" t="635" r="5080" b="635"/>
                    <wp:wrapNone/>
                    <wp:docPr id="3" name=""/>
                    <a:graphic xmlns:a="http://schemas.openxmlformats.org/drawingml/2006/main">
                      <a:graphicData uri="http://schemas.microsoft.com/office/word/2010/wordprocessingShape">
                        <wps:wsp>
                          <wps:cNvSpPr/>
                          <wps:spPr>
                            <a:xfrm>
                              <a:off x="0" y="0"/>
                              <a:ext cx="29880" cy="84106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9.25pt,33.65pt" to="-6.95pt,695.85pt" stroked="t" o:allowincell="t" style="position:absolute">
                    <v:stroke color="black" weight="9360" joinstyle="miter" endcap="flat"/>
                    <v:fill o:detectmouseclick="t" on="false"/>
                    <w10:wrap type="none"/>
                  </v:line>
                </w:pict>
              </mc:Fallback>
            </mc:AlternateConten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120" w:after="0"/>
            <w:ind w:left="0" w:right="-62"/>
            <w:jc w:val="center"/>
            <w:rPr>
              <w:b/>
              <w:sz w:val="22"/>
            </w:rPr>
          </w:pPr>
          <w:r>
            <w:rPr>
              <w:b/>
              <w:sz w:val="22"/>
            </w:rPr>
            <w:t>COMPANY MANAGEMENT SYSTEM</w:t>
          </w:r>
        </w:p>
        <w:p>
          <w:pPr>
            <w:pStyle w:val="Normal"/>
            <w:spacing w:before="120" w:after="0"/>
            <w:ind w:left="0" w:right="-62"/>
            <w:jc w:val="center"/>
            <w:rPr>
              <w:b/>
              <w:sz w:val="22"/>
            </w:rPr>
          </w:pPr>
          <w:r>
            <w:rPr>
              <w:b/>
              <w:sz w:val="22"/>
            </w:rPr>
            <w:t>Part 1 – General</w:t>
          </w:r>
        </w:p>
        <w:p>
          <w:pPr>
            <w:pStyle w:val="Normal"/>
            <w:spacing w:before="120" w:after="0"/>
            <w:ind w:left="0" w:right="-62"/>
            <w:jc w:val="center"/>
            <w:rPr>
              <w:b/>
            </w:rPr>
          </w:pPr>
          <w:r>
            <w:rPr>
              <w:b/>
              <w:sz w:val="22"/>
            </w:rPr>
            <w:t>Procedure</w:t>
          </w:r>
        </w:p>
        <w:p>
          <w:pPr>
            <w:pStyle w:val="Normal"/>
            <w:spacing w:before="120" w:after="0"/>
            <w:ind w:left="-108" w:right="-62"/>
            <w:jc w:val="center"/>
            <w:rPr/>
          </w:pPr>
          <w:r>
            <w:rPr/>
            <w:t>Archiving</w:t>
          </w:r>
        </w:p>
        <w:p>
          <w:pPr>
            <w:pStyle w:val="Header"/>
            <w:ind w:left="-108" w:right="0"/>
            <w:rPr/>
          </w:pPr>
          <w:r>
            <w:rPr/>
          </w:r>
        </w:p>
      </w:tc>
      <w:tc>
        <w:tcPr>
          <w:tcW w:w="2835" w:type="dxa"/>
          <w:tcBorders>
            <w:top w:val="single" w:sz="4" w:space="0" w:color="000000"/>
            <w:left w:val="single" w:sz="4" w:space="0" w:color="000000"/>
            <w:bottom w:val="single" w:sz="4" w:space="0" w:color="000000"/>
            <w:right w:val="single" w:sz="4" w:space="0" w:color="000000"/>
          </w:tcBorders>
        </w:tcPr>
        <w:p>
          <w:pPr>
            <w:pStyle w:val="Normal"/>
            <w:tabs>
              <w:tab w:val="clear" w:pos="567"/>
              <w:tab w:val="left" w:pos="993" w:leader="none"/>
              <w:tab w:val="left" w:pos="1134" w:leader="none"/>
            </w:tabs>
            <w:spacing w:before="80" w:after="0"/>
            <w:ind w:left="34" w:right="0"/>
            <w:jc w:val="both"/>
            <w:rPr/>
          </w:pPr>
          <w:r>
            <w:rPr/>
            <w:t>Doc. No.</w:t>
          </w:r>
          <w:r>
            <w:rPr>
              <w:b/>
            </w:rPr>
            <w:tab/>
            <w:t>: QU-P-14</w:t>
          </w:r>
        </w:p>
        <w:p>
          <w:pPr>
            <w:pStyle w:val="Normal"/>
            <w:tabs>
              <w:tab w:val="clear" w:pos="567"/>
              <w:tab w:val="left" w:pos="993" w:leader="none"/>
              <w:tab w:val="left" w:pos="1134" w:leader="none"/>
            </w:tabs>
            <w:spacing w:before="80" w:after="0"/>
            <w:ind w:left="34" w:right="0"/>
            <w:jc w:val="both"/>
            <w:rPr/>
          </w:pPr>
          <w:r>
            <w:rPr/>
            <w:t>Rev.</w:t>
            <w:tab/>
            <w:t>: 07</w:t>
          </w:r>
        </w:p>
        <w:p>
          <w:pPr>
            <w:pStyle w:val="Normal"/>
            <w:tabs>
              <w:tab w:val="clear" w:pos="567"/>
              <w:tab w:val="left" w:pos="993" w:leader="none"/>
              <w:tab w:val="left" w:pos="1134" w:leader="none"/>
            </w:tabs>
            <w:spacing w:before="80" w:after="0"/>
            <w:ind w:left="34" w:right="0"/>
            <w:jc w:val="both"/>
            <w:rPr/>
          </w:pPr>
          <w:r>
            <w:rPr/>
            <w:t>Date</w:t>
            <w:tab/>
            <w:t>: 06 Oct. 2005</w:t>
          </w:r>
        </w:p>
        <w:p>
          <w:pPr>
            <w:pStyle w:val="Normal"/>
            <w:tabs>
              <w:tab w:val="clear" w:pos="567"/>
              <w:tab w:val="left" w:pos="993" w:leader="none"/>
              <w:tab w:val="left" w:pos="1134" w:leader="none"/>
            </w:tabs>
            <w:spacing w:before="80" w:after="0"/>
            <w:ind w:left="34" w:right="0"/>
            <w:jc w:val="both"/>
            <w:rPr/>
          </w:pPr>
          <w:r>
            <w:rPr/>
            <w:t>Author</w:t>
            <w:tab/>
            <w:t>: HKU</w:t>
          </w:r>
        </w:p>
        <w:p>
          <w:pPr>
            <w:pStyle w:val="Normal"/>
            <w:tabs>
              <w:tab w:val="clear" w:pos="567"/>
              <w:tab w:val="left" w:pos="993" w:leader="none"/>
              <w:tab w:val="left" w:pos="1134" w:leader="none"/>
            </w:tabs>
            <w:spacing w:before="80" w:after="0"/>
            <w:ind w:left="34" w:right="0"/>
            <w:jc w:val="both"/>
            <w:rPr/>
          </w:pPr>
          <w:r>
            <mc:AlternateContent>
              <mc:Choice Requires="wps">
                <w:drawing>
                  <wp:anchor behindDoc="1" distT="0" distB="0" distL="114935" distR="114935" simplePos="0" locked="0" layoutInCell="1" allowOverlap="1" relativeHeight="19">
                    <wp:simplePos x="0" y="0"/>
                    <wp:positionH relativeFrom="column">
                      <wp:posOffset>1734185</wp:posOffset>
                    </wp:positionH>
                    <wp:positionV relativeFrom="paragraph">
                      <wp:posOffset>90805</wp:posOffset>
                    </wp:positionV>
                    <wp:extent cx="0" cy="8415020"/>
                    <wp:effectExtent l="5080" t="0" r="5080" b="0"/>
                    <wp:wrapNone/>
                    <wp:docPr id="4" name=""/>
                    <a:graphic xmlns:a="http://schemas.openxmlformats.org/drawingml/2006/main">
                      <a:graphicData uri="http://schemas.microsoft.com/office/word/2010/wordprocessingShape">
                        <wps:wsp>
                          <wps:cNvSpPr/>
                          <wps:spPr>
                            <a:xfrm>
                              <a:off x="0" y="0"/>
                              <a:ext cx="0" cy="841500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36.55pt,7.15pt" to="136.55pt,669.7pt" stroked="t" o:allowincell="t" style="position:absolute">
                    <v:stroke color="black" weight="9360" joinstyle="miter" endcap="flat"/>
                    <v:fill o:detectmouseclick="t" on="false"/>
                    <w10:wrap type="none"/>
                  </v:line>
                </w:pict>
              </mc:Fallback>
            </mc:AlternateContent>
          </w:r>
          <w:r>
            <w:rPr/>
            <w:t>Page</w:t>
            <w:tab/>
            <w:t>:</w:t>
            <w:tab/>
          </w: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r>
            <w:rPr>
              <w:rStyle w:val="PageNumber"/>
            </w:rPr>
            <w:t xml:space="preserve"> of </w:t>
          </w:r>
          <w:r>
            <w:rPr>
              <w:rStyle w:val="PageNumber"/>
            </w:rPr>
            <w:fldChar w:fldCharType="begin"/>
          </w:r>
          <w:r>
            <w:rPr>
              <w:rStyle w:val="PageNumber"/>
            </w:rPr>
            <w:instrText xml:space="preserve"> NUMPAGES \* ARABIC </w:instrText>
          </w:r>
          <w:r>
            <w:rPr>
              <w:rStyle w:val="PageNumber"/>
            </w:rPr>
            <w:fldChar w:fldCharType="separate"/>
          </w:r>
          <w:r>
            <w:rPr>
              <w:rStyle w:val="PageNumber"/>
            </w:rPr>
            <w:t>6</w:t>
          </w:r>
          <w:r>
            <w:rPr>
              <w:rStyle w:val="PageNumber"/>
            </w:rPr>
            <w:fldChar w:fldCharType="end"/>
          </w:r>
        </w:p>
      </w:tc>
    </w:tr>
  </w:tbl>
  <w:p>
    <w:pPr>
      <w:pStyle w:val="Normal"/>
      <w:ind w:left="0" w:right="0"/>
      <w:rPr/>
    </w:pPr>
    <w:r>
      <w:rPr/>
    </w:r>
  </w:p>
  <w:p>
    <w:pPr>
      <w:pStyle w:val="Normal"/>
      <w:ind w:left="0" w:right="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1134"/>
        </w:tabs>
        <w:ind w:left="1134" w:hanging="1134"/>
      </w:pPr>
      <w:rPr>
        <w:u w:val="none"/>
      </w:rPr>
    </w:lvl>
    <w:lvl w:ilvl="1">
      <w:start w:val="1"/>
      <w:pStyle w:val="Heading2"/>
      <w:numFmt w:val="decimal"/>
      <w:lvlText w:val="%1.%2"/>
      <w:lvlJc w:val="left"/>
      <w:pPr>
        <w:tabs>
          <w:tab w:val="num" w:pos="1134"/>
        </w:tabs>
        <w:ind w:left="1134" w:hanging="1134"/>
      </w:pPr>
      <w:rPr>
        <w:u w:val="none"/>
      </w:rPr>
    </w:lvl>
    <w:lvl w:ilvl="2">
      <w:start w:val="1"/>
      <w:pStyle w:val="Heading3"/>
      <w:numFmt w:val="decimal"/>
      <w:lvlText w:val="%1.%2.%3"/>
      <w:lvlJc w:val="left"/>
      <w:pPr>
        <w:tabs>
          <w:tab w:val="num" w:pos="1134"/>
        </w:tabs>
        <w:ind w:left="1134" w:hanging="1134"/>
      </w:pPr>
      <w:rPr>
        <w:u w:val="none"/>
      </w:rPr>
    </w:lvl>
    <w:lvl w:ilvl="3">
      <w:start w:val="1"/>
      <w:pStyle w:val="Heading4"/>
      <w:numFmt w:val="decimal"/>
      <w:lvlText w:val="%1.%2.%3.%4"/>
      <w:lvlJc w:val="left"/>
      <w:pPr>
        <w:tabs>
          <w:tab w:val="num" w:pos="1134"/>
        </w:tabs>
        <w:ind w:left="1134" w:hanging="1134"/>
      </w:pPr>
      <w:rPr>
        <w:u w:val="none"/>
      </w:rPr>
    </w:lvl>
    <w:lvl w:ilvl="4">
      <w:start w:val="1"/>
      <w:pStyle w:val="Heading5"/>
      <w:numFmt w:val="decimal"/>
      <w:lvlText w:val="%1.%2.%3.%4.%5"/>
      <w:lvlJc w:val="left"/>
      <w:pPr>
        <w:tabs>
          <w:tab w:val="num" w:pos="1134"/>
        </w:tabs>
        <w:ind w:left="1134" w:hanging="1134"/>
      </w:pPr>
    </w:lvl>
    <w:lvl w:ilvl="5">
      <w:start w:val="1"/>
      <w:pStyle w:val="Heading6"/>
      <w:numFmt w:val="decimal"/>
      <w:lvlText w:val="%1.%2.%3.%4.%5.%6"/>
      <w:lvlJc w:val="left"/>
      <w:pPr>
        <w:tabs>
          <w:tab w:val="num" w:pos="1134"/>
        </w:tabs>
        <w:ind w:left="1134" w:hanging="1134"/>
      </w:pPr>
    </w:lvl>
    <w:lvl w:ilvl="6">
      <w:start w:val="1"/>
      <w:pStyle w:val="Heading7"/>
      <w:numFmt w:val="decimal"/>
      <w:lvlText w:val="%1.%2.%3.%4.%5.%6.%7"/>
      <w:lvlJc w:val="left"/>
      <w:pPr>
        <w:tabs>
          <w:tab w:val="num" w:pos="1418"/>
        </w:tabs>
        <w:ind w:left="1418" w:hanging="1418"/>
      </w:pPr>
    </w:lvl>
    <w:lvl w:ilvl="7">
      <w:start w:val="1"/>
      <w:pStyle w:val="Heading8"/>
      <w:numFmt w:val="decimal"/>
      <w:lvlText w:val="%1.%2.%3.%4.%5.%6.%7.%8"/>
      <w:lvlJc w:val="left"/>
      <w:pPr>
        <w:tabs>
          <w:tab w:val="num" w:pos="1701"/>
        </w:tabs>
        <w:ind w:left="1701" w:hanging="1701"/>
      </w:pPr>
    </w:lvl>
    <w:lvl w:ilvl="8">
      <w:start w:val="1"/>
      <w:pStyle w:val="Heading9"/>
      <w:numFmt w:val="decimal"/>
      <w:lvlText w:val="%1.%2.%3.%4.%5.%6.%7.%8.%9"/>
      <w:lvlJc w:val="left"/>
      <w:pPr>
        <w:tabs>
          <w:tab w:val="num" w:pos="1800"/>
        </w:tabs>
        <w:ind w:left="1701" w:hanging="1701"/>
      </w:pPr>
    </w:lvl>
  </w:abstractNum>
  <w:abstractNum w:abstractNumId="2">
    <w:lvl w:ilvl="0">
      <w:start w:val="1"/>
      <w:numFmt w:val="bullet"/>
      <w:lvlText w:val=""/>
      <w:lvlJc w:val="left"/>
      <w:pPr>
        <w:tabs>
          <w:tab w:val="num" w:pos="927"/>
        </w:tabs>
        <w:ind w:left="927" w:hanging="360"/>
      </w:pPr>
      <w:rPr>
        <w:rFonts w:ascii="Symbol" w:hAnsi="Symbol" w:cs="Symbol" w:hint="default"/>
      </w:rPr>
    </w:lvl>
    <w:lvl w:ilvl="1">
      <w:start w:val="1"/>
      <w:numFmt w:val="bullet"/>
      <w:lvlText w:val=""/>
      <w:lvlJc w:val="left"/>
      <w:pPr>
        <w:tabs>
          <w:tab w:val="num" w:pos="1647"/>
        </w:tabs>
        <w:ind w:left="1647" w:hanging="360"/>
      </w:pPr>
      <w:rPr>
        <w:rFonts w:ascii="Symbol" w:hAnsi="Symbol" w:cs="Symbol" w:hint="default"/>
      </w:rPr>
    </w:lvl>
    <w:lvl w:ilvl="2">
      <w:start w:val="1"/>
      <w:numFmt w:val="bullet"/>
      <w:lvlText w:val=""/>
      <w:lvlJc w:val="left"/>
      <w:pPr>
        <w:tabs>
          <w:tab w:val="num" w:pos="2367"/>
        </w:tabs>
        <w:ind w:left="2367" w:hanging="360"/>
      </w:pPr>
      <w:rPr>
        <w:rFonts w:ascii="Wingdings" w:hAnsi="Wingdings" w:cs="Wingdings" w:hint="default"/>
      </w:rPr>
    </w:lvl>
    <w:lvl w:ilvl="3">
      <w:start w:val="1"/>
      <w:numFmt w:val="bullet"/>
      <w:lvlText w:val=""/>
      <w:lvlJc w:val="left"/>
      <w:pPr>
        <w:tabs>
          <w:tab w:val="num" w:pos="3087"/>
        </w:tabs>
        <w:ind w:left="3087" w:hanging="360"/>
      </w:pPr>
      <w:rPr>
        <w:rFonts w:ascii="Symbol" w:hAnsi="Symbol" w:cs="Symbol" w:hint="default"/>
      </w:rPr>
    </w:lvl>
    <w:lvl w:ilvl="4">
      <w:start w:val="1"/>
      <w:numFmt w:val="bullet"/>
      <w:lvlText w:val="o"/>
      <w:lvlJc w:val="left"/>
      <w:pPr>
        <w:tabs>
          <w:tab w:val="num" w:pos="3807"/>
        </w:tabs>
        <w:ind w:left="3807" w:hanging="360"/>
      </w:pPr>
      <w:rPr>
        <w:rFonts w:ascii="Courier New" w:hAnsi="Courier New" w:cs="Courier New" w:hint="default"/>
      </w:rPr>
    </w:lvl>
    <w:lvl w:ilvl="5">
      <w:start w:val="1"/>
      <w:numFmt w:val="bullet"/>
      <w:lvlText w:val=""/>
      <w:lvlJc w:val="left"/>
      <w:pPr>
        <w:tabs>
          <w:tab w:val="num" w:pos="4527"/>
        </w:tabs>
        <w:ind w:left="4527" w:hanging="360"/>
      </w:pPr>
      <w:rPr>
        <w:rFonts w:ascii="Wingdings" w:hAnsi="Wingdings" w:cs="Wingdings" w:hint="default"/>
      </w:rPr>
    </w:lvl>
    <w:lvl w:ilvl="6">
      <w:start w:val="1"/>
      <w:numFmt w:val="bullet"/>
      <w:lvlText w:val=""/>
      <w:lvlJc w:val="left"/>
      <w:pPr>
        <w:tabs>
          <w:tab w:val="num" w:pos="5247"/>
        </w:tabs>
        <w:ind w:left="5247" w:hanging="360"/>
      </w:pPr>
      <w:rPr>
        <w:rFonts w:ascii="Symbol" w:hAnsi="Symbol" w:cs="Symbol" w:hint="default"/>
      </w:rPr>
    </w:lvl>
    <w:lvl w:ilvl="7">
      <w:start w:val="1"/>
      <w:numFmt w:val="bullet"/>
      <w:lvlText w:val="o"/>
      <w:lvlJc w:val="left"/>
      <w:pPr>
        <w:tabs>
          <w:tab w:val="num" w:pos="5967"/>
        </w:tabs>
        <w:ind w:left="5967" w:hanging="360"/>
      </w:pPr>
      <w:rPr>
        <w:rFonts w:ascii="Courier New" w:hAnsi="Courier New" w:cs="Courier New" w:hint="default"/>
      </w:rPr>
    </w:lvl>
    <w:lvl w:ilvl="8">
      <w:start w:val="1"/>
      <w:numFmt w:val="bullet"/>
      <w:lvlText w:val=""/>
      <w:lvlJc w:val="left"/>
      <w:pPr>
        <w:tabs>
          <w:tab w:val="num" w:pos="6687"/>
        </w:tabs>
        <w:ind w:left="6687" w:hanging="360"/>
      </w:pPr>
      <w:rPr>
        <w:rFonts w:ascii="Wingdings" w:hAnsi="Wingdings" w:cs="Wingdings" w:hint="default"/>
      </w:rPr>
    </w:lvl>
  </w:abstractNum>
  <w:abstractNum w:abstractNumId="3">
    <w:lvl w:ilvl="0">
      <w:start w:val="1"/>
      <w:numFmt w:val="bullet"/>
      <w:lvlText w:val=""/>
      <w:lvlJc w:val="left"/>
      <w:pPr>
        <w:tabs>
          <w:tab w:val="num" w:pos="360"/>
        </w:tabs>
        <w:ind w:left="360" w:hanging="360"/>
      </w:pPr>
      <w:rPr>
        <w:rFonts w:ascii="Symbol" w:hAnsi="Symbol" w:cs="Symbol" w:hint="default"/>
      </w:rPr>
    </w:lvl>
  </w:abstractNum>
  <w:abstractNum w:abstractNumId="4">
    <w:lvl w:ilvl="0">
      <w:start w:val="7"/>
      <w:numFmt w:val="decimal"/>
      <w:lvlText w:val="%1"/>
      <w:lvlJc w:val="left"/>
      <w:pPr>
        <w:tabs>
          <w:tab w:val="num" w:pos="570"/>
        </w:tabs>
        <w:ind w:left="570" w:hanging="570"/>
      </w:pPr>
      <w:rPr/>
    </w:lvl>
    <w:lvl w:ilvl="1">
      <w:start w:val="2"/>
      <w:numFmt w:val="decimal"/>
      <w:lvlText w:val="%1.%2"/>
      <w:lvlJc w:val="left"/>
      <w:pPr>
        <w:tabs>
          <w:tab w:val="num" w:pos="1137"/>
        </w:tabs>
        <w:ind w:left="1137" w:hanging="570"/>
      </w:pPr>
      <w:rPr/>
    </w:lvl>
    <w:lvl w:ilvl="2">
      <w:start w:val="1"/>
      <w:numFmt w:val="decimal"/>
      <w:lvlText w:val="%1.%2.%3"/>
      <w:lvlJc w:val="left"/>
      <w:pPr>
        <w:tabs>
          <w:tab w:val="num" w:pos="1854"/>
        </w:tabs>
        <w:ind w:left="1854" w:hanging="720"/>
      </w:pPr>
      <w:rPr/>
    </w:lvl>
    <w:lvl w:ilvl="3">
      <w:start w:val="1"/>
      <w:numFmt w:val="decimal"/>
      <w:lvlText w:val="%1.%2.%3.%4"/>
      <w:lvlJc w:val="left"/>
      <w:pPr>
        <w:tabs>
          <w:tab w:val="num" w:pos="2421"/>
        </w:tabs>
        <w:ind w:left="2421" w:hanging="720"/>
      </w:pPr>
      <w:rPr/>
    </w:lvl>
    <w:lvl w:ilvl="4">
      <w:start w:val="1"/>
      <w:numFmt w:val="decimal"/>
      <w:lvlText w:val="%1.%2.%3.%4.%5"/>
      <w:lvlJc w:val="left"/>
      <w:pPr>
        <w:tabs>
          <w:tab w:val="num" w:pos="3348"/>
        </w:tabs>
        <w:ind w:left="3348" w:hanging="1080"/>
      </w:pPr>
      <w:rPr/>
    </w:lvl>
    <w:lvl w:ilvl="5">
      <w:start w:val="1"/>
      <w:numFmt w:val="decimal"/>
      <w:lvlText w:val="%1.%2.%3.%4.%5.%6"/>
      <w:lvlJc w:val="left"/>
      <w:pPr>
        <w:tabs>
          <w:tab w:val="num" w:pos="3915"/>
        </w:tabs>
        <w:ind w:left="3915" w:hanging="1080"/>
      </w:pPr>
      <w:rPr/>
    </w:lvl>
    <w:lvl w:ilvl="6">
      <w:start w:val="1"/>
      <w:numFmt w:val="decimal"/>
      <w:lvlText w:val="%1.%2.%3.%4.%5.%6.%7"/>
      <w:lvlJc w:val="left"/>
      <w:pPr>
        <w:tabs>
          <w:tab w:val="num" w:pos="4842"/>
        </w:tabs>
        <w:ind w:left="4842" w:hanging="1440"/>
      </w:pPr>
      <w:rPr/>
    </w:lvl>
    <w:lvl w:ilvl="7">
      <w:start w:val="1"/>
      <w:numFmt w:val="decimal"/>
      <w:lvlText w:val="%1.%2.%3.%4.%5.%6.%7.%8"/>
      <w:lvlJc w:val="left"/>
      <w:pPr>
        <w:tabs>
          <w:tab w:val="num" w:pos="5409"/>
        </w:tabs>
        <w:ind w:left="5409" w:hanging="1440"/>
      </w:pPr>
      <w:rPr/>
    </w:lvl>
    <w:lvl w:ilvl="8">
      <w:start w:val="1"/>
      <w:numFmt w:val="decimal"/>
      <w:lvlText w:val="%1.%2.%3.%4.%5.%6.%7.%8.%9"/>
      <w:lvlJc w:val="left"/>
      <w:pPr>
        <w:tabs>
          <w:tab w:val="num" w:pos="6336"/>
        </w:tabs>
        <w:ind w:left="6336" w:hanging="180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trackRevisions/>
  <w:defaultTabStop w:val="567"/>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ind w:hanging="0" w:left="567" w:right="0"/>
    </w:pPr>
    <w:rPr>
      <w:rFonts w:ascii="Arial" w:hAnsi="Arial" w:eastAsia="Times New Roman" w:cs="Arial"/>
      <w:color w:val="auto"/>
      <w:sz w:val="20"/>
      <w:szCs w:val="20"/>
      <w:lang w:val="en-GB" w:bidi="ar-SA" w:eastAsia="zh-CN"/>
    </w:rPr>
  </w:style>
  <w:style w:type="paragraph" w:styleId="Heading1">
    <w:name w:val="heading 1"/>
    <w:basedOn w:val="Normal"/>
    <w:next w:val="Normal"/>
    <w:qFormat/>
    <w:pPr>
      <w:numPr>
        <w:ilvl w:val="0"/>
        <w:numId w:val="1"/>
      </w:numPr>
      <w:tabs>
        <w:tab w:val="left" w:pos="567" w:leader="none"/>
      </w:tabs>
      <w:outlineLvl w:val="0"/>
    </w:pPr>
    <w:rPr>
      <w:b/>
      <w:sz w:val="24"/>
    </w:rPr>
  </w:style>
  <w:style w:type="paragraph" w:styleId="Heading2">
    <w:name w:val="heading 2"/>
    <w:basedOn w:val="Normal"/>
    <w:next w:val="Normal"/>
    <w:qFormat/>
    <w:pPr>
      <w:numPr>
        <w:ilvl w:val="1"/>
        <w:numId w:val="1"/>
      </w:numPr>
      <w:tabs>
        <w:tab w:val="left" w:pos="567" w:leader="none"/>
      </w:tabs>
      <w:outlineLvl w:val="1"/>
    </w:pPr>
    <w:rPr>
      <w:b/>
    </w:rPr>
  </w:style>
  <w:style w:type="paragraph" w:styleId="Heading3">
    <w:name w:val="heading 3"/>
    <w:basedOn w:val="Normal"/>
    <w:next w:val="Normal"/>
    <w:qFormat/>
    <w:pPr>
      <w:numPr>
        <w:ilvl w:val="2"/>
        <w:numId w:val="1"/>
      </w:numPr>
      <w:tabs>
        <w:tab w:val="left" w:pos="567" w:leader="none"/>
      </w:tabs>
      <w:outlineLvl w:val="2"/>
    </w:pPr>
    <w:rPr>
      <w:b/>
    </w:rPr>
  </w:style>
  <w:style w:type="paragraph" w:styleId="Heading4">
    <w:name w:val="heading 4"/>
    <w:basedOn w:val="Normal"/>
    <w:next w:val="Normal"/>
    <w:qFormat/>
    <w:pPr>
      <w:keepNext w:val="true"/>
      <w:numPr>
        <w:ilvl w:val="3"/>
        <w:numId w:val="1"/>
      </w:numPr>
      <w:tabs>
        <w:tab w:val="clear" w:pos="567"/>
        <w:tab w:val="left" w:pos="851" w:leader="none"/>
      </w:tabs>
      <w:outlineLvl w:val="3"/>
    </w:pPr>
    <w:rPr>
      <w:b/>
    </w:rPr>
  </w:style>
  <w:style w:type="paragraph" w:styleId="Heading5">
    <w:name w:val="heading 5"/>
    <w:basedOn w:val="Normal"/>
    <w:next w:val="Normal"/>
    <w:qFormat/>
    <w:pPr>
      <w:numPr>
        <w:ilvl w:val="4"/>
        <w:numId w:val="1"/>
      </w:numPr>
      <w:tabs>
        <w:tab w:val="clear" w:pos="567"/>
        <w:tab w:val="left" w:pos="851" w:leader="none"/>
      </w:tabs>
      <w:outlineLvl w:val="4"/>
    </w:pPr>
    <w:rPr>
      <w:b/>
    </w:rPr>
  </w:style>
  <w:style w:type="paragraph" w:styleId="Heading6">
    <w:name w:val="heading 6"/>
    <w:basedOn w:val="Normal"/>
    <w:next w:val="Normal"/>
    <w:qFormat/>
    <w:pPr>
      <w:numPr>
        <w:ilvl w:val="5"/>
        <w:numId w:val="1"/>
      </w:numPr>
      <w:outlineLvl w:val="5"/>
    </w:pPr>
    <w:rPr>
      <w:b/>
    </w:rPr>
  </w:style>
  <w:style w:type="paragraph" w:styleId="Heading7">
    <w:name w:val="heading 7"/>
    <w:basedOn w:val="Normal"/>
    <w:next w:val="Normal"/>
    <w:qFormat/>
    <w:pPr>
      <w:numPr>
        <w:ilvl w:val="6"/>
        <w:numId w:val="1"/>
      </w:numPr>
      <w:outlineLvl w:val="6"/>
    </w:pPr>
    <w:rPr>
      <w:b/>
    </w:rPr>
  </w:style>
  <w:style w:type="paragraph" w:styleId="Heading8">
    <w:name w:val="heading 8"/>
    <w:basedOn w:val="Normal"/>
    <w:next w:val="Normal"/>
    <w:qFormat/>
    <w:pPr>
      <w:numPr>
        <w:ilvl w:val="7"/>
        <w:numId w:val="1"/>
      </w:numPr>
      <w:outlineLvl w:val="7"/>
    </w:pPr>
    <w:rPr>
      <w:b/>
    </w:rPr>
  </w:style>
  <w:style w:type="paragraph" w:styleId="Heading9">
    <w:name w:val="heading 9"/>
    <w:basedOn w:val="Normal"/>
    <w:next w:val="Normal"/>
    <w:qFormat/>
    <w:pPr>
      <w:numPr>
        <w:ilvl w:val="8"/>
        <w:numId w:val="1"/>
      </w:numPr>
      <w:tabs>
        <w:tab w:val="clear" w:pos="567"/>
        <w:tab w:val="left" w:pos="1701" w:leader="none"/>
      </w:tabs>
      <w:outlineLvl w:val="8"/>
    </w:pPr>
    <w:rPr>
      <w:b/>
    </w:rPr>
  </w:style>
  <w:style w:type="character" w:styleId="WW8Num1z0">
    <w:name w:val="WW8Num1z0"/>
    <w:qFormat/>
    <w:rPr>
      <w:u w:val="none"/>
    </w:rPr>
  </w:style>
  <w:style w:type="character" w:styleId="WW8Num2z0">
    <w:name w:val="WW8Num2z0"/>
    <w:qFormat/>
    <w:rPr>
      <w:rFonts w:ascii="Symbol;Wingdings 3" w:hAnsi="Symbol;Wingdings 3" w:cs="Symbol;Wingdings 3"/>
    </w:rPr>
  </w:style>
  <w:style w:type="character" w:styleId="WW8Num3z0">
    <w:name w:val="WW8Num3z0"/>
    <w:qFormat/>
    <w:rPr>
      <w:rFonts w:ascii="Times New Roman" w:hAnsi="Times New Roman" w:cs="Times New Roman"/>
    </w:rPr>
  </w:style>
  <w:style w:type="character" w:styleId="WW8Num4z0">
    <w:name w:val="WW8Num4z0"/>
    <w:qFormat/>
    <w:rPr>
      <w:rFonts w:ascii="Symbol;Wingdings 3" w:hAnsi="Symbol;Wingdings 3" w:cs="Symbol;Wingdings 3"/>
    </w:rPr>
  </w:style>
  <w:style w:type="character" w:styleId="WW8Num4z2">
    <w:name w:val="WW8Num4z2"/>
    <w:qFormat/>
    <w:rPr>
      <w:rFonts w:ascii="Wingdings" w:hAnsi="Wingdings" w:cs="Wingdings"/>
    </w:rPr>
  </w:style>
  <w:style w:type="character" w:styleId="WW8Num4z4">
    <w:name w:val="WW8Num4z4"/>
    <w:qFormat/>
    <w:rPr>
      <w:rFonts w:ascii="Courier New" w:hAnsi="Courier New" w:cs="Courier New"/>
    </w:rPr>
  </w:style>
  <w:style w:type="character" w:styleId="WW8Num5z0">
    <w:name w:val="WW8Num5z0"/>
    <w:qFormat/>
    <w:rPr>
      <w:rFonts w:ascii="Symbol;Wingdings 3" w:hAnsi="Symbol;Wingdings 3" w:cs="Symbol;Wingdings 3"/>
    </w:rPr>
  </w:style>
  <w:style w:type="character" w:styleId="WW8Num6z0">
    <w:name w:val="WW8Num6z0"/>
    <w:qFormat/>
    <w:rPr/>
  </w:style>
  <w:style w:type="character" w:styleId="DefaultParagraphFont">
    <w:name w:val="Default Paragraph Font"/>
    <w:qFormat/>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Header">
    <w:name w:val="header"/>
    <w:basedOn w:val="Normal"/>
    <w:pPr>
      <w:tabs>
        <w:tab w:val="clear" w:pos="567"/>
        <w:tab w:val="center" w:pos="4320" w:leader="none"/>
        <w:tab w:val="right" w:pos="8640" w:leader="none"/>
      </w:tabs>
    </w:pPr>
    <w:rPr/>
  </w:style>
  <w:style w:type="paragraph" w:styleId="Footer">
    <w:name w:val="footer"/>
    <w:basedOn w:val="Normal"/>
    <w:pPr>
      <w:tabs>
        <w:tab w:val="clear" w:pos="567"/>
        <w:tab w:val="center" w:pos="4320" w:leader="none"/>
        <w:tab w:val="right" w:pos="8640" w:leader="none"/>
      </w:tabs>
    </w:pPr>
    <w:rPr/>
  </w:style>
  <w:style w:type="paragraph" w:styleId="TOC2">
    <w:name w:val="toc 2"/>
    <w:basedOn w:val="Normal"/>
    <w:next w:val="Normal"/>
    <w:pPr>
      <w:tabs>
        <w:tab w:val="clear" w:pos="567"/>
        <w:tab w:val="left" w:pos="1134" w:leader="none"/>
        <w:tab w:val="right" w:pos="8505" w:leader="dot"/>
      </w:tabs>
    </w:pPr>
    <w:rPr>
      <w:caps/>
    </w:rPr>
  </w:style>
  <w:style w:type="paragraph" w:styleId="TOC1">
    <w:name w:val="toc 1"/>
    <w:basedOn w:val="Normal"/>
    <w:next w:val="Normal"/>
    <w:pPr>
      <w:tabs>
        <w:tab w:val="clear" w:pos="567"/>
        <w:tab w:val="left" w:pos="1134" w:leader="none"/>
        <w:tab w:val="right" w:pos="8505" w:leader="dot"/>
      </w:tabs>
    </w:pPr>
    <w:rPr>
      <w:caps/>
    </w:rPr>
  </w:style>
  <w:style w:type="paragraph" w:styleId="TOC3">
    <w:name w:val="toc 3"/>
    <w:basedOn w:val="Normal"/>
    <w:next w:val="Normal"/>
    <w:pPr>
      <w:tabs>
        <w:tab w:val="clear" w:pos="567"/>
        <w:tab w:val="left" w:pos="1134" w:leader="none"/>
        <w:tab w:val="right" w:pos="8505" w:leader="dot"/>
      </w:tabs>
    </w:pPr>
    <w:rPr/>
  </w:style>
  <w:style w:type="paragraph" w:styleId="TOC4">
    <w:name w:val="toc 4"/>
    <w:basedOn w:val="Normal"/>
    <w:next w:val="Normal"/>
    <w:pPr>
      <w:tabs>
        <w:tab w:val="clear" w:pos="567"/>
        <w:tab w:val="left" w:pos="1134" w:leader="none"/>
        <w:tab w:val="right" w:pos="8505" w:leader="dot"/>
      </w:tabs>
    </w:pPr>
    <w:rPr/>
  </w:style>
  <w:style w:type="paragraph" w:styleId="TOC5">
    <w:name w:val="toc 5"/>
    <w:basedOn w:val="Normal"/>
    <w:next w:val="Normal"/>
    <w:pPr>
      <w:tabs>
        <w:tab w:val="clear" w:pos="567"/>
        <w:tab w:val="left" w:pos="1134" w:leader="none"/>
        <w:tab w:val="right" w:pos="8505" w:leader="dot"/>
      </w:tabs>
    </w:pPr>
    <w:rPr/>
  </w:style>
  <w:style w:type="paragraph" w:styleId="TOC6">
    <w:name w:val="toc 6"/>
    <w:basedOn w:val="Normal"/>
    <w:next w:val="Normal"/>
    <w:pPr>
      <w:tabs>
        <w:tab w:val="clear" w:pos="567"/>
        <w:tab w:val="left" w:pos="1134" w:leader="none"/>
        <w:tab w:val="right" w:pos="8505" w:leader="dot"/>
      </w:tabs>
    </w:pPr>
    <w:rPr/>
  </w:style>
  <w:style w:type="paragraph" w:styleId="TOC7">
    <w:name w:val="toc 7"/>
    <w:basedOn w:val="Normal"/>
    <w:next w:val="Normal"/>
    <w:pPr>
      <w:tabs>
        <w:tab w:val="clear" w:pos="567"/>
        <w:tab w:val="left" w:pos="1418" w:leader="none"/>
        <w:tab w:val="right" w:pos="8505" w:leader="dot"/>
      </w:tabs>
    </w:pPr>
    <w:rPr/>
  </w:style>
  <w:style w:type="paragraph" w:styleId="TOC8">
    <w:name w:val="toc 8"/>
    <w:basedOn w:val="Normal"/>
    <w:next w:val="Normal"/>
    <w:pPr>
      <w:tabs>
        <w:tab w:val="clear" w:pos="567"/>
        <w:tab w:val="left" w:pos="1701" w:leader="none"/>
        <w:tab w:val="right" w:pos="8505" w:leader="dot"/>
      </w:tabs>
    </w:pPr>
    <w:rPr/>
  </w:style>
  <w:style w:type="paragraph" w:styleId="TOC9">
    <w:name w:val="toc 9"/>
    <w:basedOn w:val="Normal"/>
    <w:next w:val="Normal"/>
    <w:pPr>
      <w:tabs>
        <w:tab w:val="clear" w:pos="567"/>
        <w:tab w:val="left" w:pos="1985" w:leader="none"/>
        <w:tab w:val="right" w:pos="8505" w:leader="dot"/>
      </w:tabs>
    </w:pPr>
    <w:rPr/>
  </w:style>
  <w:style w:type="paragraph" w:styleId="BalloonText">
    <w:name w:val="Balloon Text"/>
    <w:basedOn w:val="Normal"/>
    <w:qFormat/>
    <w:pPr/>
    <w:rPr>
      <w:rFonts w:ascii="Tahoma" w:hAnsi="Tahoma" w:cs="Tahoma"/>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2</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2005-11-02T09:56:00Z</dcterms:created>
  <dc:creator>rtonnema</dc:creator>
  <dc:description/>
  <cp:keywords/>
  <dc:language>en-US</dc:language>
  <cp:lastModifiedBy>aali</cp:lastModifiedBy>
  <cp:lastPrinted>2005-10-06T10:44:00Z</cp:lastPrinted>
  <dcterms:modified xsi:type="dcterms:W3CDTF">2008-06-10T06:22:00Z</dcterms:modified>
  <cp:revision>3</cp:revision>
  <dc:subject/>
  <dc:title>Procedure Archiving</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roved">
    <vt:lpwstr/>
  </property>
  <property fmtid="{D5CDD505-2E9C-101B-9397-08002B2CF9AE}" pid="3" name="Author0">
    <vt:lpwstr>HKU</vt:lpwstr>
  </property>
  <property fmtid="{D5CDD505-2E9C-101B-9397-08002B2CF9AE}" pid="4" name="Dept">
    <vt:lpwstr>Yes</vt:lpwstr>
  </property>
  <property fmtid="{D5CDD505-2E9C-101B-9397-08002B2CF9AE}" pid="5" name="Doc Owner">
    <vt:lpwstr>Quality</vt:lpwstr>
  </property>
  <property fmtid="{D5CDD505-2E9C-101B-9397-08002B2CF9AE}" pid="6" name="Doc type">
    <vt:lpwstr>Procedure</vt:lpwstr>
  </property>
  <property fmtid="{D5CDD505-2E9C-101B-9397-08002B2CF9AE}" pid="7" name="DocOwner">
    <vt:lpwstr>Quality</vt:lpwstr>
  </property>
  <property fmtid="{D5CDD505-2E9C-101B-9397-08002B2CF9AE}" pid="8" name="Doctype">
    <vt:lpwstr>Procedure</vt:lpwstr>
  </property>
  <property fmtid="{D5CDD505-2E9C-101B-9397-08002B2CF9AE}" pid="9" name="Document ID">
    <vt:lpwstr>QU-P-14</vt:lpwstr>
  </property>
  <property fmtid="{D5CDD505-2E9C-101B-9397-08002B2CF9AE}" pid="10" name="DocumentID">
    <vt:lpwstr>QU-P-14</vt:lpwstr>
  </property>
  <property fmtid="{D5CDD505-2E9C-101B-9397-08002B2CF9AE}" pid="11" name="Documentname">
    <vt:lpwstr>Procedure Archiving</vt:lpwstr>
  </property>
  <property fmtid="{D5CDD505-2E9C-101B-9397-08002B2CF9AE}" pid="12" name="Gen">
    <vt:lpwstr/>
  </property>
  <property fmtid="{D5CDD505-2E9C-101B-9397-08002B2CF9AE}" pid="13" name="LAS">
    <vt:lpwstr>Yes</vt:lpwstr>
  </property>
  <property fmtid="{D5CDD505-2E9C-101B-9397-08002B2CF9AE}" pid="14" name="Last changed at">
    <vt:lpwstr/>
  </property>
  <property fmtid="{D5CDD505-2E9C-101B-9397-08002B2CF9AE}" pid="15" name="Last rev">
    <vt:lpwstr>07</vt:lpwstr>
  </property>
  <property fmtid="{D5CDD505-2E9C-101B-9397-08002B2CF9AE}" pid="16" name="Lastchangedby">
    <vt:lpwstr>JBYRNE</vt:lpwstr>
  </property>
  <property fmtid="{D5CDD505-2E9C-101B-9397-08002B2CF9AE}" pid="17" name="Lastrev">
    <vt:lpwstr>07</vt:lpwstr>
  </property>
  <property fmtid="{D5CDD505-2E9C-101B-9397-08002B2CF9AE}" pid="18" name="MBD">
    <vt:lpwstr>Yes</vt:lpwstr>
  </property>
  <property fmtid="{D5CDD505-2E9C-101B-9397-08002B2CF9AE}" pid="19" name="Memo">
    <vt:lpwstr/>
  </property>
  <property fmtid="{D5CDD505-2E9C-101B-9397-08002B2CF9AE}" pid="20" name="Order">
    <vt:lpwstr>57700.0000000000</vt:lpwstr>
  </property>
  <property fmtid="{D5CDD505-2E9C-101B-9397-08002B2CF9AE}" pid="21" name="Status">
    <vt:lpwstr/>
  </property>
  <property fmtid="{D5CDD505-2E9C-101B-9397-08002B2CF9AE}" pid="22" name="TN">
    <vt:lpwstr>Yes</vt:lpwstr>
  </property>
  <property fmtid="{D5CDD505-2E9C-101B-9397-08002B2CF9AE}" pid="23" name="UpdateonCMS">
    <vt:lpwstr/>
  </property>
  <property fmtid="{D5CDD505-2E9C-101B-9397-08002B2CF9AE}" pid="24" name="WE">
    <vt:lpwstr/>
  </property>
  <property fmtid="{D5CDD505-2E9C-101B-9397-08002B2CF9AE}" pid="25" name="WP">
    <vt:lpwstr>Yes</vt:lpwstr>
  </property>
  <property fmtid="{D5CDD505-2E9C-101B-9397-08002B2CF9AE}" pid="26" name="id Employee">
    <vt:lpwstr/>
  </property>
  <property fmtid="{D5CDD505-2E9C-101B-9397-08002B2CF9AE}" pid="27" name="idEmployee">
    <vt:lpwstr/>
  </property>
</Properties>
</file>