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pngname}" ContentType="image/png"/>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pPr>
      <w:r>
        <w:rPr/>
        <w:t>Purpose</w:t>
      </w:r>
    </w:p>
    <w:p>
      <w:pPr>
        <w:pStyle w:val="Normal"/>
        <w:ind w:left="567" w:right="0"/>
        <w:rPr/>
      </w:pPr>
      <w:r>
        <w:rPr/>
      </w:r>
    </w:p>
    <w:p>
      <w:pPr>
        <w:pStyle w:val="Normal"/>
        <w:ind w:left="567" w:right="0"/>
        <w:rPr/>
      </w:pPr>
      <w:r>
        <w:rPr/>
        <w:t>The purpose of management review is to review the effectiveness of the Company Management System on a regular basis, to identify any weaknesses and propose improvements.</w:t>
      </w:r>
    </w:p>
    <w:p>
      <w:pPr>
        <w:pStyle w:val="Normal"/>
        <w:ind w:left="567" w:right="0"/>
        <w:rPr>
          <w:rFonts w:eastAsia="Arial"/>
        </w:rPr>
      </w:pPr>
      <w:r>
        <w:rPr>
          <w:rFonts w:eastAsia="Arial"/>
        </w:rPr>
        <w:t xml:space="preserve"> </w:t>
      </w:r>
    </w:p>
    <w:p>
      <w:pPr>
        <w:pStyle w:val="Heading1"/>
        <w:rPr/>
      </w:pPr>
      <w:r>
        <w:rPr/>
        <w:t>Scope</w:t>
      </w:r>
    </w:p>
    <w:p>
      <w:pPr>
        <w:pStyle w:val="Normal"/>
        <w:rPr/>
      </w:pPr>
      <w:r>
        <w:rPr/>
      </w:r>
    </w:p>
    <w:p>
      <w:pPr>
        <w:pStyle w:val="Normal"/>
        <w:ind w:left="567" w:right="0"/>
        <w:rPr/>
      </w:pPr>
      <w:r>
        <w:rPr/>
        <w:t>Management review consists of two parts:</w:t>
      </w:r>
    </w:p>
    <w:p>
      <w:pPr>
        <w:pStyle w:val="Normal"/>
        <w:numPr>
          <w:ilvl w:val="0"/>
          <w:numId w:val="2"/>
        </w:numPr>
        <w:tabs>
          <w:tab w:val="clear" w:pos="567"/>
          <w:tab w:val="left" w:pos="927" w:leader="none"/>
        </w:tabs>
        <w:ind w:hanging="360" w:left="927" w:right="0"/>
        <w:rPr/>
      </w:pPr>
      <w:r>
        <w:rPr/>
        <w:t xml:space="preserve">The company management system review </w:t>
      </w:r>
    </w:p>
    <w:p>
      <w:pPr>
        <w:pStyle w:val="Normal"/>
        <w:numPr>
          <w:ilvl w:val="0"/>
          <w:numId w:val="2"/>
        </w:numPr>
        <w:tabs>
          <w:tab w:val="clear" w:pos="567"/>
          <w:tab w:val="left" w:pos="927" w:leader="none"/>
        </w:tabs>
        <w:ind w:hanging="360" w:left="927" w:right="0"/>
        <w:rPr/>
      </w:pPr>
      <w:r>
        <w:rPr/>
        <w:t>The operational management review [the MTP &amp; OP process, culminating in BSC’s]</w:t>
      </w:r>
    </w:p>
    <w:p>
      <w:pPr>
        <w:pStyle w:val="Normal"/>
        <w:ind w:left="567" w:right="0"/>
        <w:rPr/>
      </w:pPr>
      <w:r>
        <w:rPr/>
      </w:r>
    </w:p>
    <w:p>
      <w:pPr>
        <w:pStyle w:val="Normal"/>
        <w:ind w:left="567" w:right="0"/>
        <w:rPr/>
      </w:pPr>
      <w:r>
        <w:rPr/>
        <w:t xml:space="preserve">This procedure concentrates on the management system review. </w:t>
      </w:r>
    </w:p>
    <w:p>
      <w:pPr>
        <w:pStyle w:val="Normal"/>
        <w:ind w:left="567" w:right="0"/>
        <w:rPr/>
      </w:pPr>
      <w:r>
        <w:rPr/>
        <w:t>The operational management review is laid down in the Procedure Corporate Planning BD-P-13.</w:t>
      </w:r>
    </w:p>
    <w:p>
      <w:pPr>
        <w:pStyle w:val="Heading1"/>
        <w:numPr>
          <w:ilvl w:val="0"/>
          <w:numId w:val="0"/>
        </w:numPr>
        <w:ind w:hanging="0" w:left="0"/>
        <w:rPr/>
      </w:pPr>
      <w:r>
        <w:rPr/>
      </w:r>
    </w:p>
    <w:p>
      <w:pPr>
        <w:pStyle w:val="Heading1"/>
        <w:rPr/>
      </w:pPr>
      <w:r>
        <w:rPr/>
        <w:t>Explanation of terms</w:t>
      </w:r>
    </w:p>
    <w:p>
      <w:pPr>
        <w:pStyle w:val="Header"/>
        <w:tabs>
          <w:tab w:val="clear" w:pos="4320"/>
          <w:tab w:val="clear" w:pos="8640"/>
        </w:tabs>
        <w:rPr/>
      </w:pPr>
      <w:r>
        <w:rPr/>
      </w:r>
    </w:p>
    <w:p>
      <w:pPr>
        <w:pStyle w:val="Header"/>
        <w:tabs>
          <w:tab w:val="clear" w:pos="4320"/>
          <w:tab w:val="clear" w:pos="8640"/>
          <w:tab w:val="left" w:pos="2835" w:leader="none"/>
        </w:tabs>
        <w:ind w:left="567" w:right="0"/>
        <w:rPr/>
      </w:pPr>
      <w:r>
        <w:rPr/>
        <w:t xml:space="preserve">Company management </w:t>
        <w:tab/>
        <w:t>The documented Company Management System</w:t>
      </w:r>
    </w:p>
    <w:p>
      <w:pPr>
        <w:pStyle w:val="Header"/>
        <w:tabs>
          <w:tab w:val="clear" w:pos="4320"/>
          <w:tab w:val="clear" w:pos="8640"/>
          <w:tab w:val="left" w:pos="2835" w:leader="none"/>
        </w:tabs>
        <w:ind w:left="567" w:right="0"/>
        <w:rPr/>
      </w:pPr>
      <w:r>
        <w:rPr/>
        <w:t>System:</w:t>
      </w:r>
    </w:p>
    <w:p>
      <w:pPr>
        <w:pStyle w:val="Header"/>
        <w:tabs>
          <w:tab w:val="clear" w:pos="4320"/>
          <w:tab w:val="clear" w:pos="8640"/>
          <w:tab w:val="left" w:pos="2835" w:leader="none"/>
        </w:tabs>
        <w:ind w:left="567" w:right="0"/>
        <w:rPr/>
      </w:pPr>
      <w:r>
        <w:rPr/>
      </w:r>
    </w:p>
    <w:p>
      <w:pPr>
        <w:pStyle w:val="Header"/>
        <w:tabs>
          <w:tab w:val="clear" w:pos="4320"/>
          <w:tab w:val="clear" w:pos="8640"/>
          <w:tab w:val="left" w:pos="2835" w:leader="none"/>
        </w:tabs>
        <w:ind w:left="567" w:right="0"/>
        <w:rPr/>
      </w:pPr>
      <w:r>
        <w:rPr/>
        <w:t>Management review:</w:t>
        <w:tab/>
        <w:t xml:space="preserve">Overall review by senior management of the performance of the </w:t>
        <w:tab/>
        <w:t>operational management and the system management.</w:t>
      </w:r>
    </w:p>
    <w:p>
      <w:pPr>
        <w:pStyle w:val="Header"/>
        <w:tabs>
          <w:tab w:val="clear" w:pos="4320"/>
          <w:tab w:val="clear" w:pos="8640"/>
          <w:tab w:val="left" w:pos="3686" w:leader="none"/>
        </w:tabs>
        <w:ind w:left="567" w:right="0"/>
        <w:rPr/>
      </w:pPr>
      <w:r>
        <w:rPr/>
      </w:r>
    </w:p>
    <w:p>
      <w:pPr>
        <w:pStyle w:val="Heading1"/>
        <w:rPr/>
      </w:pPr>
      <w:r>
        <w:rPr/>
        <w:t>Interface documentation</w:t>
      </w:r>
    </w:p>
    <w:p>
      <w:pPr>
        <w:pStyle w:val="Normal"/>
        <w:rPr/>
      </w:pPr>
      <w:r>
        <w:rPr/>
      </w:r>
    </w:p>
    <w:p>
      <w:pPr>
        <w:pStyle w:val="Normal"/>
        <w:numPr>
          <w:ilvl w:val="0"/>
          <w:numId w:val="6"/>
        </w:numPr>
        <w:tabs>
          <w:tab w:val="clear" w:pos="567"/>
          <w:tab w:val="left" w:pos="927" w:leader="none"/>
        </w:tabs>
        <w:ind w:hanging="360" w:left="927" w:right="0"/>
        <w:rPr/>
      </w:pPr>
      <w:r>
        <w:rPr/>
        <w:t>Procedure Corporate Planning BD-P_13]</w:t>
      </w:r>
    </w:p>
    <w:p>
      <w:pPr>
        <w:pStyle w:val="Normal"/>
        <w:ind w:left="567" w:right="0"/>
        <w:rPr>
          <w:lang w:val="nl-NL"/>
        </w:rPr>
      </w:pPr>
      <w:r>
        <w:rPr>
          <w:lang w:val="nl-NL"/>
        </w:rPr>
      </w:r>
    </w:p>
    <w:p>
      <w:pPr>
        <w:pStyle w:val="Heading1"/>
        <w:rPr/>
      </w:pPr>
      <w:r>
        <w:rPr/>
        <w:t>Responsibilities</w:t>
      </w:r>
    </w:p>
    <w:p>
      <w:pPr>
        <w:pStyle w:val="Normal"/>
        <w:rPr/>
      </w:pPr>
      <w:r>
        <w:rPr/>
      </w:r>
    </w:p>
    <w:p>
      <w:pPr>
        <w:pStyle w:val="Normal"/>
        <w:ind w:left="567" w:right="0"/>
        <w:rPr/>
      </w:pPr>
      <w:r>
        <w:rPr/>
        <w:t xml:space="preserve">The </w:t>
      </w:r>
      <w:r>
        <w:rPr>
          <w:b/>
        </w:rPr>
        <w:t>Quality Manager</w:t>
      </w:r>
      <w:r>
        <w:rPr/>
        <w:t xml:space="preserve"> is responsible for:</w:t>
      </w:r>
    </w:p>
    <w:p>
      <w:pPr>
        <w:pStyle w:val="Normal"/>
        <w:numPr>
          <w:ilvl w:val="0"/>
          <w:numId w:val="3"/>
        </w:numPr>
        <w:rPr/>
      </w:pPr>
      <w:r>
        <w:rPr/>
        <w:t xml:space="preserve">the preparation and distribution of relevant information (reference Section 6, Sources of information) to the attendees, some two weeks prior to the management system review meeting. </w:t>
      </w:r>
    </w:p>
    <w:p>
      <w:pPr>
        <w:pStyle w:val="Normal"/>
        <w:numPr>
          <w:ilvl w:val="0"/>
          <w:numId w:val="3"/>
        </w:numPr>
        <w:rPr/>
      </w:pPr>
      <w:r>
        <w:rPr/>
        <w:t xml:space="preserve">the preparation of the management system review report </w:t>
      </w:r>
    </w:p>
    <w:p>
      <w:pPr>
        <w:pStyle w:val="Normal"/>
        <w:ind w:left="567" w:right="0"/>
        <w:rPr/>
      </w:pPr>
      <w:r>
        <w:rPr/>
      </w:r>
    </w:p>
    <w:p>
      <w:pPr>
        <w:pStyle w:val="Normal"/>
        <w:ind w:left="567" w:right="0"/>
        <w:rPr/>
      </w:pPr>
      <w:r>
        <w:rPr/>
        <w:t xml:space="preserve">The </w:t>
      </w:r>
      <w:r>
        <w:rPr>
          <w:b/>
        </w:rPr>
        <w:t>Managing Director</w:t>
      </w:r>
      <w:r>
        <w:rPr/>
        <w:t xml:space="preserve"> responsible for the Quality Department shall </w:t>
      </w:r>
    </w:p>
    <w:p>
      <w:pPr>
        <w:pStyle w:val="Normal"/>
        <w:numPr>
          <w:ilvl w:val="0"/>
          <w:numId w:val="4"/>
        </w:numPr>
        <w:tabs>
          <w:tab w:val="clear" w:pos="567"/>
          <w:tab w:val="left" w:pos="927" w:leader="none"/>
        </w:tabs>
        <w:ind w:hanging="360" w:left="927" w:right="0"/>
        <w:rPr/>
      </w:pPr>
      <w:r>
        <w:rPr/>
        <w:t>chair the review meeting</w:t>
      </w:r>
    </w:p>
    <w:p>
      <w:pPr>
        <w:pStyle w:val="Normal"/>
        <w:numPr>
          <w:ilvl w:val="0"/>
          <w:numId w:val="4"/>
        </w:numPr>
        <w:tabs>
          <w:tab w:val="clear" w:pos="567"/>
          <w:tab w:val="left" w:pos="927" w:leader="none"/>
        </w:tabs>
        <w:ind w:hanging="360" w:left="927" w:right="0"/>
        <w:rPr/>
      </w:pPr>
      <w:r>
        <w:rPr/>
        <w:t>ensure that relevant improvement proposals will be incorporated in the OP process</w:t>
      </w:r>
    </w:p>
    <w:p>
      <w:pPr>
        <w:pStyle w:val="Normal"/>
        <w:numPr>
          <w:ilvl w:val="0"/>
          <w:numId w:val="4"/>
        </w:numPr>
        <w:tabs>
          <w:tab w:val="clear" w:pos="567"/>
          <w:tab w:val="left" w:pos="927" w:leader="none"/>
        </w:tabs>
        <w:ind w:hanging="360" w:left="927" w:right="0"/>
        <w:rPr/>
      </w:pPr>
      <w:r>
        <w:rPr/>
        <w:t>ensure agreed improvement proposals will be incorporated into the various BSC’s.</w:t>
      </w:r>
    </w:p>
    <w:p>
      <w:pPr>
        <w:pStyle w:val="Normal"/>
        <w:ind w:left="567" w:right="0"/>
        <w:rPr/>
      </w:pPr>
      <w:r>
        <w:rPr/>
      </w:r>
    </w:p>
    <w:p>
      <w:pPr>
        <w:pStyle w:val="Normal"/>
        <w:ind w:left="567" w:right="0"/>
        <w:rPr/>
      </w:pPr>
      <w:r>
        <w:rPr>
          <w:b/>
        </w:rPr>
        <w:t>Process Owners</w:t>
      </w:r>
      <w:r>
        <w:rPr/>
        <w:t xml:space="preserve"> shall ensure that any proposed system amendments enhance the process performance.</w:t>
      </w:r>
    </w:p>
    <w:p>
      <w:pPr>
        <w:pStyle w:val="Normal"/>
        <w:ind w:left="567" w:right="0"/>
        <w:rPr/>
      </w:pPr>
      <w:r>
        <w:rPr/>
      </w:r>
    </w:p>
    <w:p>
      <w:pPr>
        <w:pStyle w:val="Heading1"/>
        <w:rPr/>
      </w:pPr>
      <w:r>
        <w:rPr/>
        <w:t xml:space="preserve">Description </w:t>
      </w:r>
    </w:p>
    <w:p>
      <w:pPr>
        <w:pStyle w:val="Normal"/>
        <w:rPr/>
      </w:pPr>
      <w:r>
        <w:rPr/>
      </w:r>
    </w:p>
    <w:p>
      <w:pPr>
        <w:pStyle w:val="BodyTextIndent"/>
        <w:rPr/>
      </w:pPr>
      <w:r>
        <w:rPr/>
        <w:t xml:space="preserve">The review meeting is scheduled to take place at the beginning of June. Typically the participants will be: </w:t>
      </w:r>
      <w:r>
        <w:rPr>
          <w:b/>
        </w:rPr>
        <w:t>The Board</w:t>
      </w:r>
      <w:r>
        <w:rPr/>
        <w:t xml:space="preserve">, the </w:t>
      </w:r>
      <w:r>
        <w:rPr>
          <w:b/>
        </w:rPr>
        <w:t>Process Owners</w:t>
      </w:r>
      <w:r>
        <w:rPr/>
        <w:t xml:space="preserve"> and the </w:t>
      </w:r>
      <w:r>
        <w:rPr>
          <w:b/>
        </w:rPr>
        <w:t>Quality Manager</w:t>
      </w:r>
      <w:r>
        <w:rPr/>
        <w:t>. The review committee shall assess the performance of the system during the previous year, consider any outstanding improvement proposals, formulate new proposals and determine any necessary actions. The overall policy will also be reviewed for continued applicability. Sources of information are amongst others:</w:t>
      </w:r>
    </w:p>
    <w:p>
      <w:pPr>
        <w:pStyle w:val="Normal"/>
        <w:numPr>
          <w:ilvl w:val="0"/>
          <w:numId w:val="5"/>
        </w:numPr>
        <w:tabs>
          <w:tab w:val="clear" w:pos="567"/>
          <w:tab w:val="left" w:pos="927" w:leader="none"/>
        </w:tabs>
        <w:ind w:hanging="360" w:left="927" w:right="0"/>
        <w:rPr/>
      </w:pPr>
      <w:r>
        <w:rPr/>
        <w:t>Any lessons learned reports</w:t>
      </w:r>
    </w:p>
    <w:p>
      <w:pPr>
        <w:pStyle w:val="Normal"/>
        <w:numPr>
          <w:ilvl w:val="0"/>
          <w:numId w:val="5"/>
        </w:numPr>
        <w:tabs>
          <w:tab w:val="clear" w:pos="567"/>
          <w:tab w:val="left" w:pos="927" w:leader="none"/>
        </w:tabs>
        <w:ind w:hanging="360" w:left="927" w:right="0"/>
        <w:rPr/>
      </w:pPr>
      <w:r>
        <w:rPr/>
        <w:t>Lessons learned from close out of phases [rejected pre-qualifications, tenders]</w:t>
      </w:r>
    </w:p>
    <w:p>
      <w:pPr>
        <w:pStyle w:val="Normal"/>
        <w:numPr>
          <w:ilvl w:val="0"/>
          <w:numId w:val="5"/>
        </w:numPr>
        <w:tabs>
          <w:tab w:val="clear" w:pos="567"/>
          <w:tab w:val="left" w:pos="927" w:leader="none"/>
        </w:tabs>
        <w:ind w:hanging="360" w:left="927" w:right="0"/>
        <w:rPr/>
      </w:pPr>
      <w:r>
        <w:rPr/>
        <w:t>Audit reports by external bodies.</w:t>
      </w:r>
    </w:p>
    <w:p>
      <w:pPr>
        <w:pStyle w:val="Normal"/>
        <w:numPr>
          <w:ilvl w:val="0"/>
          <w:numId w:val="5"/>
        </w:numPr>
        <w:tabs>
          <w:tab w:val="clear" w:pos="567"/>
          <w:tab w:val="left" w:pos="927" w:leader="none"/>
        </w:tabs>
        <w:ind w:hanging="360" w:left="927" w:right="0"/>
        <w:rPr/>
      </w:pPr>
      <w:r>
        <w:rPr/>
        <w:t>Non-conformity reports and corrective actions from internal audit reports of Head Office organisation, projects and subsidiaries.</w:t>
      </w:r>
    </w:p>
    <w:p>
      <w:pPr>
        <w:pStyle w:val="Normal"/>
        <w:numPr>
          <w:ilvl w:val="0"/>
          <w:numId w:val="5"/>
        </w:numPr>
        <w:tabs>
          <w:tab w:val="clear" w:pos="567"/>
          <w:tab w:val="left" w:pos="927" w:leader="none"/>
        </w:tabs>
        <w:ind w:hanging="360" w:left="927" w:right="0"/>
        <w:rPr/>
      </w:pPr>
      <w:r>
        <w:rPr/>
        <w:t>Any recommendations [for example via internal audits or ad hoc recommendations]</w:t>
      </w:r>
    </w:p>
    <w:p>
      <w:pPr>
        <w:pStyle w:val="Normal"/>
        <w:numPr>
          <w:ilvl w:val="0"/>
          <w:numId w:val="5"/>
        </w:numPr>
        <w:tabs>
          <w:tab w:val="clear" w:pos="567"/>
          <w:tab w:val="left" w:pos="927" w:leader="none"/>
        </w:tabs>
        <w:ind w:hanging="360" w:left="927" w:right="0"/>
        <w:rPr/>
      </w:pPr>
      <w:r>
        <w:rPr/>
        <w:t>Improvement proposals</w:t>
      </w:r>
    </w:p>
    <w:p>
      <w:pPr>
        <w:pStyle w:val="Normal"/>
        <w:numPr>
          <w:ilvl w:val="0"/>
          <w:numId w:val="5"/>
        </w:numPr>
        <w:tabs>
          <w:tab w:val="clear" w:pos="567"/>
          <w:tab w:val="left" w:pos="927" w:leader="none"/>
        </w:tabs>
        <w:ind w:hanging="360" w:left="927" w:right="0"/>
        <w:rPr/>
      </w:pPr>
      <w:r>
        <w:rPr/>
        <w:t>Project close-out reports [incl. comments from Clients]</w:t>
      </w:r>
    </w:p>
    <w:p>
      <w:pPr>
        <w:pStyle w:val="Normal"/>
        <w:numPr>
          <w:ilvl w:val="0"/>
          <w:numId w:val="5"/>
        </w:numPr>
        <w:tabs>
          <w:tab w:val="clear" w:pos="567"/>
          <w:tab w:val="left" w:pos="927" w:leader="none"/>
        </w:tabs>
        <w:ind w:hanging="360" w:left="927" w:right="0"/>
        <w:rPr/>
      </w:pPr>
      <w:r>
        <w:rPr/>
        <w:t>Client complaints</w:t>
      </w:r>
    </w:p>
    <w:p>
      <w:pPr>
        <w:pStyle w:val="Normal"/>
        <w:numPr>
          <w:ilvl w:val="0"/>
          <w:numId w:val="5"/>
        </w:numPr>
        <w:tabs>
          <w:tab w:val="clear" w:pos="567"/>
          <w:tab w:val="left" w:pos="927" w:leader="none"/>
        </w:tabs>
        <w:ind w:hanging="360" w:left="927" w:right="0"/>
        <w:rPr/>
      </w:pPr>
      <w:r>
        <w:rPr/>
        <w:t>Personnel questionnaires</w:t>
      </w:r>
    </w:p>
    <w:p>
      <w:pPr>
        <w:pStyle w:val="Normal"/>
        <w:numPr>
          <w:ilvl w:val="0"/>
          <w:numId w:val="5"/>
        </w:numPr>
        <w:tabs>
          <w:tab w:val="clear" w:pos="567"/>
          <w:tab w:val="left" w:pos="927" w:leader="none"/>
        </w:tabs>
        <w:ind w:hanging="360" w:left="927" w:right="0"/>
        <w:rPr/>
      </w:pPr>
      <w:r>
        <w:rPr/>
        <w:t>Balanced Score Cards</w:t>
      </w:r>
    </w:p>
    <w:p>
      <w:pPr>
        <w:pStyle w:val="Normal"/>
        <w:numPr>
          <w:ilvl w:val="0"/>
          <w:numId w:val="5"/>
        </w:numPr>
        <w:tabs>
          <w:tab w:val="clear" w:pos="567"/>
          <w:tab w:val="left" w:pos="927" w:leader="none"/>
        </w:tabs>
        <w:ind w:hanging="360" w:left="927" w:right="0"/>
        <w:rPr/>
      </w:pPr>
      <w:r>
        <w:rPr/>
      </w:r>
    </w:p>
    <w:p>
      <w:pPr>
        <w:pStyle w:val="Normal"/>
        <w:ind w:left="567" w:right="0"/>
        <w:rPr/>
      </w:pPr>
      <w:r>
        <w:rPr/>
        <w:t xml:space="preserve">The </w:t>
      </w:r>
      <w:r>
        <w:rPr>
          <w:b/>
        </w:rPr>
        <w:t>Quality Manager</w:t>
      </w:r>
      <w:r>
        <w:rPr/>
        <w:t xml:space="preserve"> shall record the review discussions and decisions arising there from and shall ensure the implementation of said decisions where they affect the system documentation. </w:t>
      </w:r>
    </w:p>
    <w:p>
      <w:pPr>
        <w:pStyle w:val="BodyTextIndent"/>
        <w:rPr/>
      </w:pPr>
      <w:r>
        <w:rPr/>
      </w:r>
    </w:p>
    <w:p>
      <w:pPr>
        <w:pStyle w:val="BodyTextIndent"/>
        <w:rPr/>
      </w:pPr>
      <w:r>
        <w:rPr/>
        <w:t xml:space="preserve">Within two weeks of the review meeting, the </w:t>
      </w:r>
      <w:r>
        <w:rPr>
          <w:b/>
        </w:rPr>
        <w:t>Quality Manager</w:t>
      </w:r>
      <w:r>
        <w:rPr/>
        <w:t xml:space="preserve"> shall issue a management system review report taking account of the meeting discussions and decisions and the previously distributed information. An overview of selected improvement projects/actions is included in the report. The report shall be approved by the </w:t>
      </w:r>
      <w:r>
        <w:rPr>
          <w:b/>
        </w:rPr>
        <w:t>Managing Director</w:t>
      </w:r>
      <w:r>
        <w:rPr/>
        <w:t xml:space="preserve"> responsible for the Quality Department prior to issue.</w:t>
      </w:r>
    </w:p>
    <w:p>
      <w:pPr>
        <w:pStyle w:val="BodyTextIndent"/>
        <w:rPr/>
      </w:pPr>
      <w:r>
        <w:rPr/>
      </w:r>
    </w:p>
    <w:p>
      <w:pPr>
        <w:pStyle w:val="Normal"/>
        <w:ind w:left="567" w:right="0"/>
        <w:rPr/>
      </w:pPr>
      <w:r>
        <w:rPr/>
        <w:t xml:space="preserve">Any system improvement proposals shall be taken forward by the </w:t>
      </w:r>
      <w:r>
        <w:rPr>
          <w:b/>
        </w:rPr>
        <w:t>Managing Director</w:t>
      </w:r>
      <w:r>
        <w:rPr/>
        <w:t xml:space="preserve"> responsible for the Quality Department for development and inclusion in SHANFARI TRADING AND FURNISHING CO. LLC’s </w:t>
      </w:r>
    </w:p>
    <w:p>
      <w:pPr>
        <w:pStyle w:val="Normal"/>
        <w:ind w:left="567" w:right="0"/>
        <w:rPr/>
      </w:pPr>
      <w:r>
        <w:rPr/>
        <w:t>OP/BSC and for action in Area/Department/individual OPs/BSCs. Where applicable, resources necessary for the implementation of the improvements shall be identified.</w:t>
      </w:r>
    </w:p>
    <w:p>
      <w:pPr>
        <w:pStyle w:val="Normal"/>
        <w:ind w:left="567" w:right="0"/>
        <w:rPr/>
      </w:pPr>
      <w:r>
        <w:rPr/>
      </w:r>
    </w:p>
    <w:p>
      <w:pPr>
        <w:pStyle w:val="Heading1"/>
        <w:rPr/>
      </w:pPr>
      <w:r>
        <w:rPr/>
        <w:t>Attached documentation</w:t>
      </w:r>
    </w:p>
    <w:p>
      <w:pPr>
        <w:pStyle w:val="Normal"/>
        <w:rPr/>
      </w:pPr>
      <w:r>
        <w:rPr/>
      </w:r>
    </w:p>
    <w:p>
      <w:pPr>
        <w:pStyle w:val="Normal"/>
        <w:ind w:left="567" w:right="0"/>
        <w:rPr/>
      </w:pPr>
      <w:r>
        <w:rPr/>
        <w:t>None.</w:t>
      </w:r>
    </w:p>
    <w:sectPr>
      <w:headerReference w:type="default" r:id="rId2"/>
      <w:footerReference w:type="default" r:id="rId3"/>
      <w:type w:val="nextPage"/>
      <w:pgSz w:w="11906" w:h="16838"/>
      <w:pgMar w:left="1985" w:right="1134" w:gutter="0" w:header="851" w:top="3119" w:footer="1067" w:bottom="153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ourier New">
    <w:charset w:val="00"/>
    <w:family w:val="modern"/>
    <w:pitch w:val="default"/>
  </w:font>
  <w:font w:name="Wingdings">
    <w:charset w:val="02"/>
    <w:family w:val="auto"/>
    <w:pitch w:val="variable"/>
  </w:font>
  <w:font w:name="Liberation Sans">
    <w:altName w:val="Arial"/>
    <w:charset w:val="00"/>
    <w:family w:val="swiss"/>
    <w:pitch w:val="variable"/>
  </w:font>
  <w:font w:name="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459" w:type="dxa"/>
      <w:tblLayout w:type="fixed"/>
      <w:tblCellMar>
        <w:top w:w="0" w:type="dxa"/>
        <w:left w:w="108" w:type="dxa"/>
        <w:bottom w:w="0" w:type="dxa"/>
        <w:right w:w="108" w:type="dxa"/>
      </w:tblCellMar>
    </w:tblPr>
    <w:tblGrid>
      <w:gridCol w:w="2835"/>
      <w:gridCol w:w="3969"/>
      <w:gridCol w:w="2835"/>
    </w:tblGrid>
    <w:tr>
      <w:trPr>
        <w:trHeight w:val="1701" w:hRule="exac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Header"/>
            <w:tabs>
              <w:tab w:val="clear" w:pos="4320"/>
              <w:tab w:val="clear" w:pos="8640"/>
            </w:tabs>
            <w:spacing w:before="280" w:after="0"/>
            <w:ind w:left="-108" w:right="0"/>
            <w:jc w:val="center"/>
            <w:rPr/>
          </w:pPr>
          <w:r>
            <w:rPr/>
            <w:drawing>
              <wp:inline distT="0" distB="0" distL="0" distR="0">
                <wp:extent cx="500000" cy="5000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1"/>
                        <a:srcRect l="-24" t="-132" r="-24" b="-132"/>
                        <a:stretch>
                          <a:fillRect/>
                        </a:stretch>
                      </pic:blipFill>
                      <pic:spPr bwMode="auto">
                        <a:xfrm>
                          <a:off x="0" y="0"/>
                          <a:ext cx="500000" cy="500000"/>
                        </a:xfrm>
                        <a:prstGeom prst="rect">
                          <a:avLst/>
                        </a:prstGeom>
                        <a:noFill/>
                      </pic:spPr>
                    </pic:pic>
                  </a:graphicData>
                </a:graphic>
              </wp:inline>
            </w:drawing>
          </w:r>
        </w:p>
        <w:p>
          <w:pPr>
            <w:pStyle w:val="Header"/>
            <w:tabs>
              <w:tab w:val="clear" w:pos="4320"/>
              <w:tab w:val="clear" w:pos="8640"/>
            </w:tabs>
            <w:rPr/>
          </w:pPr>
          <w:r>
            <w:rPr/>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before="120" w:after="0"/>
            <w:ind w:right="-62"/>
            <w:jc w:val="center"/>
            <w:rPr>
              <w:b/>
              <w:sz w:val="22"/>
            </w:rPr>
          </w:pPr>
          <w:r>
            <w:rPr>
              <w:b/>
              <w:sz w:val="22"/>
            </w:rPr>
            <w:t>COMPANY MANAGEMENT SYSTEM</w:t>
          </w:r>
        </w:p>
        <w:p>
          <w:pPr>
            <w:pStyle w:val="Normal"/>
            <w:spacing w:before="120" w:after="0"/>
            <w:ind w:right="-62"/>
            <w:jc w:val="center"/>
            <w:rPr>
              <w:b/>
              <w:sz w:val="22"/>
            </w:rPr>
          </w:pPr>
          <w:r>
            <w:rPr>
              <w:b/>
              <w:sz w:val="22"/>
            </w:rPr>
            <w:t>Part 1 – General</w:t>
          </w:r>
        </w:p>
        <w:p>
          <w:pPr>
            <w:pStyle w:val="Normal"/>
            <w:spacing w:before="120" w:after="0"/>
            <w:ind w:right="-62"/>
            <w:jc w:val="center"/>
            <w:rPr>
              <w:b/>
            </w:rPr>
          </w:pPr>
          <w:r>
            <w:rPr>
              <w:b/>
              <w:sz w:val="22"/>
            </w:rPr>
            <w:t>Procedure</w:t>
          </w:r>
        </w:p>
        <w:p>
          <w:pPr>
            <w:pStyle w:val="Normal"/>
            <w:spacing w:before="120" w:after="0"/>
            <w:ind w:left="-108" w:right="-62"/>
            <w:jc w:val="center"/>
            <w:rPr>
              <w:sz w:val="24"/>
            </w:rPr>
          </w:pPr>
          <w:r>
            <w:rPr>
              <w:sz w:val="24"/>
            </w:rPr>
            <w:t>Management review</w:t>
          </w:r>
        </w:p>
        <w:p>
          <w:pPr>
            <w:pStyle w:val="Header"/>
            <w:ind w:left="-108" w:right="0"/>
            <w:rPr>
              <w:sz w:val="24"/>
            </w:rPr>
          </w:pPr>
          <w:r>
            <w:rPr>
              <w:sz w:val="24"/>
            </w:rPr>
          </w:r>
        </w:p>
      </w:tc>
      <w:tc>
        <w:tcPr>
          <w:tcW w:w="2835" w:type="dxa"/>
          <w:tcBorders>
            <w:top w:val="single" w:sz="4" w:space="0" w:color="000000"/>
            <w:left w:val="single" w:sz="4" w:space="0" w:color="000000"/>
            <w:bottom w:val="single" w:sz="4" w:space="0" w:color="000000"/>
            <w:right w:val="single" w:sz="4" w:space="0" w:color="000000"/>
          </w:tcBorders>
        </w:tcPr>
        <w:p>
          <w:pPr>
            <w:pStyle w:val="Normal"/>
            <w:tabs>
              <w:tab w:val="clear" w:pos="567"/>
              <w:tab w:val="left" w:pos="993" w:leader="none"/>
              <w:tab w:val="left" w:pos="1134" w:leader="none"/>
            </w:tabs>
            <w:spacing w:before="80" w:after="0"/>
            <w:ind w:left="34" w:right="0"/>
            <w:jc w:val="both"/>
            <w:rPr/>
          </w:pPr>
          <w:r>
            <w:rPr/>
            <w:t>Doc. No.</w:t>
            <w:tab/>
            <w:t>:</w:t>
            <w:tab/>
          </w:r>
          <w:r>
            <w:rPr>
              <w:b/>
            </w:rPr>
            <w:t>QU-P-15</w:t>
          </w:r>
        </w:p>
        <w:p>
          <w:pPr>
            <w:pStyle w:val="Normal"/>
            <w:tabs>
              <w:tab w:val="clear" w:pos="567"/>
              <w:tab w:val="left" w:pos="993" w:leader="none"/>
              <w:tab w:val="left" w:pos="1134" w:leader="none"/>
            </w:tabs>
            <w:spacing w:before="80" w:after="0"/>
            <w:ind w:left="34" w:right="0"/>
            <w:jc w:val="both"/>
            <w:rPr/>
          </w:pPr>
          <w:r>
            <w:rPr/>
            <w:t>Rev.</w:t>
            <w:tab/>
            <w:t>:</w:t>
            <w:tab/>
            <w:t>07</w:t>
          </w:r>
        </w:p>
        <w:p>
          <w:pPr>
            <w:pStyle w:val="Normal"/>
            <w:tabs>
              <w:tab w:val="clear" w:pos="567"/>
              <w:tab w:val="left" w:pos="993" w:leader="none"/>
              <w:tab w:val="left" w:pos="1134" w:leader="none"/>
            </w:tabs>
            <w:spacing w:before="80" w:after="0"/>
            <w:ind w:left="34" w:right="0"/>
            <w:jc w:val="both"/>
            <w:rPr/>
          </w:pPr>
          <w:r>
            <w:rPr/>
            <w:t>Date</w:t>
            <w:tab/>
            <w:t>:</w:t>
            <w:tab/>
            <w:t>21 July 2006</w:t>
          </w:r>
        </w:p>
        <w:p>
          <w:pPr>
            <w:pStyle w:val="Normal"/>
            <w:tabs>
              <w:tab w:val="clear" w:pos="567"/>
              <w:tab w:val="left" w:pos="993" w:leader="none"/>
              <w:tab w:val="left" w:pos="1134" w:leader="none"/>
            </w:tabs>
            <w:spacing w:before="80" w:after="0"/>
            <w:ind w:left="34" w:right="0"/>
            <w:jc w:val="both"/>
            <w:rPr/>
          </w:pPr>
          <w:r>
            <w:rPr/>
            <w:t>Author</w:t>
            <w:tab/>
            <w:t>:</w:t>
            <w:tab/>
            <w:t>JBY</w:t>
          </w:r>
        </w:p>
        <w:p>
          <w:pPr>
            <w:pStyle w:val="Normal"/>
            <w:tabs>
              <w:tab w:val="clear" w:pos="567"/>
              <w:tab w:val="left" w:pos="993" w:leader="none"/>
              <w:tab w:val="left" w:pos="1134" w:leader="none"/>
            </w:tabs>
            <w:spacing w:before="80" w:after="0"/>
            <w:ind w:left="34" w:right="0"/>
            <w:jc w:val="both"/>
            <w:rPr/>
          </w:pPr>
          <w:r>
            <w:rPr/>
            <w:t>Page</w:t>
            <w:tab/>
            <w:t>:</w:t>
            <w:tab/>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r>
            <w:rPr>
              <w:rStyle w:val="PageNumber"/>
            </w:rPr>
            <w:t xml:space="preserve"> of </w:t>
          </w:r>
          <w:r>
            <w:rPr>
              <w:rStyle w:val="PageNumber"/>
            </w:rPr>
            <w:fldChar w:fldCharType="begin"/>
          </w:r>
          <w:r>
            <w:rPr>
              <w:rStyle w:val="PageNumber"/>
            </w:rPr>
            <w:instrText xml:space="preserve"> NUMPAGES \* ARABIC </w:instrText>
          </w:r>
          <w:r>
            <w:rPr>
              <w:rStyle w:val="PageNumber"/>
            </w:rPr>
            <w:fldChar w:fldCharType="separate"/>
          </w:r>
          <w:r>
            <w:rPr>
              <w:rStyle w:val="PageNumber"/>
            </w:rPr>
            <w:t>2</w:t>
          </w:r>
          <w:r>
            <w:rPr>
              <w:rStyle w:val="PageNumber"/>
            </w:rPr>
            <w:fldChar w:fldCharType="end"/>
          </w:r>
        </w:p>
      </w:tc>
    </w:tr>
  </w:tbl>
  <w:p>
    <w:pPr>
      <w:pStyle w:val="Normal"/>
      <w:rPr>
        <w:lang w:val="en-US" w:eastAsia="en-US"/>
      </w:rPr>
    </w:pPr>
    <w:r>
      <w:rPr>
        <w:lang w:val="en-US" w:eastAsia="en-US"/>
      </w:rPr>
      <mc:AlternateContent>
        <mc:Choice Requires="wpg">
          <w:drawing>
            <wp:anchor behindDoc="1" distT="0" distB="0" distL="114935" distR="114935" simplePos="0" locked="0" layoutInCell="1" allowOverlap="1" relativeHeight="5">
              <wp:simplePos x="0" y="0"/>
              <wp:positionH relativeFrom="column">
                <wp:posOffset>-379095</wp:posOffset>
              </wp:positionH>
              <wp:positionV relativeFrom="paragraph">
                <wp:posOffset>-1905</wp:posOffset>
              </wp:positionV>
              <wp:extent cx="6138545" cy="8214995"/>
              <wp:effectExtent l="5080" t="0" r="0" b="4445"/>
              <wp:wrapNone/>
              <wp:docPr id="2" name=""/>
              <a:graphic xmlns:a="http://schemas.openxmlformats.org/drawingml/2006/main">
                <a:graphicData uri="http://schemas.microsoft.com/office/word/2010/wordprocessingGroup">
                  <wpg:wgp>
                    <wpg:cNvGrpSpPr/>
                    <wpg:grpSpPr>
                      <a:xfrm>
                        <a:off x="0" y="0"/>
                        <a:ext cx="6138720" cy="8214840"/>
                        <a:chOff x="0" y="0"/>
                        <a:chExt cx="6138720" cy="8214840"/>
                      </a:xfrm>
                    </wpg:grpSpPr>
                    <wps:wsp>
                      <wps:cNvSpPr/>
                      <wps:spPr>
                        <a:xfrm>
                          <a:off x="0" y="0"/>
                          <a:ext cx="0" cy="8210520"/>
                        </a:xfrm>
                        <a:prstGeom prst="line">
                          <a:avLst/>
                        </a:prstGeom>
                        <a:ln w="9360">
                          <a:solidFill>
                            <a:srgbClr val="000000"/>
                          </a:solidFill>
                          <a:miter/>
                        </a:ln>
                      </wps:spPr>
                      <wps:style>
                        <a:lnRef idx="0"/>
                        <a:fillRef idx="0"/>
                        <a:effectRef idx="0"/>
                        <a:fontRef idx="minor"/>
                      </wps:style>
                      <wps:bodyPr/>
                    </wps:wsp>
                    <wps:wsp>
                      <wps:cNvSpPr/>
                      <wps:spPr>
                        <a:xfrm>
                          <a:off x="6129000" y="4320"/>
                          <a:ext cx="0" cy="8210520"/>
                        </a:xfrm>
                        <a:prstGeom prst="line">
                          <a:avLst/>
                        </a:prstGeom>
                        <a:ln w="9360">
                          <a:solidFill>
                            <a:srgbClr val="000000"/>
                          </a:solidFill>
                          <a:miter/>
                        </a:ln>
                      </wps:spPr>
                      <wps:style>
                        <a:lnRef idx="0"/>
                        <a:fillRef idx="0"/>
                        <a:effectRef idx="0"/>
                        <a:fontRef idx="minor"/>
                      </wps:style>
                      <wps:bodyPr/>
                    </wps:wsp>
                    <wps:wsp>
                      <wps:cNvSpPr/>
                      <wps:spPr>
                        <a:xfrm>
                          <a:off x="14040" y="8214480"/>
                          <a:ext cx="6124680" cy="0"/>
                        </a:xfrm>
                        <a:prstGeom prst="line">
                          <a:avLst/>
                        </a:prstGeom>
                        <a:ln w="9360">
                          <a:solidFill>
                            <a:srgbClr val="000000"/>
                          </a:solidFill>
                          <a:miter/>
                        </a:ln>
                      </wps:spPr>
                      <wps:style>
                        <a:lnRef idx="0"/>
                        <a:fillRef idx="0"/>
                        <a:effectRef idx="0"/>
                        <a:fontRef idx="minor"/>
                      </wps:style>
                      <wps:bodyPr/>
                    </wps:wsp>
                  </wpg:wgp>
                </a:graphicData>
              </a:graphic>
            </wp:anchor>
          </w:drawing>
        </mc:Choice>
        <mc:Fallback>
          <w:pict>
            <v:group id="shape_0" style="position:absolute;margin-left:-29.85pt;margin-top:-0.15pt;width:483.3pt;height:646.8pt" coordorigin="-597,-3" coordsize="9666,12936">
              <v:line id="shape_0" from="-597,-3" to="-597,12926" stroked="t" o:allowincell="f" style="position:absolute">
                <v:stroke color="black" weight="9360" joinstyle="miter" endcap="flat"/>
                <v:fill o:detectmouseclick="t" on="false"/>
                <w10:wrap type="none"/>
              </v:line>
              <v:line id="shape_0" from="9055,4" to="9055,12933" stroked="t" o:allowincell="f" style="position:absolute">
                <v:stroke color="black" weight="9360" joinstyle="miter" endcap="flat"/>
                <v:fill o:detectmouseclick="t" on="false"/>
                <w10:wrap type="none"/>
              </v:line>
              <v:line id="shape_0" from="-575,12933" to="9069,12933" stroked="t" o:allowincell="f" style="position:absolute">
                <v:stroke color="black" weight="9360" joinstyle="miter" endcap="flat"/>
                <v:fill o:detectmouseclick="t" on="false"/>
                <w10:wrap type="none"/>
              </v:line>
            </v:group>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1134"/>
        </w:tabs>
        <w:ind w:left="1134" w:hanging="1134"/>
      </w:pPr>
      <w:rPr>
        <w:u w:val="none"/>
      </w:rPr>
    </w:lvl>
    <w:lvl w:ilvl="1">
      <w:start w:val="1"/>
      <w:pStyle w:val="Heading2"/>
      <w:numFmt w:val="decimal"/>
      <w:lvlText w:val="%1.%2"/>
      <w:lvlJc w:val="left"/>
      <w:pPr>
        <w:tabs>
          <w:tab w:val="num" w:pos="1134"/>
        </w:tabs>
        <w:ind w:left="1134" w:hanging="1134"/>
      </w:pPr>
      <w:rPr>
        <w:u w:val="none"/>
      </w:rPr>
    </w:lvl>
    <w:lvl w:ilvl="2">
      <w:start w:val="1"/>
      <w:pStyle w:val="Heading3"/>
      <w:numFmt w:val="decimal"/>
      <w:lvlText w:val="%1.%2.%3"/>
      <w:lvlJc w:val="left"/>
      <w:pPr>
        <w:tabs>
          <w:tab w:val="num" w:pos="1134"/>
        </w:tabs>
        <w:ind w:left="1134" w:hanging="1134"/>
      </w:pPr>
      <w:rPr>
        <w:u w:val="none"/>
      </w:rPr>
    </w:lvl>
    <w:lvl w:ilvl="3">
      <w:start w:val="1"/>
      <w:pStyle w:val="Heading4"/>
      <w:numFmt w:val="decimal"/>
      <w:lvlText w:val="%1.%2.%3.%4"/>
      <w:lvlJc w:val="left"/>
      <w:pPr>
        <w:tabs>
          <w:tab w:val="num" w:pos="1134"/>
        </w:tabs>
        <w:ind w:left="1134" w:hanging="1134"/>
      </w:pPr>
      <w:rPr>
        <w:u w:val="none"/>
      </w:rPr>
    </w:lvl>
    <w:lvl w:ilvl="4">
      <w:start w:val="1"/>
      <w:pStyle w:val="Heading5"/>
      <w:numFmt w:val="decimal"/>
      <w:lvlText w:val="%1.%2.%3.%4.%5"/>
      <w:lvlJc w:val="left"/>
      <w:pPr>
        <w:tabs>
          <w:tab w:val="num" w:pos="1134"/>
        </w:tabs>
        <w:ind w:left="1134" w:hanging="1134"/>
      </w:pPr>
    </w:lvl>
    <w:lvl w:ilvl="5">
      <w:start w:val="1"/>
      <w:pStyle w:val="Heading6"/>
      <w:numFmt w:val="decimal"/>
      <w:lvlText w:val="%1.%2.%3.%4.%5.%6"/>
      <w:lvlJc w:val="left"/>
      <w:pPr>
        <w:tabs>
          <w:tab w:val="num" w:pos="1134"/>
        </w:tabs>
        <w:ind w:left="1134" w:hanging="1134"/>
      </w:pPr>
    </w:lvl>
    <w:lvl w:ilvl="6">
      <w:start w:val="1"/>
      <w:pStyle w:val="Heading7"/>
      <w:numFmt w:val="decimal"/>
      <w:lvlText w:val="%1.%2.%3.%4.%5.%6.%7"/>
      <w:lvlJc w:val="left"/>
      <w:pPr>
        <w:tabs>
          <w:tab w:val="num" w:pos="1418"/>
        </w:tabs>
        <w:ind w:left="1418" w:hanging="1418"/>
      </w:pPr>
    </w:lvl>
    <w:lvl w:ilvl="7">
      <w:start w:val="1"/>
      <w:pStyle w:val="Heading8"/>
      <w:numFmt w:val="decimal"/>
      <w:lvlText w:val="%1.%2.%3.%4.%5.%6.%7.%8"/>
      <w:lvlJc w:val="left"/>
      <w:pPr>
        <w:tabs>
          <w:tab w:val="num" w:pos="1701"/>
        </w:tabs>
        <w:ind w:left="1701" w:hanging="1701"/>
      </w:pPr>
    </w:lvl>
    <w:lvl w:ilvl="8">
      <w:start w:val="1"/>
      <w:pStyle w:val="Heading9"/>
      <w:numFmt w:val="decimal"/>
      <w:lvlText w:val="%1.%2.%3.%4.%5.%6.%7.%8.%9"/>
      <w:lvlJc w:val="left"/>
      <w:pPr>
        <w:tabs>
          <w:tab w:val="num" w:pos="1800"/>
        </w:tabs>
        <w:ind w:left="1701" w:hanging="1701"/>
      </w:pPr>
    </w:lvl>
  </w:abstractNum>
  <w:abstractNum w:abstractNumId="2">
    <w:lvl w:ilvl="0">
      <w:start w:val="1"/>
      <w:numFmt w:val="bullet"/>
      <w:lvlText w:val=""/>
      <w:lvlJc w:val="left"/>
      <w:pPr>
        <w:tabs>
          <w:tab w:val="num" w:pos="360"/>
        </w:tabs>
        <w:ind w:left="360" w:hanging="360"/>
      </w:pPr>
      <w:rPr>
        <w:rFonts w:ascii="Symbol" w:hAnsi="Symbol" w:cs="Symbol" w:hint="default"/>
      </w:rPr>
    </w:lvl>
  </w:abstractNum>
  <w:abstractNum w:abstractNumId="3">
    <w:lvl w:ilvl="0">
      <w:start w:val="1"/>
      <w:numFmt w:val="bullet"/>
      <w:lvlText w:val=""/>
      <w:lvlJc w:val="left"/>
      <w:pPr>
        <w:tabs>
          <w:tab w:val="num" w:pos="927"/>
        </w:tabs>
        <w:ind w:left="927" w:hanging="360"/>
      </w:pPr>
      <w:rPr>
        <w:rFonts w:ascii="Symbol" w:hAnsi="Symbol" w:cs="Symbol" w:hint="default"/>
        <w:color w:val="000000"/>
      </w:rPr>
    </w:lvl>
  </w:abstractNum>
  <w:abstractNum w:abstractNumId="4">
    <w:lvl w:ilvl="0">
      <w:start w:val="1"/>
      <w:numFmt w:val="bullet"/>
      <w:lvlText w:val=""/>
      <w:lvlJc w:val="left"/>
      <w:pPr>
        <w:tabs>
          <w:tab w:val="num" w:pos="360"/>
        </w:tabs>
        <w:ind w:left="360" w:hanging="360"/>
      </w:pPr>
      <w:rPr>
        <w:rFonts w:ascii="Symbol" w:hAnsi="Symbol" w:cs="Symbol" w:hint="default"/>
      </w:rPr>
    </w:lvl>
  </w:abstractNum>
  <w:abstractNum w:abstractNumId="5">
    <w:lvl w:ilvl="0">
      <w:start w:val="1"/>
      <w:numFmt w:val="bullet"/>
      <w:lvlText w:val=""/>
      <w:lvlJc w:val="left"/>
      <w:pPr>
        <w:tabs>
          <w:tab w:val="num" w:pos="360"/>
        </w:tabs>
        <w:ind w:left="360" w:hanging="360"/>
      </w:pPr>
      <w:rPr>
        <w:rFonts w:ascii="Symbol" w:hAnsi="Symbol" w:cs="Symbol" w:hint="default"/>
      </w:rPr>
    </w:lvl>
  </w:abstractNum>
  <w:abstractNum w:abstractNumId="6">
    <w:lvl w:ilvl="0">
      <w:start w:val="1"/>
      <w:numFmt w:val="bullet"/>
      <w:lvlText w:val=""/>
      <w:lvlJc w:val="left"/>
      <w:pPr>
        <w:tabs>
          <w:tab w:val="num" w:pos="360"/>
        </w:tabs>
        <w:ind w:lef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567"/>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Arial" w:hAnsi="Arial" w:eastAsia="Times New Roman" w:cs="Arial"/>
      <w:color w:val="auto"/>
      <w:sz w:val="20"/>
      <w:szCs w:val="20"/>
      <w:lang w:val="en-GB" w:bidi="ar-SA" w:eastAsia="zh-CN"/>
    </w:rPr>
  </w:style>
  <w:style w:type="paragraph" w:styleId="Heading1">
    <w:name w:val="heading 1"/>
    <w:basedOn w:val="Normal"/>
    <w:next w:val="Normal"/>
    <w:qFormat/>
    <w:pPr>
      <w:numPr>
        <w:ilvl w:val="0"/>
        <w:numId w:val="1"/>
      </w:numPr>
      <w:tabs>
        <w:tab w:val="clear" w:pos="567"/>
      </w:tabs>
      <w:ind w:hanging="567" w:left="567" w:right="0"/>
      <w:outlineLvl w:val="0"/>
    </w:pPr>
    <w:rPr>
      <w:b/>
      <w:sz w:val="24"/>
    </w:rPr>
  </w:style>
  <w:style w:type="paragraph" w:styleId="Heading2">
    <w:name w:val="heading 2"/>
    <w:basedOn w:val="Normal"/>
    <w:next w:val="Normal"/>
    <w:qFormat/>
    <w:pPr>
      <w:numPr>
        <w:ilvl w:val="1"/>
        <w:numId w:val="1"/>
      </w:numPr>
      <w:tabs>
        <w:tab w:val="clear" w:pos="567"/>
      </w:tabs>
      <w:ind w:hanging="567" w:left="567" w:right="0"/>
      <w:outlineLvl w:val="1"/>
    </w:pPr>
    <w:rPr>
      <w:b/>
    </w:rPr>
  </w:style>
  <w:style w:type="paragraph" w:styleId="Heading3">
    <w:name w:val="heading 3"/>
    <w:basedOn w:val="Normal"/>
    <w:next w:val="Normal"/>
    <w:qFormat/>
    <w:pPr>
      <w:numPr>
        <w:ilvl w:val="2"/>
        <w:numId w:val="1"/>
      </w:numPr>
      <w:tabs>
        <w:tab w:val="clear" w:pos="567"/>
      </w:tabs>
      <w:ind w:hanging="567" w:left="567" w:right="0"/>
      <w:outlineLvl w:val="2"/>
    </w:pPr>
    <w:rPr>
      <w:b/>
    </w:rPr>
  </w:style>
  <w:style w:type="paragraph" w:styleId="Heading4">
    <w:name w:val="heading 4"/>
    <w:basedOn w:val="Normal"/>
    <w:next w:val="Normal"/>
    <w:qFormat/>
    <w:pPr>
      <w:keepNext w:val="true"/>
      <w:numPr>
        <w:ilvl w:val="3"/>
        <w:numId w:val="1"/>
      </w:numPr>
      <w:outlineLvl w:val="3"/>
    </w:pPr>
    <w:rPr>
      <w:b/>
    </w:rPr>
  </w:style>
  <w:style w:type="paragraph" w:styleId="Heading5">
    <w:name w:val="heading 5"/>
    <w:basedOn w:val="Normal"/>
    <w:next w:val="Normal"/>
    <w:qFormat/>
    <w:pPr>
      <w:numPr>
        <w:ilvl w:val="4"/>
        <w:numId w:val="1"/>
      </w:numPr>
      <w:outlineLvl w:val="4"/>
    </w:pPr>
    <w:rPr>
      <w:b/>
    </w:rPr>
  </w:style>
  <w:style w:type="paragraph" w:styleId="Heading6">
    <w:name w:val="heading 6"/>
    <w:basedOn w:val="Normal"/>
    <w:next w:val="Normal"/>
    <w:qFormat/>
    <w:pPr>
      <w:numPr>
        <w:ilvl w:val="5"/>
        <w:numId w:val="1"/>
      </w:numPr>
      <w:outlineLvl w:val="5"/>
    </w:pPr>
    <w:rPr>
      <w:b/>
    </w:rPr>
  </w:style>
  <w:style w:type="paragraph" w:styleId="Heading7">
    <w:name w:val="heading 7"/>
    <w:basedOn w:val="Normal"/>
    <w:next w:val="Normal"/>
    <w:qFormat/>
    <w:pPr>
      <w:numPr>
        <w:ilvl w:val="6"/>
        <w:numId w:val="1"/>
      </w:numPr>
      <w:outlineLvl w:val="6"/>
    </w:pPr>
    <w:rPr>
      <w:b/>
    </w:rPr>
  </w:style>
  <w:style w:type="paragraph" w:styleId="Heading8">
    <w:name w:val="heading 8"/>
    <w:basedOn w:val="Normal"/>
    <w:next w:val="Normal"/>
    <w:qFormat/>
    <w:pPr>
      <w:numPr>
        <w:ilvl w:val="7"/>
        <w:numId w:val="1"/>
      </w:numPr>
      <w:outlineLvl w:val="7"/>
    </w:pPr>
    <w:rPr>
      <w:b/>
    </w:rPr>
  </w:style>
  <w:style w:type="paragraph" w:styleId="Heading9">
    <w:name w:val="heading 9"/>
    <w:basedOn w:val="Normal"/>
    <w:next w:val="Normal"/>
    <w:qFormat/>
    <w:pPr>
      <w:numPr>
        <w:ilvl w:val="8"/>
        <w:numId w:val="1"/>
      </w:numPr>
      <w:outlineLvl w:val="8"/>
    </w:pPr>
    <w:rPr>
      <w:b/>
    </w:rPr>
  </w:style>
  <w:style w:type="character" w:styleId="WW8Num1z0">
    <w:name w:val="WW8Num1z0"/>
    <w:qFormat/>
    <w:rPr>
      <w:u w:val="none"/>
    </w:rPr>
  </w:style>
  <w:style w:type="character" w:styleId="WW8Num2z0">
    <w:name w:val="WW8Num2z0"/>
    <w:qFormat/>
    <w:rPr>
      <w:rFonts w:ascii="Symbol" w:hAnsi="Symbol" w:cs="Symbol"/>
    </w:rPr>
  </w:style>
  <w:style w:type="character" w:styleId="WW8Num3z0">
    <w:name w:val="WW8Num3z0"/>
    <w:qFormat/>
    <w:rPr>
      <w:rFonts w:ascii="Times New Roman" w:hAnsi="Times New Roman" w:cs="Times New Roman"/>
    </w:rPr>
  </w:style>
  <w:style w:type="character" w:styleId="WW8Num4z0">
    <w:name w:val="WW8Num4z0"/>
    <w:qFormat/>
    <w:rPr>
      <w:rFonts w:ascii="Symbol" w:hAnsi="Symbol" w:cs="Symbol"/>
    </w:rPr>
  </w:style>
  <w:style w:type="character" w:styleId="WW8Num5z0">
    <w:name w:val="WW8Num5z0"/>
    <w:qFormat/>
    <w:rPr>
      <w:rFonts w:ascii="Symbol" w:hAnsi="Symbol" w:cs="Symbol"/>
      <w:color w:val="000000"/>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320" w:leader="none"/>
        <w:tab w:val="right" w:pos="8640" w:leader="none"/>
      </w:tabs>
    </w:pPr>
    <w:rPr/>
  </w:style>
  <w:style w:type="paragraph" w:styleId="Footer">
    <w:name w:val="footer"/>
    <w:basedOn w:val="Normal"/>
    <w:pPr>
      <w:tabs>
        <w:tab w:val="clear" w:pos="567"/>
        <w:tab w:val="center" w:pos="4320" w:leader="none"/>
        <w:tab w:val="right" w:pos="8640" w:leader="none"/>
      </w:tabs>
    </w:pPr>
    <w:rPr/>
  </w:style>
  <w:style w:type="paragraph" w:styleId="TOC2">
    <w:name w:val="toc 2"/>
    <w:basedOn w:val="Normal"/>
    <w:next w:val="Normal"/>
    <w:pPr>
      <w:tabs>
        <w:tab w:val="clear" w:pos="567"/>
        <w:tab w:val="left" w:pos="1134" w:leader="none"/>
        <w:tab w:val="right" w:pos="8505" w:leader="dot"/>
      </w:tabs>
    </w:pPr>
    <w:rPr>
      <w:caps/>
    </w:rPr>
  </w:style>
  <w:style w:type="paragraph" w:styleId="TOC1">
    <w:name w:val="toc 1"/>
    <w:basedOn w:val="Normal"/>
    <w:next w:val="Normal"/>
    <w:pPr>
      <w:tabs>
        <w:tab w:val="clear" w:pos="567"/>
        <w:tab w:val="left" w:pos="1134" w:leader="none"/>
        <w:tab w:val="right" w:pos="8505" w:leader="dot"/>
      </w:tabs>
    </w:pPr>
    <w:rPr>
      <w:caps/>
    </w:rPr>
  </w:style>
  <w:style w:type="paragraph" w:styleId="TOC3">
    <w:name w:val="toc 3"/>
    <w:basedOn w:val="Normal"/>
    <w:next w:val="Normal"/>
    <w:pPr>
      <w:tabs>
        <w:tab w:val="clear" w:pos="567"/>
        <w:tab w:val="left" w:pos="1134" w:leader="none"/>
        <w:tab w:val="right" w:pos="8505" w:leader="dot"/>
      </w:tabs>
    </w:pPr>
    <w:rPr/>
  </w:style>
  <w:style w:type="paragraph" w:styleId="TOC4">
    <w:name w:val="toc 4"/>
    <w:basedOn w:val="Normal"/>
    <w:next w:val="Normal"/>
    <w:pPr>
      <w:tabs>
        <w:tab w:val="clear" w:pos="567"/>
        <w:tab w:val="left" w:pos="1134" w:leader="none"/>
        <w:tab w:val="right" w:pos="8505" w:leader="dot"/>
      </w:tabs>
    </w:pPr>
    <w:rPr/>
  </w:style>
  <w:style w:type="paragraph" w:styleId="TOC5">
    <w:name w:val="toc 5"/>
    <w:basedOn w:val="Normal"/>
    <w:next w:val="Normal"/>
    <w:pPr>
      <w:tabs>
        <w:tab w:val="clear" w:pos="567"/>
        <w:tab w:val="left" w:pos="1134" w:leader="none"/>
        <w:tab w:val="right" w:pos="8505" w:leader="dot"/>
      </w:tabs>
    </w:pPr>
    <w:rPr/>
  </w:style>
  <w:style w:type="paragraph" w:styleId="TOC6">
    <w:name w:val="toc 6"/>
    <w:basedOn w:val="Normal"/>
    <w:next w:val="Normal"/>
    <w:pPr>
      <w:tabs>
        <w:tab w:val="clear" w:pos="567"/>
        <w:tab w:val="left" w:pos="1134" w:leader="none"/>
        <w:tab w:val="right" w:pos="8505" w:leader="dot"/>
      </w:tabs>
    </w:pPr>
    <w:rPr/>
  </w:style>
  <w:style w:type="paragraph" w:styleId="TOC7">
    <w:name w:val="toc 7"/>
    <w:basedOn w:val="Normal"/>
    <w:next w:val="Normal"/>
    <w:pPr>
      <w:tabs>
        <w:tab w:val="clear" w:pos="567"/>
        <w:tab w:val="left" w:pos="1418" w:leader="none"/>
        <w:tab w:val="right" w:pos="8505" w:leader="dot"/>
      </w:tabs>
    </w:pPr>
    <w:rPr/>
  </w:style>
  <w:style w:type="paragraph" w:styleId="TOC8">
    <w:name w:val="toc 8"/>
    <w:basedOn w:val="Normal"/>
    <w:next w:val="Normal"/>
    <w:pPr>
      <w:tabs>
        <w:tab w:val="clear" w:pos="567"/>
        <w:tab w:val="left" w:pos="1701" w:leader="none"/>
        <w:tab w:val="right" w:pos="8505" w:leader="dot"/>
      </w:tabs>
    </w:pPr>
    <w:rPr/>
  </w:style>
  <w:style w:type="paragraph" w:styleId="TOC9">
    <w:name w:val="toc 9"/>
    <w:basedOn w:val="Normal"/>
    <w:next w:val="Normal"/>
    <w:pPr>
      <w:tabs>
        <w:tab w:val="clear" w:pos="567"/>
        <w:tab w:val="left" w:pos="1985" w:leader="none"/>
        <w:tab w:val="right" w:pos="8505" w:leader="dot"/>
      </w:tabs>
    </w:pPr>
    <w:rPr/>
  </w:style>
  <w:style w:type="paragraph" w:styleId="BodyTextIndent">
    <w:name w:val="Body Text Indent"/>
    <w:basedOn w:val="Normal"/>
    <w:pPr>
      <w:ind w:hanging="0" w:left="567" w:right="0"/>
    </w:pPr>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2006-11-19T11:18:00Z</dcterms:created>
  <dc:creator>rstalfoo</dc:creator>
  <dc:description/>
  <dc:language>en-US</dc:language>
  <cp:lastModifiedBy>jdubke</cp:lastModifiedBy>
  <cp:lastPrinted>2003-05-19T15:30:00Z</cp:lastPrinted>
  <dcterms:modified xsi:type="dcterms:W3CDTF">2006-11-19T11:18:00Z</dcterms:modified>
  <cp:revision>4</cp:revision>
  <dc:subject/>
  <dc:title>Part 1 General Procedure Management Review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roved">
    <vt:lpwstr/>
  </property>
  <property fmtid="{D5CDD505-2E9C-101B-9397-08002B2CF9AE}" pid="3" name="Author0">
    <vt:lpwstr>JBY</vt:lpwstr>
  </property>
  <property fmtid="{D5CDD505-2E9C-101B-9397-08002B2CF9AE}" pid="4" name="Date">
    <vt:lpwstr>21 Jul 06</vt:lpwstr>
  </property>
  <property fmtid="{D5CDD505-2E9C-101B-9397-08002B2CF9AE}" pid="5" name="Department">
    <vt:lpwstr>QA/QC</vt:lpwstr>
  </property>
  <property fmtid="{D5CDD505-2E9C-101B-9397-08002B2CF9AE}" pid="6" name="Dept">
    <vt:lpwstr/>
  </property>
  <property fmtid="{D5CDD505-2E9C-101B-9397-08002B2CF9AE}" pid="7" name="Doc Owner">
    <vt:lpwstr>QA/QC</vt:lpwstr>
  </property>
  <property fmtid="{D5CDD505-2E9C-101B-9397-08002B2CF9AE}" pid="8" name="Doc type">
    <vt:lpwstr>Procedure</vt:lpwstr>
  </property>
  <property fmtid="{D5CDD505-2E9C-101B-9397-08002B2CF9AE}" pid="9" name="Document ID">
    <vt:lpwstr>QU-P-15</vt:lpwstr>
  </property>
  <property fmtid="{D5CDD505-2E9C-101B-9397-08002B2CF9AE}" pid="10" name="Gen">
    <vt:lpwstr>Gen</vt:lpwstr>
  </property>
  <property fmtid="{D5CDD505-2E9C-101B-9397-08002B2CF9AE}" pid="11" name="LAS">
    <vt:lpwstr/>
  </property>
  <property fmtid="{D5CDD505-2E9C-101B-9397-08002B2CF9AE}" pid="12" name="Last changed at">
    <vt:lpwstr>21 July 2006</vt:lpwstr>
  </property>
  <property fmtid="{D5CDD505-2E9C-101B-9397-08002B2CF9AE}" pid="13" name="Last rev">
    <vt:lpwstr>07</vt:lpwstr>
  </property>
  <property fmtid="{D5CDD505-2E9C-101B-9397-08002B2CF9AE}" pid="14" name="MBD">
    <vt:lpwstr/>
  </property>
  <property fmtid="{D5CDD505-2E9C-101B-9397-08002B2CF9AE}" pid="15" name="Memo">
    <vt:lpwstr/>
  </property>
  <property fmtid="{D5CDD505-2E9C-101B-9397-08002B2CF9AE}" pid="16" name="Order">
    <vt:lpwstr>31900.0000000000</vt:lpwstr>
  </property>
  <property fmtid="{D5CDD505-2E9C-101B-9397-08002B2CF9AE}" pid="17" name="Status">
    <vt:lpwstr/>
  </property>
  <property fmtid="{D5CDD505-2E9C-101B-9397-08002B2CF9AE}" pid="18" name="TN">
    <vt:lpwstr/>
  </property>
  <property fmtid="{D5CDD505-2E9C-101B-9397-08002B2CF9AE}" pid="19" name="WE">
    <vt:lpwstr/>
  </property>
  <property fmtid="{D5CDD505-2E9C-101B-9397-08002B2CF9AE}" pid="20" name="WP">
    <vt:lpwstr/>
  </property>
  <property fmtid="{D5CDD505-2E9C-101B-9397-08002B2CF9AE}" pid="21" name="id Employee">
    <vt:lpwstr/>
  </property>
</Properties>
</file>