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header2.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embeddings/oleObject1.bin" ContentType="application/vnd.openxmlformats-officedocument.oleObject"/>
  <Override PartName="/word/media/image1.jpeg" ContentType="image/jpeg"/>
  <Override PartName="/{pngname}" ContentType="image/png"/>
  <Override PartName="/word/footer1.xml" ContentType="application/vnd.openxmlformats-officedocument.wordprocessingml.footer+xml"/>
  <Override PartName="/word/_rels/header1.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comments.xml" ContentType="application/vnd.openxmlformats-officedocument.wordprocessingml.comments+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72" w:type="dxa"/>
        <w:jc w:val="left"/>
        <w:tblInd w:w="0" w:type="dxa"/>
        <w:tblLayout w:type="fixed"/>
        <w:tblCellMar>
          <w:top w:w="0" w:type="dxa"/>
          <w:left w:w="107" w:type="dxa"/>
          <w:bottom w:w="0" w:type="dxa"/>
          <w:right w:w="107" w:type="dxa"/>
        </w:tblCellMar>
      </w:tblPr>
      <w:tblGrid>
        <w:gridCol w:w="1247"/>
        <w:gridCol w:w="1247"/>
        <w:gridCol w:w="1247"/>
        <w:gridCol w:w="3029"/>
        <w:gridCol w:w="1088"/>
        <w:gridCol w:w="1247"/>
        <w:gridCol w:w="1067"/>
      </w:tblGrid>
      <w:tr>
        <w:trPr>
          <w:trHeight w:val="4675" w:hRule="exact"/>
        </w:trPr>
        <w:tc>
          <w:tcPr>
            <w:tcW w:w="10172" w:type="dxa"/>
            <w:gridSpan w:val="7"/>
            <w:tcBorders>
              <w:top w:val="single" w:sz="4" w:space="0" w:color="000000"/>
              <w:left w:val="single" w:sz="4" w:space="0" w:color="000000"/>
              <w:right w:val="single" w:sz="4" w:space="0" w:color="000000"/>
            </w:tcBorders>
          </w:tcPr>
          <w:p>
            <w:pPr>
              <w:pStyle w:val="Normal"/>
              <w:snapToGrid w:val="false"/>
              <w:spacing w:before="60" w:after="0"/>
              <w:rPr/>
            </w:pPr>
            <w:r>
              <w:rPr/>
            </w:r>
          </w:p>
          <w:p>
            <w:pPr>
              <w:pStyle w:val="Normal"/>
              <w:spacing w:before="60" w:after="0"/>
              <w:rPr/>
            </w:pPr>
            <w:r>
              <w:rPr/>
            </w:r>
          </w:p>
          <w:p>
            <w:pPr>
              <w:pStyle w:val="Normal"/>
              <w:spacing w:before="60" w:after="0"/>
              <w:rPr/>
            </w:pPr>
            <w:r>
              <w:rPr/>
            </w:r>
          </w:p>
          <w:p>
            <w:pPr>
              <w:pStyle w:val="Normal"/>
              <w:spacing w:before="60" w:after="0"/>
              <w:ind w:left="4536" w:right="0"/>
              <w:rPr/>
            </w:pPr>
            <w:r>
              <w:rPr/>
            </w:r>
          </w:p>
          <w:p>
            <w:pPr>
              <w:pStyle w:val="Normal"/>
              <w:spacing w:before="60" w:after="0"/>
              <w:rPr/>
            </w:pPr>
            <w:r>
              <w:rPr/>
            </w:r>
          </w:p>
          <w:p>
            <w:pPr>
              <w:pStyle w:val="Normal"/>
              <w:spacing w:before="60" w:after="0"/>
              <w:rPr/>
            </w:pPr>
            <w:r>
              <w:rPr/>
            </w:r>
          </w:p>
          <w:p>
            <w:pPr>
              <w:pStyle w:val="Normal"/>
              <w:spacing w:before="60" w:after="0"/>
              <w:rPr/>
            </w:pPr>
            <w:r>
              <w:rPr/>
            </w:r>
          </w:p>
          <w:p>
            <w:pPr>
              <w:pStyle w:val="Normal"/>
              <w:tabs>
                <w:tab w:val="clear" w:pos="567"/>
                <w:tab w:val="left" w:pos="-709" w:leader="none"/>
              </w:tabs>
              <w:spacing w:before="60" w:after="0"/>
              <w:jc w:val="center"/>
              <w:rPr>
                <w:b/>
                <w:sz w:val="28"/>
              </w:rPr>
            </w:pPr>
            <w:r>
              <w:rPr>
                <w:b/>
                <w:sz w:val="28"/>
              </w:rPr>
            </w:r>
          </w:p>
          <w:p>
            <w:pPr>
              <w:pStyle w:val="Normal"/>
              <w:tabs>
                <w:tab w:val="clear" w:pos="567"/>
                <w:tab w:val="left" w:pos="-709" w:leader="none"/>
              </w:tabs>
              <w:spacing w:before="60" w:after="0"/>
              <w:jc w:val="center"/>
              <w:rPr>
                <w:b/>
                <w:sz w:val="28"/>
              </w:rPr>
            </w:pPr>
            <w:r>
              <w:rPr>
                <w:b/>
                <w:sz w:val="28"/>
              </w:rPr>
            </w:r>
          </w:p>
          <w:p>
            <w:pPr>
              <w:pStyle w:val="Normal"/>
              <w:tabs>
                <w:tab w:val="clear" w:pos="567"/>
                <w:tab w:val="left" w:pos="-709" w:leader="none"/>
              </w:tabs>
              <w:spacing w:before="60" w:after="0"/>
              <w:jc w:val="center"/>
              <w:rPr>
                <w:b/>
                <w:sz w:val="32"/>
                <w:szCs w:val="32"/>
              </w:rPr>
            </w:pPr>
            <w:r>
              <w:rPr>
                <w:b/>
                <w:sz w:val="32"/>
                <w:szCs w:val="32"/>
              </w:rPr>
              <w:t>Corporate Social Responsibility Policy Document</w:t>
            </w:r>
          </w:p>
          <w:p>
            <w:pPr>
              <w:pStyle w:val="Normal"/>
              <w:tabs>
                <w:tab w:val="clear" w:pos="567"/>
                <w:tab w:val="left" w:pos="-709" w:leader="none"/>
              </w:tabs>
              <w:spacing w:before="60" w:after="0"/>
              <w:jc w:val="center"/>
              <w:rPr>
                <w:b/>
                <w:sz w:val="28"/>
                <w:szCs w:val="32"/>
              </w:rPr>
            </w:pPr>
            <w:r>
              <w:rPr>
                <w:b/>
                <w:sz w:val="28"/>
                <w:szCs w:val="32"/>
              </w:rPr>
            </w:r>
          </w:p>
          <w:p>
            <w:pPr>
              <w:pStyle w:val="Normal"/>
              <w:tabs>
                <w:tab w:val="clear" w:pos="567"/>
                <w:tab w:val="left" w:pos="-709" w:leader="none"/>
              </w:tabs>
              <w:spacing w:before="60" w:after="0"/>
              <w:jc w:val="center"/>
              <w:rPr>
                <w:b/>
                <w:sz w:val="28"/>
              </w:rPr>
            </w:pPr>
            <w:r>
              <w:rPr>
                <w:b/>
                <w:sz w:val="28"/>
              </w:rPr>
            </w:r>
          </w:p>
          <w:p>
            <w:pPr>
              <w:pStyle w:val="Normal"/>
              <w:tabs>
                <w:tab w:val="clear" w:pos="567"/>
                <w:tab w:val="left" w:pos="-709" w:leader="none"/>
              </w:tabs>
              <w:spacing w:before="60" w:after="0"/>
              <w:jc w:val="center"/>
              <w:rPr>
                <w:b/>
                <w:sz w:val="28"/>
              </w:rPr>
            </w:pPr>
            <w:r>
              <w:rPr>
                <w:b/>
                <w:sz w:val="28"/>
              </w:rPr>
            </w:r>
          </w:p>
          <w:p>
            <w:pPr>
              <w:pStyle w:val="Normal"/>
              <w:tabs>
                <w:tab w:val="clear" w:pos="567"/>
                <w:tab w:val="left" w:pos="-709" w:leader="none"/>
              </w:tabs>
              <w:spacing w:before="60" w:after="0"/>
              <w:jc w:val="center"/>
              <w:rPr>
                <w:b/>
                <w:sz w:val="28"/>
              </w:rPr>
            </w:pPr>
            <w:r>
              <w:rPr>
                <w:b/>
                <w:sz w:val="28"/>
              </w:rPr>
            </w:r>
          </w:p>
          <w:p>
            <w:pPr>
              <w:pStyle w:val="Normal"/>
              <w:tabs>
                <w:tab w:val="clear" w:pos="567"/>
                <w:tab w:val="left" w:pos="-709" w:leader="none"/>
              </w:tabs>
              <w:spacing w:before="60" w:after="0"/>
              <w:jc w:val="center"/>
              <w:rPr>
                <w:b/>
                <w:sz w:val="28"/>
              </w:rPr>
            </w:pPr>
            <w:r>
              <w:rPr>
                <w:b/>
                <w:sz w:val="28"/>
              </w:rPr>
            </w:r>
          </w:p>
          <w:p>
            <w:pPr>
              <w:pStyle w:val="Normal"/>
              <w:tabs>
                <w:tab w:val="clear" w:pos="567"/>
                <w:tab w:val="left" w:pos="-709" w:leader="none"/>
              </w:tabs>
              <w:spacing w:before="60" w:after="0"/>
              <w:jc w:val="center"/>
              <w:rPr>
                <w:b/>
                <w:sz w:val="28"/>
              </w:rPr>
            </w:pPr>
            <w:r>
              <w:rPr>
                <w:b/>
                <w:sz w:val="28"/>
              </w:rPr>
            </w:r>
          </w:p>
          <w:p>
            <w:pPr>
              <w:pStyle w:val="Normal"/>
              <w:tabs>
                <w:tab w:val="clear" w:pos="567"/>
                <w:tab w:val="left" w:pos="-709" w:leader="none"/>
              </w:tabs>
              <w:spacing w:before="60" w:after="0"/>
              <w:jc w:val="center"/>
              <w:rPr>
                <w:b/>
                <w:sz w:val="28"/>
              </w:rPr>
            </w:pPr>
            <w:r>
              <w:rPr>
                <w:b/>
                <w:sz w:val="28"/>
              </w:rPr>
            </w:r>
          </w:p>
          <w:p>
            <w:pPr>
              <w:pStyle w:val="Normal"/>
              <w:tabs>
                <w:tab w:val="clear" w:pos="567"/>
                <w:tab w:val="left" w:pos="-709" w:leader="none"/>
              </w:tabs>
              <w:spacing w:before="60" w:after="0"/>
              <w:jc w:val="center"/>
              <w:rPr>
                <w:b/>
                <w:sz w:val="28"/>
              </w:rPr>
            </w:pPr>
            <w:r>
              <w:rPr>
                <w:b/>
                <w:sz w:val="28"/>
              </w:rPr>
            </w:r>
          </w:p>
          <w:p>
            <w:pPr>
              <w:pStyle w:val="Normal"/>
              <w:tabs>
                <w:tab w:val="clear" w:pos="567"/>
                <w:tab w:val="left" w:pos="-709" w:leader="none"/>
              </w:tabs>
              <w:spacing w:before="60" w:after="0"/>
              <w:jc w:val="center"/>
              <w:rPr>
                <w:b/>
                <w:sz w:val="28"/>
              </w:rPr>
            </w:pPr>
            <w:r>
              <w:rPr>
                <w:b/>
                <w:sz w:val="28"/>
              </w:rPr>
            </w:r>
          </w:p>
        </w:tc>
      </w:tr>
      <w:tr>
        <w:trPr>
          <w:trHeight w:val="4372" w:hRule="exact"/>
        </w:trPr>
        <w:tc>
          <w:tcPr>
            <w:tcW w:w="10172" w:type="dxa"/>
            <w:gridSpan w:val="7"/>
            <w:tcBorders>
              <w:left w:val="single" w:sz="4" w:space="0" w:color="000000"/>
              <w:bottom w:val="single" w:sz="4" w:space="0" w:color="000000"/>
              <w:right w:val="single" w:sz="4" w:space="0" w:color="000000"/>
            </w:tcBorders>
          </w:tcPr>
          <w:p>
            <w:pPr>
              <w:pStyle w:val="Normal"/>
              <w:snapToGrid w:val="false"/>
              <w:spacing w:before="60" w:after="0"/>
              <w:rPr>
                <w:lang w:val="en-US"/>
              </w:rPr>
            </w:pPr>
            <w:r>
              <w:rPr>
                <w:lang w:val="en-US"/>
              </w:rPr>
            </w:r>
          </w:p>
          <w:p>
            <w:pPr>
              <w:pStyle w:val="Normal"/>
              <w:spacing w:before="60" w:after="0"/>
              <w:rPr>
                <w:lang w:val="en-US"/>
              </w:rPr>
            </w:pPr>
            <w:r>
              <w:rPr>
                <w:lang w:val="en-US"/>
              </w:rPr>
            </w:r>
          </w:p>
          <w:p>
            <w:pPr>
              <w:pStyle w:val="Normal"/>
              <w:spacing w:before="60" w:after="0"/>
              <w:rPr>
                <w:lang w:val="en-US"/>
              </w:rPr>
            </w:pPr>
            <w:r>
              <w:rPr>
                <w:lang w:val="en-US"/>
              </w:rPr>
            </w:r>
          </w:p>
          <w:p>
            <w:pPr>
              <w:pStyle w:val="Normal"/>
              <w:spacing w:before="60" w:after="0"/>
              <w:rPr>
                <w:lang w:val="en-US"/>
              </w:rPr>
            </w:pPr>
            <w:r>
              <w:rPr>
                <w:lang w:val="en-US"/>
              </w:rPr>
            </w:r>
          </w:p>
          <w:p>
            <w:pPr>
              <w:pStyle w:val="Normal"/>
              <w:spacing w:before="60" w:after="0"/>
              <w:rPr>
                <w:lang w:val="en-US"/>
              </w:rPr>
            </w:pPr>
            <w:r>
              <w:rPr>
                <w:lang w:val="en-US"/>
              </w:rPr>
            </w:r>
          </w:p>
          <w:p>
            <w:pPr>
              <w:pStyle w:val="Normal"/>
              <w:spacing w:before="60" w:after="0"/>
              <w:rPr>
                <w:lang w:val="en-US"/>
              </w:rPr>
            </w:pPr>
            <w:r>
              <w:rPr>
                <w:lang w:val="en-US"/>
              </w:rPr>
            </w:r>
          </w:p>
          <w:p>
            <w:pPr>
              <w:pStyle w:val="Normal"/>
              <w:spacing w:before="60" w:after="0"/>
              <w:rPr>
                <w:lang w:val="en-US"/>
              </w:rPr>
            </w:pPr>
            <w:r>
              <w:rPr>
                <w:lang w:val="en-US"/>
              </w:rPr>
            </w:r>
          </w:p>
          <w:p>
            <w:pPr>
              <w:pStyle w:val="Normal"/>
              <w:spacing w:before="60" w:after="0"/>
              <w:rPr>
                <w:lang w:val="en-US"/>
              </w:rPr>
            </w:pPr>
            <w:r>
              <w:rPr>
                <w:lang w:val="en-US"/>
              </w:rPr>
            </w:r>
          </w:p>
          <w:p>
            <w:pPr>
              <w:pStyle w:val="Normal"/>
              <w:spacing w:before="60" w:after="0"/>
              <w:rPr>
                <w:lang w:val="en-US"/>
              </w:rPr>
            </w:pPr>
            <w:r>
              <w:rPr>
                <w:lang w:val="en-US"/>
              </w:rPr>
            </w:r>
          </w:p>
          <w:p>
            <w:pPr>
              <w:pStyle w:val="Normal"/>
              <w:spacing w:before="60" w:after="0"/>
              <w:rPr>
                <w:lang w:val="en-US"/>
              </w:rPr>
            </w:pPr>
            <w:r>
              <w:rPr>
                <w:lang w:val="en-US"/>
              </w:rPr>
            </w:r>
          </w:p>
          <w:p>
            <w:pPr>
              <w:pStyle w:val="Normal"/>
              <w:spacing w:before="60" w:after="0"/>
              <w:rPr>
                <w:lang w:val="en-US"/>
              </w:rPr>
            </w:pPr>
            <w:r>
              <w:rPr>
                <w:lang w:val="en-US"/>
              </w:rPr>
            </w:r>
          </w:p>
        </w:tc>
      </w:tr>
      <w:tr>
        <w:trPr/>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02</w:t>
            </w:r>
          </w:p>
        </w:tc>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20-04-09</w:t>
            </w:r>
          </w:p>
        </w:tc>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JBY</w:t>
            </w:r>
          </w:p>
        </w:tc>
        <w:tc>
          <w:tcPr>
            <w:tcW w:w="3029"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rPr>
                <w:sz w:val="18"/>
                <w:szCs w:val="18"/>
              </w:rPr>
            </w:pPr>
            <w:r>
              <w:rPr>
                <w:sz w:val="18"/>
                <w:szCs w:val="18"/>
              </w:rPr>
              <w:t>Board name changes on page 4</w:t>
            </w:r>
          </w:p>
        </w:tc>
        <w:tc>
          <w:tcPr>
            <w:tcW w:w="1088" w:type="dxa"/>
            <w:tcBorders>
              <w:top w:val="single" w:sz="4" w:space="0" w:color="000000"/>
              <w:left w:val="single" w:sz="6" w:space="0" w:color="000000"/>
              <w:bottom w:val="single" w:sz="6" w:space="0" w:color="000000"/>
              <w:right w:val="single" w:sz="6" w:space="0" w:color="000000"/>
            </w:tcBorders>
          </w:tcPr>
          <w:p>
            <w:pPr>
              <w:pStyle w:val="Normal"/>
              <w:snapToGrid w:val="false"/>
              <w:spacing w:before="60" w:after="0"/>
              <w:ind w:left="0" w:right="0"/>
              <w:jc w:val="both"/>
              <w:rPr>
                <w:sz w:val="18"/>
                <w:szCs w:val="18"/>
              </w:rPr>
            </w:pPr>
            <w:r>
              <w:rPr>
                <w:sz w:val="18"/>
                <w:szCs w:val="18"/>
              </w:rPr>
            </w:r>
          </w:p>
        </w:tc>
        <w:tc>
          <w:tcPr>
            <w:tcW w:w="1247" w:type="dxa"/>
            <w:tcBorders>
              <w:top w:val="single" w:sz="4" w:space="0" w:color="000000"/>
              <w:left w:val="single" w:sz="6" w:space="0" w:color="000000"/>
              <w:bottom w:val="single" w:sz="6" w:space="0" w:color="000000"/>
              <w:right w:val="single" w:sz="6" w:space="0" w:color="000000"/>
            </w:tcBorders>
          </w:tcPr>
          <w:p>
            <w:pPr>
              <w:pStyle w:val="Normal"/>
              <w:snapToGrid w:val="false"/>
              <w:spacing w:before="60" w:after="0"/>
              <w:ind w:left="0" w:right="0"/>
              <w:jc w:val="both"/>
              <w:rPr/>
            </w:pPr>
            <w:r>
              <w:rPr/>
            </w:r>
          </w:p>
        </w:tc>
        <w:tc>
          <w:tcPr>
            <w:tcW w:w="1067" w:type="dxa"/>
            <w:tcBorders>
              <w:top w:val="single" w:sz="4" w:space="0" w:color="000000"/>
              <w:left w:val="single" w:sz="6" w:space="0" w:color="000000"/>
              <w:bottom w:val="single" w:sz="6" w:space="0" w:color="000000"/>
              <w:right w:val="single" w:sz="6" w:space="0" w:color="000000"/>
            </w:tcBorders>
          </w:tcPr>
          <w:p>
            <w:pPr>
              <w:pStyle w:val="Normal"/>
              <w:snapToGrid w:val="false"/>
              <w:spacing w:before="60" w:after="0"/>
              <w:ind w:left="0" w:right="0"/>
              <w:jc w:val="both"/>
              <w:rPr/>
            </w:pPr>
            <w:r>
              <w:rPr/>
            </w:r>
          </w:p>
        </w:tc>
      </w:tr>
      <w:tr>
        <w:trPr/>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01</w:t>
            </w:r>
          </w:p>
        </w:tc>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17-01-08</w:t>
            </w:r>
          </w:p>
        </w:tc>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JBY</w:t>
            </w:r>
          </w:p>
        </w:tc>
        <w:tc>
          <w:tcPr>
            <w:tcW w:w="3029"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rPr>
                <w:sz w:val="18"/>
                <w:szCs w:val="18"/>
              </w:rPr>
            </w:pPr>
            <w:r>
              <w:rPr>
                <w:sz w:val="18"/>
                <w:szCs w:val="18"/>
              </w:rPr>
              <w:t>Code of Conduct ref. no. changed from BD-S-01 to PG-S-02_28</w:t>
            </w:r>
          </w:p>
        </w:tc>
        <w:tc>
          <w:tcPr>
            <w:tcW w:w="1088" w:type="dxa"/>
            <w:tcBorders>
              <w:top w:val="single" w:sz="4" w:space="0" w:color="000000"/>
              <w:left w:val="single" w:sz="6" w:space="0" w:color="000000"/>
              <w:bottom w:val="single" w:sz="6" w:space="0" w:color="000000"/>
              <w:right w:val="single" w:sz="6" w:space="0" w:color="000000"/>
            </w:tcBorders>
          </w:tcPr>
          <w:p>
            <w:pPr>
              <w:pStyle w:val="Normal"/>
              <w:snapToGrid w:val="false"/>
              <w:spacing w:before="60" w:after="0"/>
              <w:ind w:left="0" w:right="0"/>
              <w:jc w:val="both"/>
              <w:rPr>
                <w:sz w:val="18"/>
                <w:szCs w:val="18"/>
              </w:rPr>
            </w:pPr>
            <w:r>
              <w:rPr>
                <w:sz w:val="18"/>
                <w:szCs w:val="18"/>
              </w:rPr>
            </w:r>
          </w:p>
        </w:tc>
        <w:tc>
          <w:tcPr>
            <w:tcW w:w="1247" w:type="dxa"/>
            <w:tcBorders>
              <w:top w:val="single" w:sz="4" w:space="0" w:color="000000"/>
              <w:left w:val="single" w:sz="6" w:space="0" w:color="000000"/>
              <w:bottom w:val="single" w:sz="6" w:space="0" w:color="000000"/>
              <w:right w:val="single" w:sz="6" w:space="0" w:color="000000"/>
            </w:tcBorders>
          </w:tcPr>
          <w:p>
            <w:pPr>
              <w:pStyle w:val="Normal"/>
              <w:snapToGrid w:val="false"/>
              <w:spacing w:before="60" w:after="0"/>
              <w:ind w:left="0" w:right="0"/>
              <w:jc w:val="both"/>
              <w:rPr/>
            </w:pPr>
            <w:r>
              <w:rPr/>
            </w:r>
          </w:p>
        </w:tc>
        <w:tc>
          <w:tcPr>
            <w:tcW w:w="1067" w:type="dxa"/>
            <w:tcBorders>
              <w:top w:val="single" w:sz="4" w:space="0" w:color="000000"/>
              <w:left w:val="single" w:sz="6" w:space="0" w:color="000000"/>
              <w:bottom w:val="single" w:sz="6" w:space="0" w:color="000000"/>
              <w:right w:val="single" w:sz="6" w:space="0" w:color="000000"/>
            </w:tcBorders>
          </w:tcPr>
          <w:p>
            <w:pPr>
              <w:pStyle w:val="Normal"/>
              <w:snapToGrid w:val="false"/>
              <w:spacing w:before="60" w:after="0"/>
              <w:ind w:left="0" w:right="0"/>
              <w:jc w:val="both"/>
              <w:rPr/>
            </w:pPr>
            <w:r>
              <w:rPr/>
            </w:r>
          </w:p>
        </w:tc>
      </w:tr>
      <w:tr>
        <w:trPr/>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00</w:t>
            </w:r>
          </w:p>
        </w:tc>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08-01-08</w:t>
            </w:r>
          </w:p>
        </w:tc>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JBY</w:t>
            </w:r>
          </w:p>
        </w:tc>
        <w:tc>
          <w:tcPr>
            <w:tcW w:w="3029"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rPr/>
            </w:pPr>
            <w:r>
              <w:rPr>
                <w:sz w:val="18"/>
                <w:szCs w:val="18"/>
              </w:rPr>
              <w:t>Approved by Board</w:t>
            </w:r>
          </w:p>
        </w:tc>
        <w:tc>
          <w:tcPr>
            <w:tcW w:w="1088"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pPr>
            <w:r>
              <w:rPr/>
              <w:t>Board</w:t>
            </w:r>
          </w:p>
        </w:tc>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pPr>
            <w:r>
              <w:rPr/>
              <w:t>Board</w:t>
            </w:r>
          </w:p>
        </w:tc>
        <w:tc>
          <w:tcPr>
            <w:tcW w:w="1067" w:type="dxa"/>
            <w:tcBorders>
              <w:top w:val="single" w:sz="4" w:space="0" w:color="000000"/>
              <w:left w:val="single" w:sz="6" w:space="0" w:color="000000"/>
              <w:bottom w:val="single" w:sz="6" w:space="0" w:color="000000"/>
              <w:right w:val="single" w:sz="6" w:space="0" w:color="000000"/>
            </w:tcBorders>
          </w:tcPr>
          <w:p>
            <w:pPr>
              <w:pStyle w:val="Normal"/>
              <w:snapToGrid w:val="false"/>
              <w:spacing w:before="60" w:after="0"/>
              <w:ind w:left="0" w:right="0"/>
              <w:jc w:val="both"/>
              <w:rPr/>
            </w:pPr>
            <w:r>
              <w:rPr/>
            </w:r>
          </w:p>
        </w:tc>
      </w:tr>
      <w:tr>
        <w:trPr/>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00J</w:t>
            </w:r>
          </w:p>
        </w:tc>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20-07-07</w:t>
            </w:r>
          </w:p>
        </w:tc>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JBY</w:t>
            </w:r>
          </w:p>
        </w:tc>
        <w:tc>
          <w:tcPr>
            <w:tcW w:w="3029"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rPr>
                <w:sz w:val="18"/>
                <w:szCs w:val="18"/>
              </w:rPr>
            </w:pPr>
            <w:r>
              <w:rPr>
                <w:sz w:val="18"/>
                <w:szCs w:val="18"/>
              </w:rPr>
              <w:t>Amendments following discussion GMA and JBY</w:t>
            </w:r>
          </w:p>
        </w:tc>
        <w:tc>
          <w:tcPr>
            <w:tcW w:w="1088" w:type="dxa"/>
            <w:tcBorders>
              <w:top w:val="single" w:sz="4" w:space="0" w:color="000000"/>
              <w:left w:val="single" w:sz="6" w:space="0" w:color="000000"/>
              <w:bottom w:val="single" w:sz="6" w:space="0" w:color="000000"/>
              <w:right w:val="single" w:sz="6" w:space="0" w:color="000000"/>
            </w:tcBorders>
          </w:tcPr>
          <w:p>
            <w:pPr>
              <w:pStyle w:val="Normal"/>
              <w:snapToGrid w:val="false"/>
              <w:spacing w:before="60" w:after="0"/>
              <w:ind w:left="0" w:right="0"/>
              <w:jc w:val="both"/>
              <w:rPr>
                <w:sz w:val="18"/>
                <w:szCs w:val="18"/>
              </w:rPr>
            </w:pPr>
            <w:r>
              <w:rPr>
                <w:sz w:val="18"/>
                <w:szCs w:val="18"/>
              </w:rPr>
            </w:r>
          </w:p>
        </w:tc>
        <w:tc>
          <w:tcPr>
            <w:tcW w:w="1247" w:type="dxa"/>
            <w:tcBorders>
              <w:top w:val="single" w:sz="4" w:space="0" w:color="000000"/>
              <w:left w:val="single" w:sz="6" w:space="0" w:color="000000"/>
              <w:bottom w:val="single" w:sz="6" w:space="0" w:color="000000"/>
              <w:right w:val="single" w:sz="6" w:space="0" w:color="000000"/>
            </w:tcBorders>
          </w:tcPr>
          <w:p>
            <w:pPr>
              <w:pStyle w:val="Normal"/>
              <w:snapToGrid w:val="false"/>
              <w:spacing w:before="60" w:after="0"/>
              <w:ind w:left="0" w:right="0"/>
              <w:jc w:val="both"/>
              <w:rPr/>
            </w:pPr>
            <w:r>
              <w:rPr/>
            </w:r>
          </w:p>
        </w:tc>
        <w:tc>
          <w:tcPr>
            <w:tcW w:w="1067" w:type="dxa"/>
            <w:tcBorders>
              <w:top w:val="single" w:sz="4" w:space="0" w:color="000000"/>
              <w:left w:val="single" w:sz="6" w:space="0" w:color="000000"/>
              <w:bottom w:val="single" w:sz="6" w:space="0" w:color="000000"/>
              <w:right w:val="single" w:sz="6" w:space="0" w:color="000000"/>
            </w:tcBorders>
          </w:tcPr>
          <w:p>
            <w:pPr>
              <w:pStyle w:val="Normal"/>
              <w:snapToGrid w:val="false"/>
              <w:spacing w:before="60" w:after="0"/>
              <w:ind w:left="0" w:right="0"/>
              <w:jc w:val="both"/>
              <w:rPr/>
            </w:pPr>
            <w:r>
              <w:rPr/>
            </w:r>
          </w:p>
        </w:tc>
      </w:tr>
      <w:tr>
        <w:trPr/>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00H</w:t>
            </w:r>
          </w:p>
        </w:tc>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04-07-07</w:t>
            </w:r>
          </w:p>
        </w:tc>
        <w:tc>
          <w:tcPr>
            <w:tcW w:w="1247"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jc w:val="both"/>
              <w:rPr>
                <w:sz w:val="18"/>
                <w:szCs w:val="18"/>
              </w:rPr>
            </w:pPr>
            <w:r>
              <w:rPr>
                <w:sz w:val="18"/>
                <w:szCs w:val="18"/>
              </w:rPr>
              <w:t>JBY</w:t>
            </w:r>
          </w:p>
        </w:tc>
        <w:tc>
          <w:tcPr>
            <w:tcW w:w="3029" w:type="dxa"/>
            <w:tcBorders>
              <w:top w:val="single" w:sz="4" w:space="0" w:color="000000"/>
              <w:left w:val="single" w:sz="6" w:space="0" w:color="000000"/>
              <w:bottom w:val="single" w:sz="6" w:space="0" w:color="000000"/>
              <w:right w:val="single" w:sz="6" w:space="0" w:color="000000"/>
            </w:tcBorders>
          </w:tcPr>
          <w:p>
            <w:pPr>
              <w:pStyle w:val="Normal"/>
              <w:spacing w:before="60" w:after="0"/>
              <w:ind w:left="0" w:right="0"/>
              <w:rPr>
                <w:sz w:val="18"/>
                <w:szCs w:val="18"/>
              </w:rPr>
            </w:pPr>
            <w:r>
              <w:rPr>
                <w:sz w:val="18"/>
                <w:szCs w:val="18"/>
              </w:rPr>
              <w:t>Amendments following CSR Committee meeting on 03-07-07</w:t>
            </w:r>
          </w:p>
        </w:tc>
        <w:tc>
          <w:tcPr>
            <w:tcW w:w="1088" w:type="dxa"/>
            <w:tcBorders>
              <w:top w:val="single" w:sz="4" w:space="0" w:color="000000"/>
              <w:left w:val="single" w:sz="6" w:space="0" w:color="000000"/>
              <w:bottom w:val="single" w:sz="6" w:space="0" w:color="000000"/>
              <w:right w:val="single" w:sz="6" w:space="0" w:color="000000"/>
            </w:tcBorders>
          </w:tcPr>
          <w:p>
            <w:pPr>
              <w:pStyle w:val="Normal"/>
              <w:snapToGrid w:val="false"/>
              <w:spacing w:before="60" w:after="0"/>
              <w:ind w:left="0" w:right="0"/>
              <w:jc w:val="both"/>
              <w:rPr>
                <w:sz w:val="18"/>
                <w:szCs w:val="18"/>
              </w:rPr>
            </w:pPr>
            <w:r>
              <w:rPr>
                <w:sz w:val="18"/>
                <w:szCs w:val="18"/>
              </w:rPr>
            </w:r>
          </w:p>
        </w:tc>
        <w:tc>
          <w:tcPr>
            <w:tcW w:w="1247" w:type="dxa"/>
            <w:tcBorders>
              <w:top w:val="single" w:sz="4" w:space="0" w:color="000000"/>
              <w:left w:val="single" w:sz="6" w:space="0" w:color="000000"/>
              <w:bottom w:val="single" w:sz="6" w:space="0" w:color="000000"/>
              <w:right w:val="single" w:sz="6" w:space="0" w:color="000000"/>
            </w:tcBorders>
          </w:tcPr>
          <w:p>
            <w:pPr>
              <w:pStyle w:val="Normal"/>
              <w:snapToGrid w:val="false"/>
              <w:spacing w:before="60" w:after="0"/>
              <w:ind w:left="0" w:right="0"/>
              <w:jc w:val="both"/>
              <w:rPr/>
            </w:pPr>
            <w:r>
              <w:rPr/>
            </w:r>
          </w:p>
        </w:tc>
        <w:tc>
          <w:tcPr>
            <w:tcW w:w="1067" w:type="dxa"/>
            <w:tcBorders>
              <w:top w:val="single" w:sz="4" w:space="0" w:color="000000"/>
              <w:left w:val="single" w:sz="6" w:space="0" w:color="000000"/>
              <w:bottom w:val="single" w:sz="6" w:space="0" w:color="000000"/>
              <w:right w:val="single" w:sz="6" w:space="0" w:color="000000"/>
            </w:tcBorders>
          </w:tcPr>
          <w:p>
            <w:pPr>
              <w:pStyle w:val="Normal"/>
              <w:snapToGrid w:val="false"/>
              <w:spacing w:before="60" w:after="0"/>
              <w:ind w:left="0" w:right="0"/>
              <w:jc w:val="both"/>
              <w:rPr/>
            </w:pPr>
            <w:r>
              <w:rPr/>
            </w:r>
          </w:p>
        </w:tc>
      </w:tr>
      <w:tr>
        <w:trPr/>
        <w:tc>
          <w:tcPr>
            <w:tcW w:w="1247" w:type="dxa"/>
            <w:tcBorders>
              <w:top w:val="single" w:sz="6" w:space="0" w:color="000000"/>
              <w:left w:val="single" w:sz="6" w:space="0" w:color="000000"/>
              <w:bottom w:val="single" w:sz="6" w:space="0" w:color="000000"/>
              <w:right w:val="single" w:sz="6" w:space="0" w:color="000000"/>
            </w:tcBorders>
            <w:shd w:fill="E5E5E5" w:val="clear"/>
          </w:tcPr>
          <w:p>
            <w:pPr>
              <w:pStyle w:val="Normal"/>
              <w:spacing w:before="60" w:after="0"/>
              <w:ind w:left="0" w:right="0"/>
              <w:rPr>
                <w:sz w:val="18"/>
              </w:rPr>
            </w:pPr>
            <w:r>
              <w:rPr>
                <w:sz w:val="18"/>
              </w:rPr>
              <w:t>Revision</w:t>
            </w:r>
          </w:p>
        </w:tc>
        <w:tc>
          <w:tcPr>
            <w:tcW w:w="1247" w:type="dxa"/>
            <w:tcBorders>
              <w:top w:val="single" w:sz="6" w:space="0" w:color="000000"/>
              <w:left w:val="single" w:sz="6" w:space="0" w:color="000000"/>
              <w:bottom w:val="single" w:sz="6" w:space="0" w:color="000000"/>
              <w:right w:val="single" w:sz="6" w:space="0" w:color="000000"/>
            </w:tcBorders>
            <w:shd w:fill="E5E5E5" w:val="clear"/>
          </w:tcPr>
          <w:p>
            <w:pPr>
              <w:pStyle w:val="Normal"/>
              <w:spacing w:before="60" w:after="0"/>
              <w:ind w:left="0" w:right="0"/>
              <w:rPr>
                <w:sz w:val="18"/>
              </w:rPr>
            </w:pPr>
            <w:r>
              <w:rPr>
                <w:sz w:val="18"/>
              </w:rPr>
              <w:t>Date</w:t>
            </w:r>
          </w:p>
        </w:tc>
        <w:tc>
          <w:tcPr>
            <w:tcW w:w="1247" w:type="dxa"/>
            <w:tcBorders>
              <w:top w:val="single" w:sz="6" w:space="0" w:color="000000"/>
              <w:left w:val="single" w:sz="6" w:space="0" w:color="000000"/>
              <w:bottom w:val="single" w:sz="6" w:space="0" w:color="000000"/>
              <w:right w:val="single" w:sz="6" w:space="0" w:color="000000"/>
            </w:tcBorders>
            <w:shd w:fill="E5E5E5" w:val="clear"/>
          </w:tcPr>
          <w:p>
            <w:pPr>
              <w:pStyle w:val="Normal"/>
              <w:spacing w:before="60" w:after="0"/>
              <w:ind w:left="0" w:right="0"/>
              <w:rPr>
                <w:sz w:val="18"/>
              </w:rPr>
            </w:pPr>
            <w:r>
              <w:rPr>
                <w:sz w:val="18"/>
              </w:rPr>
              <w:t>Prepared by</w:t>
            </w:r>
          </w:p>
        </w:tc>
        <w:tc>
          <w:tcPr>
            <w:tcW w:w="3029" w:type="dxa"/>
            <w:tcBorders>
              <w:top w:val="single" w:sz="6" w:space="0" w:color="000000"/>
              <w:left w:val="single" w:sz="6" w:space="0" w:color="000000"/>
              <w:bottom w:val="single" w:sz="6" w:space="0" w:color="000000"/>
              <w:right w:val="single" w:sz="6" w:space="0" w:color="000000"/>
            </w:tcBorders>
            <w:shd w:fill="E5E5E5" w:val="clear"/>
          </w:tcPr>
          <w:p>
            <w:pPr>
              <w:pStyle w:val="Normal"/>
              <w:spacing w:before="60" w:after="0"/>
              <w:ind w:left="0" w:right="0"/>
              <w:rPr>
                <w:sz w:val="18"/>
              </w:rPr>
            </w:pPr>
            <w:r>
              <w:rPr>
                <w:sz w:val="18"/>
              </w:rPr>
              <w:t>Description</w:t>
            </w:r>
          </w:p>
        </w:tc>
        <w:tc>
          <w:tcPr>
            <w:tcW w:w="1088" w:type="dxa"/>
            <w:tcBorders>
              <w:top w:val="single" w:sz="6" w:space="0" w:color="000000"/>
              <w:left w:val="single" w:sz="6" w:space="0" w:color="000000"/>
              <w:bottom w:val="single" w:sz="6" w:space="0" w:color="000000"/>
              <w:right w:val="single" w:sz="6" w:space="0" w:color="000000"/>
            </w:tcBorders>
            <w:shd w:fill="E5E5E5" w:val="clear"/>
          </w:tcPr>
          <w:p>
            <w:pPr>
              <w:pStyle w:val="Normal"/>
              <w:spacing w:before="60" w:after="0"/>
              <w:ind w:left="0" w:right="0"/>
              <w:rPr>
                <w:sz w:val="18"/>
              </w:rPr>
            </w:pPr>
            <w:r>
              <w:rPr>
                <w:sz w:val="18"/>
              </w:rPr>
              <w:t>Checked by</w:t>
            </w:r>
          </w:p>
        </w:tc>
        <w:tc>
          <w:tcPr>
            <w:tcW w:w="1247" w:type="dxa"/>
            <w:tcBorders>
              <w:top w:val="single" w:sz="6" w:space="0" w:color="000000"/>
              <w:left w:val="single" w:sz="6" w:space="0" w:color="000000"/>
              <w:bottom w:val="single" w:sz="6" w:space="0" w:color="000000"/>
              <w:right w:val="single" w:sz="6" w:space="0" w:color="000000"/>
            </w:tcBorders>
            <w:shd w:fill="E5E5E5" w:val="clear"/>
          </w:tcPr>
          <w:p>
            <w:pPr>
              <w:pStyle w:val="Normal"/>
              <w:spacing w:before="60" w:after="0"/>
              <w:ind w:left="0" w:right="0"/>
              <w:rPr>
                <w:sz w:val="18"/>
              </w:rPr>
            </w:pPr>
            <w:r>
              <w:rPr>
                <w:sz w:val="18"/>
              </w:rPr>
              <w:t>Approved by</w:t>
            </w:r>
          </w:p>
        </w:tc>
        <w:tc>
          <w:tcPr>
            <w:tcW w:w="1067" w:type="dxa"/>
            <w:tcBorders>
              <w:top w:val="single" w:sz="6" w:space="0" w:color="000000"/>
              <w:left w:val="single" w:sz="6" w:space="0" w:color="000000"/>
              <w:bottom w:val="single" w:sz="6" w:space="0" w:color="000000"/>
              <w:right w:val="single" w:sz="6" w:space="0" w:color="000000"/>
            </w:tcBorders>
            <w:shd w:fill="E5E5E5" w:val="clear"/>
          </w:tcPr>
          <w:p>
            <w:pPr>
              <w:pStyle w:val="Normal"/>
              <w:snapToGrid w:val="false"/>
              <w:spacing w:before="60" w:after="0"/>
              <w:ind w:left="0" w:right="0"/>
              <w:rPr>
                <w:sz w:val="18"/>
              </w:rPr>
            </w:pPr>
            <w:r>
              <w:rPr>
                <w:sz w:val="18"/>
              </w:rPr>
            </w:r>
          </w:p>
        </w:tc>
      </w:tr>
      <w:tr>
        <w:trPr/>
        <w:tc>
          <w:tcPr>
            <w:tcW w:w="3741" w:type="dxa"/>
            <w:gridSpan w:val="3"/>
            <w:tcBorders>
              <w:top w:val="single" w:sz="6" w:space="0" w:color="000000"/>
              <w:left w:val="single" w:sz="6" w:space="0" w:color="000000"/>
              <w:bottom w:val="single" w:sz="6" w:space="0" w:color="000000"/>
              <w:right w:val="single" w:sz="6" w:space="0" w:color="000000"/>
            </w:tcBorders>
            <w:shd w:fill="E5E5E5" w:val="clear"/>
          </w:tcPr>
          <w:p>
            <w:pPr>
              <w:pStyle w:val="Normal"/>
              <w:spacing w:before="60" w:after="0"/>
              <w:rPr>
                <w:sz w:val="16"/>
              </w:rPr>
            </w:pPr>
            <w:r>
              <w:rPr>
                <w:sz w:val="16"/>
              </w:rPr>
              <w:t>STATUS DEFINITION [latest revision]</w:t>
            </w:r>
          </w:p>
        </w:tc>
        <w:tc>
          <w:tcPr>
            <w:tcW w:w="4117" w:type="dxa"/>
            <w:gridSpan w:val="2"/>
            <w:tcBorders>
              <w:top w:val="single" w:sz="6" w:space="0" w:color="000000"/>
              <w:left w:val="single" w:sz="6" w:space="0" w:color="000000"/>
              <w:bottom w:val="single" w:sz="6" w:space="0" w:color="000000"/>
              <w:right w:val="single" w:sz="6" w:space="0" w:color="000000"/>
            </w:tcBorders>
            <w:shd w:fill="E5E5E5" w:val="clear"/>
          </w:tcPr>
          <w:p>
            <w:pPr>
              <w:pStyle w:val="Normal"/>
              <w:snapToGrid w:val="false"/>
              <w:spacing w:before="60" w:after="0"/>
              <w:rPr/>
            </w:pPr>
            <w:r>
              <w:rPr/>
            </w:r>
          </w:p>
        </w:tc>
        <w:tc>
          <w:tcPr>
            <w:tcW w:w="2314" w:type="dxa"/>
            <w:gridSpan w:val="2"/>
            <w:tcBorders>
              <w:top w:val="single" w:sz="6" w:space="0" w:color="000000"/>
              <w:left w:val="single" w:sz="6" w:space="0" w:color="000000"/>
              <w:bottom w:val="single" w:sz="6" w:space="0" w:color="000000"/>
              <w:right w:val="single" w:sz="6" w:space="0" w:color="000000"/>
            </w:tcBorders>
            <w:shd w:fill="E5E5E5" w:val="clear"/>
          </w:tcPr>
          <w:p>
            <w:pPr>
              <w:pStyle w:val="Normal"/>
              <w:spacing w:before="60" w:after="0"/>
              <w:rPr>
                <w:sz w:val="18"/>
              </w:rPr>
            </w:pPr>
            <w:r>
              <w:rPr>
                <w:sz w:val="18"/>
              </w:rPr>
              <w:t>Total no of pages [incl Att]</w:t>
            </w:r>
          </w:p>
        </w:tc>
      </w:tr>
      <w:tr>
        <w:trPr/>
        <w:tc>
          <w:tcPr>
            <w:tcW w:w="10172" w:type="dxa"/>
            <w:gridSpan w:val="7"/>
            <w:tcBorders>
              <w:top w:val="single" w:sz="6" w:space="0" w:color="000000"/>
              <w:left w:val="single" w:sz="6" w:space="0" w:color="000000"/>
              <w:bottom w:val="single" w:sz="6" w:space="0" w:color="000000"/>
              <w:right w:val="single" w:sz="6" w:space="0" w:color="000000"/>
            </w:tcBorders>
          </w:tcPr>
          <w:p>
            <w:pPr>
              <w:pStyle w:val="Normal"/>
              <w:spacing w:before="60" w:after="0"/>
              <w:ind w:left="0" w:right="0"/>
              <w:rPr/>
            </w:pPr>
            <w:r>
              <w:rPr>
                <w:sz w:val="16"/>
              </w:rPr>
              <w:t xml:space="preserve">©2008 SHANFARI TRADING AND FURNISHING CO. LLC  </w:t>
            </w:r>
          </w:p>
        </w:tc>
      </w:tr>
    </w:tbl>
    <w:p>
      <w:pPr>
        <w:sectPr>
          <w:headerReference w:type="default" r:id="rId2"/>
          <w:footerReference w:type="default" r:id="rId3"/>
          <w:type w:val="nextPage"/>
          <w:pgSz w:w="11906" w:h="16838"/>
          <w:pgMar w:left="1021" w:right="1418" w:gutter="0" w:header="851" w:top="2953" w:footer="638" w:bottom="694"/>
          <w:pgNumType w:fmt="decimal"/>
          <w:formProt w:val="false"/>
          <w:textDirection w:val="lrTb"/>
          <w:docGrid w:type="default" w:linePitch="360" w:charSpace="0"/>
        </w:sectPr>
        <w:pStyle w:val="TOC3"/>
        <w:ind w:left="142" w:right="0"/>
        <w:rPr/>
      </w:pPr>
      <w:r>
        <w:rPr/>
      </w:r>
    </w:p>
    <w:p>
      <w:pPr>
        <w:pStyle w:val="Normal"/>
        <w:ind w:left="0" w:right="0"/>
        <w:rPr>
          <w:b/>
        </w:rPr>
      </w:pPr>
      <w:r>
        <w:rPr>
          <w:b/>
        </w:rPr>
        <w:t>TABLE OF CONTENTS</w:t>
      </w:r>
    </w:p>
    <w:p>
      <w:pPr>
        <w:pStyle w:val="Normal"/>
        <w:ind w:left="0" w:right="0"/>
        <w:rPr>
          <w:b/>
        </w:rPr>
      </w:pPr>
      <w:r>
        <w:rPr>
          <w:b/>
        </w:rPr>
      </w:r>
    </w:p>
    <w:p>
      <w:pPr>
        <w:pStyle w:val="Normal"/>
        <w:ind w:left="0" w:right="0"/>
        <w:rPr>
          <w:b/>
        </w:rPr>
      </w:pPr>
      <w:r>
        <w:rPr>
          <w:b/>
        </w:rPr>
      </w:r>
    </w:p>
    <w:sdt>
      <w:sdtPr>
        <w:docPartObj>
          <w:docPartGallery w:val="Table of Contents"/>
          <w:docPartUnique w:val="true"/>
        </w:docPartObj>
      </w:sdtPr>
      <w:sdtContent>
        <w:p>
          <w:pPr>
            <w:pStyle w:val="TOC1"/>
            <w:tabs>
              <w:tab w:val="left" w:pos="567" w:leader="none"/>
              <w:tab w:val="left" w:pos="974" w:leader="none"/>
              <w:tab w:val="right" w:pos="8505" w:leader="dot"/>
            </w:tabs>
            <w:rPr>
              <w:rFonts w:ascii="Times New Roman" w:hAnsi="Times New Roman" w:cs="Times New Roman"/>
              <w:b w:val="false"/>
              <w:sz w:val="24"/>
              <w:szCs w:val="24"/>
              <w:lang w:val="nl-NL" w:eastAsia="en-US"/>
            </w:rPr>
          </w:pPr>
          <w:r>
            <w:fldChar w:fldCharType="begin"/>
          </w:r>
          <w:r>
            <w:rPr>
              <w:rStyle w:val="IndexLink"/>
              <w:b w:val="false"/>
              <w:lang w:val="en-US" w:eastAsia="en-US"/>
            </w:rPr>
            <w:instrText xml:space="preserve"> TOC \o "1-3" \h \z \u </w:instrText>
          </w:r>
          <w:r>
            <w:rPr>
              <w:rStyle w:val="IndexLink"/>
              <w:b w:val="false"/>
              <w:lang w:val="en-US" w:eastAsia="en-US"/>
            </w:rPr>
            <w:fldChar w:fldCharType="separate"/>
          </w:r>
          <w:hyperlink w:anchor="__RefHeading___Toc172708991">
            <w:r>
              <w:rPr>
                <w:rStyle w:val="IndexLink"/>
                <w:b w:val="false"/>
                <w:lang w:val="en-US" w:eastAsia="en-US"/>
              </w:rPr>
              <w:t>1.</w:t>
            </w:r>
            <w:r>
              <w:rPr>
                <w:rStyle w:val="IndexLink"/>
                <w:rFonts w:cs="Times New Roman" w:ascii="Times New Roman" w:hAnsi="Times New Roman"/>
                <w:b w:val="false"/>
                <w:sz w:val="24"/>
                <w:szCs w:val="24"/>
                <w:lang w:val="nl-NL" w:eastAsia="en-US"/>
              </w:rPr>
              <w:tab/>
            </w:r>
            <w:r>
              <w:rPr>
                <w:rStyle w:val="IndexLink"/>
                <w:b w:val="false"/>
                <w:lang w:val="en-US" w:eastAsia="en-US"/>
              </w:rPr>
              <w:t>Introduction</w:t>
              <w:tab/>
              <w:t>3</w:t>
            </w:r>
          </w:hyperlink>
        </w:p>
        <w:p>
          <w:pPr>
            <w:pStyle w:val="TOC1"/>
            <w:tabs>
              <w:tab w:val="left" w:pos="567" w:leader="none"/>
              <w:tab w:val="left" w:pos="974" w:leader="none"/>
              <w:tab w:val="right" w:pos="8505" w:leader="dot"/>
            </w:tabs>
            <w:rPr>
              <w:rFonts w:ascii="Times New Roman" w:hAnsi="Times New Roman" w:cs="Times New Roman"/>
              <w:b w:val="false"/>
              <w:sz w:val="24"/>
              <w:szCs w:val="24"/>
              <w:lang w:val="nl-NL" w:eastAsia="en-US"/>
            </w:rPr>
          </w:pPr>
          <w:hyperlink w:anchor="__RefHeading___Toc172708992">
            <w:r>
              <w:rPr>
                <w:rStyle w:val="IndexLink"/>
                <w:lang w:val="en-US" w:eastAsia="en-US"/>
              </w:rPr>
              <w:t>2.</w:t>
            </w:r>
            <w:r>
              <w:rPr>
                <w:rStyle w:val="IndexLink"/>
                <w:rFonts w:cs="Times New Roman" w:ascii="Times New Roman" w:hAnsi="Times New Roman"/>
                <w:b w:val="false"/>
                <w:sz w:val="24"/>
                <w:szCs w:val="24"/>
                <w:lang w:val="nl-NL" w:eastAsia="en-US"/>
              </w:rPr>
              <w:tab/>
            </w:r>
            <w:r>
              <w:rPr>
                <w:rStyle w:val="IndexLink"/>
                <w:lang w:val="en-US" w:eastAsia="en-US"/>
              </w:rPr>
              <w:t>Mission Statement</w:t>
              <w:tab/>
              <w:t>4</w:t>
            </w:r>
          </w:hyperlink>
        </w:p>
        <w:p>
          <w:pPr>
            <w:pStyle w:val="TOC1"/>
            <w:tabs>
              <w:tab w:val="left" w:pos="567" w:leader="none"/>
              <w:tab w:val="left" w:pos="974" w:leader="none"/>
              <w:tab w:val="right" w:pos="8505" w:leader="dot"/>
            </w:tabs>
            <w:rPr>
              <w:rFonts w:ascii="Times New Roman" w:hAnsi="Times New Roman" w:cs="Times New Roman"/>
              <w:b w:val="false"/>
              <w:sz w:val="24"/>
              <w:szCs w:val="24"/>
              <w:lang w:val="nl-NL" w:eastAsia="en-US"/>
            </w:rPr>
          </w:pPr>
          <w:hyperlink w:anchor="__RefHeading___Toc172708993">
            <w:r>
              <w:rPr>
                <w:rStyle w:val="IndexLink"/>
                <w:lang w:val="en-US" w:eastAsia="en-US"/>
              </w:rPr>
              <w:t>3.</w:t>
            </w:r>
            <w:r>
              <w:rPr>
                <w:rStyle w:val="IndexLink"/>
                <w:rFonts w:cs="Times New Roman" w:ascii="Times New Roman" w:hAnsi="Times New Roman"/>
                <w:b w:val="false"/>
                <w:sz w:val="24"/>
                <w:szCs w:val="24"/>
                <w:lang w:val="nl-NL" w:eastAsia="en-US"/>
              </w:rPr>
              <w:tab/>
            </w:r>
            <w:r>
              <w:rPr>
                <w:rStyle w:val="IndexLink"/>
                <w:lang w:val="en-US" w:eastAsia="en-US"/>
              </w:rPr>
              <w:t>Corporate Social Responsibility Policy Statement</w:t>
              <w:tab/>
              <w:t>4</w:t>
            </w:r>
          </w:hyperlink>
        </w:p>
        <w:p>
          <w:pPr>
            <w:pStyle w:val="TOC1"/>
            <w:tabs>
              <w:tab w:val="left" w:pos="567" w:leader="none"/>
              <w:tab w:val="left" w:pos="974" w:leader="none"/>
              <w:tab w:val="right" w:pos="8505" w:leader="dot"/>
            </w:tabs>
            <w:rPr>
              <w:rFonts w:ascii="Times New Roman" w:hAnsi="Times New Roman" w:cs="Times New Roman"/>
              <w:b w:val="false"/>
              <w:sz w:val="24"/>
              <w:szCs w:val="24"/>
              <w:lang w:val="nl-NL" w:eastAsia="en-US"/>
            </w:rPr>
          </w:pPr>
          <w:hyperlink w:anchor="__RefHeading___Toc172708994">
            <w:r>
              <w:rPr>
                <w:rStyle w:val="IndexLink"/>
                <w:lang w:val="en-US" w:eastAsia="en-US"/>
              </w:rPr>
              <w:t>4.</w:t>
            </w:r>
            <w:r>
              <w:rPr>
                <w:rStyle w:val="IndexLink"/>
                <w:rFonts w:cs="Times New Roman" w:ascii="Times New Roman" w:hAnsi="Times New Roman"/>
                <w:b w:val="false"/>
                <w:sz w:val="24"/>
                <w:szCs w:val="24"/>
                <w:lang w:val="nl-NL" w:eastAsia="en-US"/>
              </w:rPr>
              <w:tab/>
            </w:r>
            <w:r>
              <w:rPr>
                <w:rStyle w:val="IndexLink"/>
                <w:lang w:val="en-US" w:eastAsia="en-US"/>
              </w:rPr>
              <w:t>Responsibilities</w:t>
              <w:tab/>
              <w:t>5</w:t>
            </w:r>
          </w:hyperlink>
        </w:p>
        <w:p>
          <w:pPr>
            <w:pStyle w:val="TOC1"/>
            <w:tabs>
              <w:tab w:val="left" w:pos="567" w:leader="none"/>
              <w:tab w:val="left" w:pos="974" w:leader="none"/>
              <w:tab w:val="right" w:pos="8505" w:leader="dot"/>
            </w:tabs>
            <w:rPr>
              <w:rFonts w:ascii="Times New Roman" w:hAnsi="Times New Roman" w:cs="Times New Roman"/>
              <w:b w:val="false"/>
              <w:sz w:val="24"/>
              <w:szCs w:val="24"/>
              <w:lang w:val="nl-NL" w:eastAsia="en-US"/>
            </w:rPr>
          </w:pPr>
          <w:hyperlink w:anchor="__RefHeading___Toc172708995">
            <w:r>
              <w:rPr>
                <w:rStyle w:val="IndexLink"/>
                <w:lang w:val="en-US" w:eastAsia="en-US"/>
              </w:rPr>
              <w:t>5.</w:t>
            </w:r>
            <w:r>
              <w:rPr>
                <w:rStyle w:val="IndexLink"/>
                <w:rFonts w:cs="Times New Roman" w:ascii="Times New Roman" w:hAnsi="Times New Roman"/>
                <w:b w:val="false"/>
                <w:sz w:val="24"/>
                <w:szCs w:val="24"/>
                <w:lang w:val="nl-NL" w:eastAsia="en-US"/>
              </w:rPr>
              <w:tab/>
            </w:r>
            <w:r>
              <w:rPr>
                <w:rStyle w:val="IndexLink"/>
                <w:lang w:val="en-US" w:eastAsia="en-US"/>
              </w:rPr>
              <w:t>CSRP availability</w:t>
              <w:tab/>
              <w:t>5</w:t>
            </w:r>
          </w:hyperlink>
        </w:p>
        <w:p>
          <w:pPr>
            <w:pStyle w:val="TOC1"/>
            <w:tabs>
              <w:tab w:val="left" w:pos="567" w:leader="none"/>
              <w:tab w:val="left" w:pos="974" w:leader="none"/>
              <w:tab w:val="right" w:pos="8505" w:leader="dot"/>
            </w:tabs>
            <w:rPr>
              <w:rFonts w:ascii="Times New Roman" w:hAnsi="Times New Roman" w:cs="Times New Roman"/>
              <w:b w:val="false"/>
              <w:sz w:val="24"/>
              <w:szCs w:val="24"/>
              <w:lang w:val="nl-NL" w:eastAsia="en-US"/>
            </w:rPr>
          </w:pPr>
          <w:hyperlink w:anchor="__RefHeading___Toc172708996">
            <w:r>
              <w:rPr>
                <w:rStyle w:val="IndexLink"/>
                <w:lang w:val="en-US" w:eastAsia="en-US"/>
              </w:rPr>
              <w:t>6.</w:t>
            </w:r>
            <w:r>
              <w:rPr>
                <w:rStyle w:val="IndexLink"/>
                <w:rFonts w:cs="Times New Roman" w:ascii="Times New Roman" w:hAnsi="Times New Roman"/>
                <w:b w:val="false"/>
                <w:sz w:val="24"/>
                <w:szCs w:val="24"/>
                <w:lang w:val="nl-NL" w:eastAsia="en-US"/>
              </w:rPr>
              <w:tab/>
            </w:r>
            <w:r>
              <w:rPr>
                <w:rStyle w:val="IndexLink"/>
                <w:lang w:val="en-US" w:eastAsia="en-US"/>
              </w:rPr>
              <w:t>Review and update</w:t>
              <w:tab/>
              <w:t>5</w:t>
            </w:r>
          </w:hyperlink>
        </w:p>
        <w:p>
          <w:pPr>
            <w:pStyle w:val="TOC1"/>
            <w:tabs>
              <w:tab w:val="left" w:pos="567" w:leader="none"/>
              <w:tab w:val="left" w:pos="974" w:leader="none"/>
              <w:tab w:val="right" w:pos="8505" w:leader="dot"/>
            </w:tabs>
            <w:rPr>
              <w:rFonts w:ascii="Times New Roman" w:hAnsi="Times New Roman" w:cs="Times New Roman"/>
              <w:b w:val="false"/>
              <w:sz w:val="24"/>
              <w:szCs w:val="24"/>
              <w:lang w:val="nl-NL" w:eastAsia="en-US"/>
            </w:rPr>
          </w:pPr>
          <w:hyperlink w:anchor="__RefHeading___Toc172708997">
            <w:r>
              <w:rPr>
                <w:rStyle w:val="IndexLink"/>
                <w:lang w:val="en-US" w:eastAsia="en-US"/>
              </w:rPr>
              <w:t>7.</w:t>
            </w:r>
            <w:r>
              <w:rPr>
                <w:rStyle w:val="IndexLink"/>
                <w:rFonts w:cs="Times New Roman" w:ascii="Times New Roman" w:hAnsi="Times New Roman"/>
                <w:b w:val="false"/>
                <w:sz w:val="24"/>
                <w:szCs w:val="24"/>
                <w:lang w:val="nl-NL" w:eastAsia="en-US"/>
              </w:rPr>
              <w:tab/>
            </w:r>
            <w:r>
              <w:rPr>
                <w:rStyle w:val="IndexLink"/>
                <w:lang w:val="en-US" w:eastAsia="en-US"/>
              </w:rPr>
              <w:t>References</w:t>
              <w:tab/>
              <w:t>5</w:t>
            </w:r>
          </w:hyperlink>
        </w:p>
        <w:p>
          <w:pPr>
            <w:pStyle w:val="TOC1"/>
            <w:tabs>
              <w:tab w:val="left" w:pos="567" w:leader="none"/>
              <w:tab w:val="left" w:pos="974" w:leader="none"/>
              <w:tab w:val="right" w:pos="8505" w:leader="dot"/>
            </w:tabs>
            <w:rPr>
              <w:rFonts w:ascii="Times New Roman" w:hAnsi="Times New Roman" w:cs="Times New Roman"/>
              <w:b w:val="false"/>
              <w:sz w:val="24"/>
              <w:szCs w:val="24"/>
              <w:lang w:val="nl-NL" w:eastAsia="en-US"/>
            </w:rPr>
          </w:pPr>
          <w:hyperlink w:anchor="__RefHeading___Toc172708998">
            <w:r>
              <w:rPr>
                <w:rStyle w:val="IndexLink"/>
                <w:lang w:val="en-US" w:eastAsia="en-US"/>
              </w:rPr>
              <w:t>8.</w:t>
            </w:r>
            <w:r>
              <w:rPr>
                <w:rStyle w:val="IndexLink"/>
                <w:rFonts w:cs="Times New Roman" w:ascii="Times New Roman" w:hAnsi="Times New Roman"/>
                <w:b w:val="false"/>
                <w:sz w:val="24"/>
                <w:szCs w:val="24"/>
                <w:lang w:val="nl-NL" w:eastAsia="en-US"/>
              </w:rPr>
              <w:tab/>
            </w:r>
            <w:r>
              <w:rPr>
                <w:rStyle w:val="IndexLink"/>
                <w:lang w:val="en-US" w:eastAsia="en-US"/>
              </w:rPr>
              <w:t>Explanation of Terms</w:t>
              <w:tab/>
              <w:t>5</w:t>
            </w:r>
          </w:hyperlink>
        </w:p>
        <w:p>
          <w:pPr>
            <w:pStyle w:val="TOC1"/>
            <w:tabs>
              <w:tab w:val="left" w:pos="567" w:leader="none"/>
              <w:tab w:val="left" w:pos="974" w:leader="none"/>
              <w:tab w:val="right" w:pos="8505" w:leader="dot"/>
            </w:tabs>
            <w:rPr>
              <w:rFonts w:ascii="Times New Roman" w:hAnsi="Times New Roman" w:cs="Times New Roman"/>
              <w:b w:val="false"/>
              <w:sz w:val="24"/>
              <w:szCs w:val="24"/>
              <w:lang w:val="nl-NL" w:eastAsia="en-US"/>
            </w:rPr>
          </w:pPr>
          <w:hyperlink w:anchor="__RefHeading___Toc172708999">
            <w:r>
              <w:rPr>
                <w:rStyle w:val="IndexLink"/>
                <w:lang w:val="en-US" w:eastAsia="en-US"/>
              </w:rPr>
              <w:t>9.</w:t>
            </w:r>
            <w:r>
              <w:rPr>
                <w:rStyle w:val="IndexLink"/>
                <w:rFonts w:cs="Times New Roman" w:ascii="Times New Roman" w:hAnsi="Times New Roman"/>
                <w:b w:val="false"/>
                <w:sz w:val="24"/>
                <w:szCs w:val="24"/>
                <w:lang w:val="nl-NL" w:eastAsia="en-US"/>
              </w:rPr>
              <w:tab/>
            </w:r>
            <w:r>
              <w:rPr>
                <w:rStyle w:val="IndexLink"/>
                <w:lang w:val="en-US" w:eastAsia="en-US"/>
              </w:rPr>
              <w:t>Ethical behaviour</w:t>
              <w:tab/>
              <w:t>6</w:t>
            </w:r>
          </w:hyperlink>
        </w:p>
        <w:p>
          <w:pPr>
            <w:pStyle w:val="TOC1"/>
            <w:tabs>
              <w:tab w:val="left" w:pos="567" w:leader="none"/>
              <w:tab w:val="left" w:pos="1085" w:leader="none"/>
              <w:tab w:val="right" w:pos="8505" w:leader="dot"/>
            </w:tabs>
            <w:rPr>
              <w:rFonts w:ascii="Times New Roman" w:hAnsi="Times New Roman" w:cs="Times New Roman"/>
              <w:b w:val="false"/>
              <w:sz w:val="24"/>
              <w:szCs w:val="24"/>
              <w:lang w:val="nl-NL" w:eastAsia="en-US"/>
            </w:rPr>
          </w:pPr>
          <w:hyperlink w:anchor="__RefHeading___Toc172709000">
            <w:r>
              <w:rPr>
                <w:rStyle w:val="IndexLink"/>
                <w:lang w:val="en-US" w:eastAsia="en-US"/>
              </w:rPr>
              <w:t>10.</w:t>
            </w:r>
            <w:r>
              <w:rPr>
                <w:rStyle w:val="IndexLink"/>
                <w:rFonts w:cs="Times New Roman" w:ascii="Times New Roman" w:hAnsi="Times New Roman"/>
                <w:b w:val="false"/>
                <w:sz w:val="24"/>
                <w:szCs w:val="24"/>
                <w:lang w:val="nl-NL" w:eastAsia="en-US"/>
              </w:rPr>
              <w:tab/>
            </w:r>
            <w:r>
              <w:rPr>
                <w:rStyle w:val="IndexLink"/>
                <w:lang w:val="en-US" w:eastAsia="en-US"/>
              </w:rPr>
              <w:t>Transparency</w:t>
              <w:tab/>
              <w:t>6</w:t>
            </w:r>
          </w:hyperlink>
        </w:p>
        <w:p>
          <w:pPr>
            <w:pStyle w:val="TOC1"/>
            <w:tabs>
              <w:tab w:val="left" w:pos="567" w:leader="none"/>
              <w:tab w:val="left" w:pos="1085" w:leader="none"/>
              <w:tab w:val="right" w:pos="8505" w:leader="dot"/>
            </w:tabs>
            <w:rPr>
              <w:rFonts w:ascii="Times New Roman" w:hAnsi="Times New Roman" w:cs="Times New Roman"/>
              <w:b w:val="false"/>
              <w:sz w:val="24"/>
              <w:szCs w:val="24"/>
              <w:lang w:val="nl-NL" w:eastAsia="en-US"/>
            </w:rPr>
          </w:pPr>
          <w:hyperlink w:anchor="__RefHeading___Toc172709001">
            <w:r>
              <w:rPr>
                <w:rStyle w:val="IndexLink"/>
                <w:lang w:val="en-US" w:eastAsia="en-US"/>
              </w:rPr>
              <w:t>11.</w:t>
            </w:r>
            <w:r>
              <w:rPr>
                <w:rStyle w:val="IndexLink"/>
                <w:rFonts w:cs="Times New Roman" w:ascii="Times New Roman" w:hAnsi="Times New Roman"/>
                <w:b w:val="false"/>
                <w:sz w:val="24"/>
                <w:szCs w:val="24"/>
                <w:lang w:val="nl-NL" w:eastAsia="en-US"/>
              </w:rPr>
              <w:tab/>
            </w:r>
            <w:r>
              <w:rPr>
                <w:rStyle w:val="IndexLink"/>
                <w:lang w:val="en-US" w:eastAsia="en-US"/>
              </w:rPr>
              <w:t>Good communications</w:t>
              <w:tab/>
              <w:t>6</w:t>
            </w:r>
          </w:hyperlink>
        </w:p>
        <w:p>
          <w:pPr>
            <w:pStyle w:val="TOC1"/>
            <w:tabs>
              <w:tab w:val="left" w:pos="567" w:leader="none"/>
              <w:tab w:val="left" w:pos="1085" w:leader="none"/>
              <w:tab w:val="right" w:pos="8505" w:leader="dot"/>
            </w:tabs>
            <w:rPr>
              <w:rFonts w:ascii="Times New Roman" w:hAnsi="Times New Roman" w:cs="Times New Roman"/>
              <w:b w:val="false"/>
              <w:sz w:val="24"/>
              <w:szCs w:val="24"/>
              <w:lang w:val="nl-NL" w:eastAsia="en-US"/>
            </w:rPr>
          </w:pPr>
          <w:hyperlink w:anchor="__RefHeading___Toc172709002">
            <w:r>
              <w:rPr>
                <w:rStyle w:val="IndexLink"/>
                <w:lang w:val="en-US" w:eastAsia="en-US"/>
              </w:rPr>
              <w:t>12.</w:t>
            </w:r>
            <w:r>
              <w:rPr>
                <w:rStyle w:val="IndexLink"/>
                <w:rFonts w:cs="Times New Roman" w:ascii="Times New Roman" w:hAnsi="Times New Roman"/>
                <w:b w:val="false"/>
                <w:sz w:val="24"/>
                <w:szCs w:val="24"/>
                <w:lang w:val="nl-NL" w:eastAsia="en-US"/>
              </w:rPr>
              <w:tab/>
            </w:r>
            <w:r>
              <w:rPr>
                <w:rStyle w:val="IndexLink"/>
                <w:lang w:val="en-US" w:eastAsia="en-US"/>
              </w:rPr>
              <w:t>Care of employees</w:t>
              <w:tab/>
              <w:t>7</w:t>
            </w:r>
          </w:hyperlink>
        </w:p>
        <w:p>
          <w:pPr>
            <w:pStyle w:val="TOC1"/>
            <w:tabs>
              <w:tab w:val="left" w:pos="567" w:leader="none"/>
              <w:tab w:val="left" w:pos="1085" w:leader="none"/>
              <w:tab w:val="right" w:pos="8505" w:leader="dot"/>
            </w:tabs>
            <w:rPr>
              <w:rFonts w:ascii="Times New Roman" w:hAnsi="Times New Roman" w:cs="Times New Roman"/>
              <w:b w:val="false"/>
              <w:sz w:val="24"/>
              <w:szCs w:val="24"/>
              <w:lang w:val="nl-NL" w:eastAsia="en-US"/>
            </w:rPr>
          </w:pPr>
          <w:hyperlink w:anchor="__RefHeading___Toc172709003">
            <w:r>
              <w:rPr>
                <w:rStyle w:val="IndexLink"/>
                <w:lang w:val="en-US" w:eastAsia="en-US"/>
              </w:rPr>
              <w:t>13.</w:t>
            </w:r>
            <w:r>
              <w:rPr>
                <w:rStyle w:val="IndexLink"/>
                <w:rFonts w:cs="Times New Roman" w:ascii="Times New Roman" w:hAnsi="Times New Roman"/>
                <w:b w:val="false"/>
                <w:sz w:val="24"/>
                <w:szCs w:val="24"/>
                <w:lang w:val="nl-NL" w:eastAsia="en-US"/>
              </w:rPr>
              <w:tab/>
            </w:r>
            <w:r>
              <w:rPr>
                <w:rStyle w:val="IndexLink"/>
                <w:lang w:val="en-US" w:eastAsia="en-US"/>
              </w:rPr>
              <w:t>Care of health and safety</w:t>
              <w:tab/>
              <w:t>7</w:t>
            </w:r>
          </w:hyperlink>
        </w:p>
        <w:p>
          <w:pPr>
            <w:pStyle w:val="TOC1"/>
            <w:tabs>
              <w:tab w:val="left" w:pos="567" w:leader="none"/>
              <w:tab w:val="left" w:pos="1085" w:leader="none"/>
              <w:tab w:val="right" w:pos="8505" w:leader="dot"/>
            </w:tabs>
            <w:rPr>
              <w:rFonts w:ascii="Times New Roman" w:hAnsi="Times New Roman" w:cs="Times New Roman"/>
              <w:b w:val="false"/>
              <w:sz w:val="24"/>
              <w:szCs w:val="24"/>
              <w:lang w:val="nl-NL" w:eastAsia="en-US"/>
            </w:rPr>
          </w:pPr>
          <w:hyperlink w:anchor="__RefHeading___Toc172709004">
            <w:r>
              <w:rPr>
                <w:rStyle w:val="IndexLink"/>
                <w:lang w:val="en-US" w:eastAsia="en-US"/>
              </w:rPr>
              <w:t>14.</w:t>
            </w:r>
            <w:r>
              <w:rPr>
                <w:rStyle w:val="IndexLink"/>
                <w:rFonts w:cs="Times New Roman" w:ascii="Times New Roman" w:hAnsi="Times New Roman"/>
                <w:b w:val="false"/>
                <w:sz w:val="24"/>
                <w:szCs w:val="24"/>
                <w:lang w:val="nl-NL" w:eastAsia="en-US"/>
              </w:rPr>
              <w:tab/>
            </w:r>
            <w:r>
              <w:rPr>
                <w:rStyle w:val="IndexLink"/>
                <w:lang w:val="en-US" w:eastAsia="en-US"/>
              </w:rPr>
              <w:t>Attention to training and development</w:t>
              <w:tab/>
              <w:t>7</w:t>
            </w:r>
          </w:hyperlink>
        </w:p>
        <w:p>
          <w:pPr>
            <w:pStyle w:val="TOC1"/>
            <w:tabs>
              <w:tab w:val="left" w:pos="567" w:leader="none"/>
              <w:tab w:val="left" w:pos="1085" w:leader="none"/>
              <w:tab w:val="right" w:pos="8505" w:leader="dot"/>
            </w:tabs>
            <w:rPr>
              <w:rFonts w:ascii="Times New Roman" w:hAnsi="Times New Roman" w:cs="Times New Roman"/>
              <w:b w:val="false"/>
              <w:sz w:val="24"/>
              <w:szCs w:val="24"/>
              <w:lang w:val="nl-NL" w:eastAsia="en-US"/>
            </w:rPr>
          </w:pPr>
          <w:hyperlink w:anchor="__RefHeading___Toc172709005">
            <w:r>
              <w:rPr>
                <w:rStyle w:val="IndexLink"/>
                <w:lang w:val="en-US" w:eastAsia="en-US"/>
              </w:rPr>
              <w:t>15.</w:t>
            </w:r>
            <w:r>
              <w:rPr>
                <w:rStyle w:val="IndexLink"/>
                <w:rFonts w:cs="Times New Roman" w:ascii="Times New Roman" w:hAnsi="Times New Roman"/>
                <w:b w:val="false"/>
                <w:sz w:val="24"/>
                <w:szCs w:val="24"/>
                <w:lang w:val="nl-NL" w:eastAsia="en-US"/>
              </w:rPr>
              <w:tab/>
            </w:r>
            <w:r>
              <w:rPr>
                <w:rStyle w:val="IndexLink"/>
                <w:lang w:val="en-US" w:eastAsia="en-US"/>
              </w:rPr>
              <w:t>Attention to community relations</w:t>
              <w:tab/>
              <w:t>7</w:t>
            </w:r>
          </w:hyperlink>
        </w:p>
        <w:p>
          <w:pPr>
            <w:pStyle w:val="TOC1"/>
            <w:tabs>
              <w:tab w:val="left" w:pos="567" w:leader="none"/>
              <w:tab w:val="left" w:pos="1085" w:leader="none"/>
              <w:tab w:val="right" w:pos="8505" w:leader="dot"/>
            </w:tabs>
            <w:rPr>
              <w:rFonts w:ascii="Times New Roman" w:hAnsi="Times New Roman" w:cs="Times New Roman"/>
              <w:b w:val="false"/>
              <w:sz w:val="24"/>
              <w:szCs w:val="24"/>
              <w:lang w:val="nl-NL" w:eastAsia="en-US"/>
            </w:rPr>
          </w:pPr>
          <w:hyperlink w:anchor="__RefHeading___Toc172709006">
            <w:r>
              <w:rPr>
                <w:rStyle w:val="IndexLink"/>
                <w:lang w:val="en-US" w:eastAsia="en-US"/>
              </w:rPr>
              <w:t>16.</w:t>
            </w:r>
            <w:r>
              <w:rPr>
                <w:rStyle w:val="IndexLink"/>
                <w:rFonts w:cs="Times New Roman" w:ascii="Times New Roman" w:hAnsi="Times New Roman"/>
                <w:b w:val="false"/>
                <w:sz w:val="24"/>
                <w:szCs w:val="24"/>
                <w:lang w:val="nl-NL" w:eastAsia="en-US"/>
              </w:rPr>
              <w:tab/>
            </w:r>
            <w:r>
              <w:rPr>
                <w:rStyle w:val="IndexLink"/>
                <w:lang w:val="en-US" w:eastAsia="en-US"/>
              </w:rPr>
              <w:t>Care of the environment</w:t>
              <w:tab/>
              <w:t>8</w:t>
            </w:r>
          </w:hyperlink>
        </w:p>
        <w:p>
          <w:pPr>
            <w:pStyle w:val="TOC1"/>
            <w:tabs>
              <w:tab w:val="left" w:pos="567" w:leader="none"/>
              <w:tab w:val="left" w:pos="1085" w:leader="none"/>
              <w:tab w:val="right" w:pos="8505" w:leader="dot"/>
            </w:tabs>
            <w:rPr>
              <w:rFonts w:ascii="Times New Roman" w:hAnsi="Times New Roman" w:cs="Times New Roman"/>
              <w:b w:val="false"/>
              <w:sz w:val="24"/>
              <w:szCs w:val="24"/>
              <w:lang w:val="nl-NL" w:eastAsia="en-US"/>
            </w:rPr>
          </w:pPr>
          <w:hyperlink w:anchor="__RefHeading___Toc172709007">
            <w:r>
              <w:rPr>
                <w:rStyle w:val="IndexLink"/>
                <w:lang w:val="en-US" w:eastAsia="en-US"/>
              </w:rPr>
              <w:t>17.</w:t>
            </w:r>
            <w:r>
              <w:rPr>
                <w:rStyle w:val="IndexLink"/>
                <w:rFonts w:cs="Times New Roman" w:ascii="Times New Roman" w:hAnsi="Times New Roman"/>
                <w:b w:val="false"/>
                <w:sz w:val="24"/>
                <w:szCs w:val="24"/>
                <w:lang w:val="nl-NL" w:eastAsia="en-US"/>
              </w:rPr>
              <w:tab/>
            </w:r>
            <w:r>
              <w:rPr>
                <w:rStyle w:val="IndexLink"/>
                <w:lang w:val="en-US" w:eastAsia="en-US"/>
              </w:rPr>
              <w:t>Sustainable development</w:t>
              <w:tab/>
              <w:t>8</w:t>
            </w:r>
          </w:hyperlink>
          <w:r>
            <w:rPr>
              <w:rStyle w:val="IndexLink"/>
              <w:lang w:val="en-US" w:eastAsia="en-US"/>
            </w:rPr>
            <w:fldChar w:fldCharType="end"/>
          </w:r>
        </w:p>
      </w:sdtContent>
    </w:sdt>
    <w:p>
      <w:pPr>
        <w:pStyle w:val="TOC1"/>
        <w:rPr/>
      </w:pPr>
      <w:r>
        <w:rPr>
          <w:rStyle w:val="CommentReference"/>
          <w:b/>
          <w:vanish w:val="false"/>
        </w:rPr>
        <w:commentReference w:id="0"/>
      </w:r>
      <w:r>
        <w:br w:type="page"/>
      </w:r>
    </w:p>
    <w:p>
      <w:pPr>
        <w:pStyle w:val="Heading1"/>
        <w:ind w:hanging="0" w:left="567"/>
        <w:rPr/>
      </w:pPr>
      <w:bookmarkStart w:id="0" w:name="__RefHeading___Toc172708991"/>
      <w:bookmarkEnd w:id="0"/>
      <w:r>
        <w:rPr/>
        <w:t>Introduction</w:t>
      </w:r>
    </w:p>
    <w:p>
      <w:pPr>
        <w:pStyle w:val="Normal"/>
        <w:rPr/>
      </w:pPr>
      <w:r>
        <w:rPr/>
      </w:r>
    </w:p>
    <w:p>
      <w:pPr>
        <w:pStyle w:val="Normal"/>
        <w:rPr/>
      </w:pPr>
      <w:r>
        <w:rPr/>
        <w:t>This Corporate Social Responsibility Policy Document (CSRPD) describes SHANFARI TRADING AND FURNISHING CO. LLC’s Policy and related framework for ensuring that its Corporate Social Responsibilities (CSR) are clearly defined, communicated, understood, and implemented by company personnel and other concerned stakeholders.</w:t>
      </w:r>
    </w:p>
    <w:p>
      <w:pPr>
        <w:pStyle w:val="Normal"/>
        <w:rPr/>
      </w:pPr>
      <w:r>
        <w:rPr/>
      </w:r>
    </w:p>
    <w:p>
      <w:pPr>
        <w:pStyle w:val="Normal"/>
        <w:rPr/>
      </w:pPr>
      <w:r>
        <w:rPr/>
        <w:t>The CSR system is structured so that adherence to its requirements is easily demonstrable. Verification of its application throughout the organisation is by periodic audit. The CSRPD shall be incorporated into the project plans for each and every project.</w:t>
      </w:r>
    </w:p>
    <w:p>
      <w:pPr>
        <w:pStyle w:val="Header"/>
        <w:tabs>
          <w:tab w:val="clear" w:pos="4320"/>
          <w:tab w:val="clear" w:pos="8640"/>
        </w:tabs>
        <w:rPr/>
      </w:pPr>
      <w:r>
        <w:rPr/>
      </w:r>
    </w:p>
    <w:p>
      <w:pPr>
        <w:pStyle w:val="Normal"/>
        <w:rPr/>
      </w:pPr>
      <w:r>
        <w:rPr/>
        <w:t>The system is centred on our management of the economic, social and environmental impact of our business operations. It includes SHANFARI TRADING AND FURNISHING CO. LLC’s corporate values of transparency, honesty, integrity and respect.</w:t>
      </w:r>
    </w:p>
    <w:p>
      <w:pPr>
        <w:pStyle w:val="Normal"/>
        <w:rPr/>
      </w:pPr>
      <w:r>
        <w:rPr/>
      </w:r>
    </w:p>
    <w:p>
      <w:pPr>
        <w:pStyle w:val="Normal"/>
        <w:rPr/>
      </w:pPr>
      <w:r>
        <w:rPr/>
        <w:t xml:space="preserve">The CSRPD is a 'living document' and as such may be subject to changes. Necessary changes shall be carried out in accordance with Section 6. </w:t>
      </w:r>
    </w:p>
    <w:p>
      <w:pPr>
        <w:pStyle w:val="Normal"/>
        <w:rPr/>
      </w:pPr>
      <w:r>
        <w:rPr/>
      </w:r>
    </w:p>
    <w:p>
      <w:pPr>
        <w:pStyle w:val="PlainText"/>
        <w:rPr>
          <w:rFonts w:ascii="Arial" w:hAnsi="Arial" w:cs="Arial"/>
        </w:rPr>
      </w:pPr>
      <w:r>
        <w:rPr>
          <w:rFonts w:cs="Arial" w:ascii="Arial" w:hAnsi="Arial"/>
        </w:rPr>
      </w:r>
      <w:r>
        <w:br w:type="page"/>
      </w:r>
    </w:p>
    <w:p>
      <w:pPr>
        <w:pStyle w:val="Heading1"/>
        <w:ind w:hanging="0" w:left="567"/>
        <w:rPr/>
      </w:pPr>
      <w:bookmarkStart w:id="1" w:name="__RefHeading___Toc172708992"/>
      <w:bookmarkEnd w:id="1"/>
      <w:r>
        <w:rPr/>
        <w:t>Mission Statement</w:t>
      </w:r>
    </w:p>
    <w:p>
      <w:pPr>
        <w:pStyle w:val="Normal"/>
        <w:rPr/>
      </w:pPr>
      <w:r>
        <w:rPr/>
      </w:r>
    </w:p>
    <w:p>
      <w:pPr>
        <w:pStyle w:val="Normal"/>
        <w:rPr/>
      </w:pPr>
      <w:r>
        <w:rPr/>
        <w:t>The goal of SHANFARI TRADING AND FURNISHING CO. LLC is to operate as a reputable international contractor providing quality services to clients, job satisfaction and career opportunities for its employees and optimal financial results.</w:t>
      </w:r>
    </w:p>
    <w:p>
      <w:pPr>
        <w:pStyle w:val="Normal"/>
        <w:rPr/>
      </w:pPr>
      <w:r>
        <w:rPr/>
      </w:r>
    </w:p>
    <w:p>
      <w:pPr>
        <w:pStyle w:val="Normal"/>
        <w:rPr/>
      </w:pPr>
      <w:r>
        <w:rPr/>
        <w:t>Our focus is on entrepreneurship, flexibility, open communication and accountability within a challenging work environment.</w:t>
      </w:r>
    </w:p>
    <w:p>
      <w:pPr>
        <w:pStyle w:val="Heading1"/>
        <w:numPr>
          <w:ilvl w:val="0"/>
          <w:numId w:val="0"/>
        </w:numPr>
        <w:ind w:hanging="0" w:left="0"/>
        <w:rPr/>
      </w:pPr>
      <w:r>
        <w:rPr/>
      </w:r>
    </w:p>
    <w:p>
      <w:pPr>
        <w:pStyle w:val="Heading1"/>
        <w:ind w:hanging="0" w:left="567"/>
        <w:rPr/>
      </w:pPr>
      <w:bookmarkStart w:id="2" w:name="__RefHeading___Toc172708993"/>
      <w:r>
        <w:rPr/>
        <w:t>Corporate Social Responsibility Policy Statement</w:t>
      </w:r>
      <w:bookmarkEnd w:id="2"/>
      <w:r>
        <w:rPr/>
        <w:t xml:space="preserve"> </w:t>
      </w:r>
    </w:p>
    <w:p>
      <w:pPr>
        <w:pStyle w:val="PlainText"/>
        <w:ind w:left="567" w:right="0"/>
        <w:rPr>
          <w:rFonts w:ascii="Arial" w:hAnsi="Arial" w:cs="Arial"/>
        </w:rPr>
      </w:pPr>
      <w:r>
        <w:rPr>
          <w:rFonts w:cs="Arial" w:ascii="Arial" w:hAnsi="Arial"/>
        </w:rPr>
      </w:r>
    </w:p>
    <w:p>
      <w:pPr>
        <w:pStyle w:val="PlainText"/>
        <w:ind w:left="567" w:right="0"/>
        <w:rPr/>
      </w:pPr>
      <w:r>
        <w:rPr>
          <w:rFonts w:cs="Arial" w:ascii="Arial" w:hAnsi="Arial"/>
        </w:rPr>
        <w:t>The Corporate Social Responsibility Policy of SHANFARI TRADING AND FURNISHING CO. LLC is to conduct its business in such a way that its values and behaviour are aligned to the expectations and needs of stakeholders and society. The Policy is put into effect through the Corporate Social Responsibility Policy Document. This document incorporates the SHANFARI TRADING AND FURNISHING CO. LLC Code of Conduct, and takes account of the Framework Agreement between Royal BAM Group nv and the Building Woodworkers International for the promotion and protection of workers’ rights. It also takes account of the Universal Declaration of Human Rights and the Organisation for Economic Co-operation and Development (OECD), Guidelines for Multinational Enterprises.</w:t>
      </w:r>
    </w:p>
    <w:p>
      <w:pPr>
        <w:pStyle w:val="PlainText"/>
        <w:ind w:left="567" w:right="0"/>
        <w:rPr>
          <w:rFonts w:ascii="Arial" w:hAnsi="Arial" w:cs="Arial"/>
        </w:rPr>
      </w:pPr>
      <w:r>
        <w:rPr>
          <w:rFonts w:cs="Arial" w:ascii="Arial" w:hAnsi="Arial"/>
        </w:rPr>
      </w:r>
    </w:p>
    <w:p>
      <w:pPr>
        <w:pStyle w:val="PlainText"/>
        <w:ind w:left="567" w:right="0"/>
        <w:rPr>
          <w:rFonts w:ascii="Arial" w:hAnsi="Arial" w:cs="Arial"/>
        </w:rPr>
      </w:pPr>
      <w:r>
        <w:rPr>
          <w:rFonts w:cs="Arial" w:ascii="Arial" w:hAnsi="Arial"/>
        </w:rPr>
        <w:t>Local legislation requirements shall be the absolute minimum standard for our operations.</w:t>
      </w:r>
    </w:p>
    <w:p>
      <w:pPr>
        <w:pStyle w:val="PlainText"/>
        <w:ind w:left="567" w:right="0"/>
        <w:rPr>
          <w:rFonts w:ascii="Arial" w:hAnsi="Arial" w:cs="Arial"/>
        </w:rPr>
      </w:pPr>
      <w:r>
        <w:rPr>
          <w:rFonts w:cs="Arial" w:ascii="Arial" w:hAnsi="Arial"/>
        </w:rPr>
      </w:r>
    </w:p>
    <w:p>
      <w:pPr>
        <w:pStyle w:val="PlainText"/>
        <w:ind w:left="567" w:right="0"/>
        <w:rPr>
          <w:rFonts w:ascii="Arial" w:hAnsi="Arial" w:cs="Arial"/>
        </w:rPr>
      </w:pPr>
      <w:r>
        <w:rPr>
          <w:rFonts w:cs="Arial" w:ascii="Arial" w:hAnsi="Arial"/>
        </w:rPr>
        <w:t xml:space="preserve">Central to the implementation of the Policy are: </w:t>
      </w:r>
    </w:p>
    <w:p>
      <w:pPr>
        <w:pStyle w:val="PlainText"/>
        <w:ind w:left="567" w:right="0"/>
        <w:rPr>
          <w:rFonts w:ascii="Arial" w:hAnsi="Arial" w:cs="Arial"/>
        </w:rPr>
      </w:pPr>
      <w:r>
        <w:rPr>
          <w:rFonts w:cs="Arial" w:ascii="Arial" w:hAnsi="Arial"/>
        </w:rPr>
      </w:r>
    </w:p>
    <w:p>
      <w:pPr>
        <w:pStyle w:val="PlainText"/>
        <w:numPr>
          <w:ilvl w:val="0"/>
          <w:numId w:val="3"/>
        </w:numPr>
        <w:rPr>
          <w:rFonts w:ascii="Arial" w:hAnsi="Arial" w:cs="Arial"/>
        </w:rPr>
      </w:pPr>
      <w:r>
        <w:rPr>
          <w:rFonts w:cs="Arial" w:ascii="Arial" w:hAnsi="Arial"/>
        </w:rPr>
        <w:t>Ethical behaviour in business</w:t>
      </w:r>
    </w:p>
    <w:p>
      <w:pPr>
        <w:pStyle w:val="PlainText"/>
        <w:numPr>
          <w:ilvl w:val="0"/>
          <w:numId w:val="3"/>
        </w:numPr>
        <w:rPr>
          <w:rFonts w:ascii="Arial" w:hAnsi="Arial" w:cs="Arial"/>
        </w:rPr>
      </w:pPr>
      <w:r>
        <w:rPr>
          <w:rFonts w:cs="Arial" w:ascii="Arial" w:hAnsi="Arial"/>
        </w:rPr>
        <w:t>Transparency</w:t>
      </w:r>
    </w:p>
    <w:p>
      <w:pPr>
        <w:pStyle w:val="PlainText"/>
        <w:numPr>
          <w:ilvl w:val="0"/>
          <w:numId w:val="3"/>
        </w:numPr>
        <w:rPr>
          <w:rFonts w:ascii="Arial" w:hAnsi="Arial" w:cs="Arial"/>
        </w:rPr>
      </w:pPr>
      <w:r>
        <w:rPr>
          <w:rFonts w:cs="Arial" w:ascii="Arial" w:hAnsi="Arial"/>
        </w:rPr>
        <w:t>Good communications</w:t>
      </w:r>
    </w:p>
    <w:p>
      <w:pPr>
        <w:pStyle w:val="PlainText"/>
        <w:numPr>
          <w:ilvl w:val="0"/>
          <w:numId w:val="3"/>
        </w:numPr>
        <w:rPr>
          <w:rFonts w:ascii="Arial" w:hAnsi="Arial" w:cs="Arial"/>
        </w:rPr>
      </w:pPr>
      <w:r>
        <w:rPr>
          <w:rFonts w:cs="Arial" w:ascii="Arial" w:hAnsi="Arial"/>
        </w:rPr>
        <w:t>Care of all employees (labour relations and working conditions)</w:t>
      </w:r>
    </w:p>
    <w:p>
      <w:pPr>
        <w:pStyle w:val="PlainText"/>
        <w:numPr>
          <w:ilvl w:val="0"/>
          <w:numId w:val="3"/>
        </w:numPr>
        <w:rPr>
          <w:rFonts w:ascii="Arial" w:hAnsi="Arial" w:cs="Arial"/>
        </w:rPr>
      </w:pPr>
      <w:r>
        <w:rPr>
          <w:rFonts w:cs="Arial" w:ascii="Arial" w:hAnsi="Arial"/>
        </w:rPr>
        <w:t>Care of Health and Safety</w:t>
      </w:r>
    </w:p>
    <w:p>
      <w:pPr>
        <w:pStyle w:val="PlainText"/>
        <w:numPr>
          <w:ilvl w:val="0"/>
          <w:numId w:val="3"/>
        </w:numPr>
        <w:rPr>
          <w:rFonts w:ascii="Arial" w:hAnsi="Arial" w:cs="Arial"/>
        </w:rPr>
      </w:pPr>
      <w:r>
        <w:rPr>
          <w:rFonts w:cs="Arial" w:ascii="Arial" w:hAnsi="Arial"/>
        </w:rPr>
        <w:t>Attention to training and development</w:t>
      </w:r>
    </w:p>
    <w:p>
      <w:pPr>
        <w:pStyle w:val="PlainText"/>
        <w:numPr>
          <w:ilvl w:val="0"/>
          <w:numId w:val="3"/>
        </w:numPr>
        <w:rPr>
          <w:rFonts w:ascii="Arial" w:hAnsi="Arial" w:cs="Arial"/>
        </w:rPr>
      </w:pPr>
      <w:r>
        <w:rPr>
          <w:rFonts w:cs="Arial" w:ascii="Arial" w:hAnsi="Arial"/>
        </w:rPr>
        <w:t>Attention to community relations</w:t>
      </w:r>
    </w:p>
    <w:p>
      <w:pPr>
        <w:pStyle w:val="PlainText"/>
        <w:numPr>
          <w:ilvl w:val="0"/>
          <w:numId w:val="3"/>
        </w:numPr>
        <w:rPr>
          <w:rFonts w:ascii="Arial" w:hAnsi="Arial" w:cs="Arial"/>
        </w:rPr>
      </w:pPr>
      <w:r>
        <w:rPr>
          <w:rFonts w:cs="Arial" w:ascii="Arial" w:hAnsi="Arial"/>
        </w:rPr>
        <w:t>Care of the environment</w:t>
      </w:r>
    </w:p>
    <w:p>
      <w:pPr>
        <w:pStyle w:val="PlainText"/>
        <w:numPr>
          <w:ilvl w:val="0"/>
          <w:numId w:val="3"/>
        </w:numPr>
        <w:rPr>
          <w:rFonts w:ascii="Arial" w:hAnsi="Arial" w:cs="Arial"/>
        </w:rPr>
      </w:pPr>
      <w:r>
        <w:rPr>
          <w:rFonts w:cs="Arial" w:ascii="Arial" w:hAnsi="Arial"/>
        </w:rPr>
        <w:t>Sustainable development</w:t>
      </w:r>
    </w:p>
    <w:p>
      <w:pPr>
        <w:pStyle w:val="PlainText"/>
        <w:ind w:left="567" w:right="0"/>
        <w:rPr>
          <w:rFonts w:ascii="Arial" w:hAnsi="Arial" w:cs="Arial"/>
        </w:rPr>
      </w:pPr>
      <w:r>
        <w:rPr>
          <w:rFonts w:cs="Arial" w:ascii="Arial" w:hAnsi="Arial"/>
        </w:rPr>
      </w:r>
    </w:p>
    <w:p>
      <w:pPr>
        <w:pStyle w:val="Normal"/>
        <w:rPr/>
      </w:pPr>
      <w:r>
        <w:rPr/>
        <w:t>The Policy is put into effect on our projects through the Project Plans. These plans not only take account of our corporate undertakings but also include any additional requirements specific to the project.</w:t>
      </w:r>
    </w:p>
    <w:p>
      <w:pPr>
        <w:pStyle w:val="Normal"/>
        <w:rPr/>
      </w:pPr>
      <w:r>
        <w:rPr/>
      </w:r>
    </w:p>
    <w:p>
      <w:pPr>
        <w:pStyle w:val="Normal"/>
        <w:rPr/>
      </w:pPr>
      <w:r>
        <w:rPr/>
      </w:r>
    </w:p>
    <w:p>
      <w:pPr>
        <w:pStyle w:val="Normal"/>
        <w:rPr/>
      </w:pPr>
      <w:r>
        <w:rPr/>
      </w:r>
    </w:p>
    <w:p>
      <w:pPr>
        <w:pStyle w:val="Normal"/>
        <w:rPr/>
      </w:pPr>
      <w:r>
        <w:rPr/>
      </w:r>
    </w:p>
    <w:p>
      <w:pPr>
        <w:pStyle w:val="Normal"/>
        <w:rPr/>
      </w:pPr>
      <w:r>
        <w:rPr/>
        <w:t>Board of Directors SHANFARI TRADING AND FURNISHING CO. LLC</w:t>
      </w:r>
    </w:p>
    <w:p>
      <w:pPr>
        <w:pStyle w:val="Normal"/>
        <w:rPr/>
      </w:pPr>
      <w:r>
        <w:rPr/>
      </w:r>
    </w:p>
    <w:p>
      <w:pPr>
        <w:pStyle w:val="Normal"/>
        <w:rPr/>
      </w:pPr>
      <w:r>
        <w:rPr/>
        <w:t>G. Mazloumian</w:t>
        <w:tab/>
        <w:tab/>
        <w:tab/>
        <w:tab/>
        <w:tab/>
        <w:t>N. Dirkzwager</w:t>
      </w:r>
    </w:p>
    <w:p>
      <w:pPr>
        <w:pStyle w:val="Normal"/>
        <w:rPr/>
      </w:pPr>
      <w:r>
        <w:rPr/>
      </w:r>
    </w:p>
    <w:p>
      <w:pPr>
        <w:pStyle w:val="Normal"/>
        <w:rPr/>
      </w:pPr>
      <w:r>
        <w:rPr/>
      </w:r>
    </w:p>
    <w:p>
      <w:pPr>
        <w:pStyle w:val="Normal"/>
        <w:rPr/>
      </w:pPr>
      <w:r>
        <w:rPr/>
        <w:t>April 2009</w:t>
      </w:r>
      <w:r>
        <w:br w:type="page"/>
      </w:r>
    </w:p>
    <w:p>
      <w:pPr>
        <w:pStyle w:val="Heading1"/>
        <w:ind w:hanging="0" w:left="567"/>
        <w:rPr/>
      </w:pPr>
      <w:bookmarkStart w:id="3" w:name="__RefHeading___Toc172708994"/>
      <w:bookmarkEnd w:id="3"/>
      <w:r>
        <w:rPr/>
        <w:t>Responsibilities</w:t>
      </w:r>
    </w:p>
    <w:p>
      <w:pPr>
        <w:pStyle w:val="Normal"/>
        <w:rPr/>
      </w:pPr>
      <w:r>
        <w:rPr/>
      </w:r>
    </w:p>
    <w:p>
      <w:pPr>
        <w:pStyle w:val="Normal"/>
        <w:rPr/>
      </w:pPr>
      <w:r>
        <w:rPr/>
        <w:t>The Board is responsible for the contents of this CSRPD and for ensuring that line and staff managers are aware of its intention and their role in meeting its requirements. Managers in turn shall ensure that employees are made aware of the contents.</w:t>
      </w:r>
    </w:p>
    <w:p>
      <w:pPr>
        <w:pStyle w:val="Normal"/>
        <w:rPr/>
      </w:pPr>
      <w:r>
        <w:rPr/>
      </w:r>
    </w:p>
    <w:p>
      <w:pPr>
        <w:pStyle w:val="Heading1"/>
        <w:ind w:hanging="0" w:left="567"/>
        <w:rPr/>
      </w:pPr>
      <w:bookmarkStart w:id="4" w:name="__RefHeading___Toc172708995"/>
      <w:bookmarkEnd w:id="4"/>
      <w:r>
        <w:rPr/>
        <w:t>CSRP availability</w:t>
      </w:r>
    </w:p>
    <w:p>
      <w:pPr>
        <w:pStyle w:val="Normal"/>
        <w:rPr/>
      </w:pPr>
      <w:r>
        <w:rPr/>
      </w:r>
    </w:p>
    <w:p>
      <w:pPr>
        <w:pStyle w:val="Normal"/>
        <w:rPr/>
      </w:pPr>
      <w:r>
        <w:rPr/>
        <w:t>The CSRPD forms part of the Company Management System and is available on the intranet. All new employees are advised of its contents and implications by their manager upon starting work.</w:t>
      </w:r>
    </w:p>
    <w:p>
      <w:pPr>
        <w:pStyle w:val="Normal"/>
        <w:ind w:left="709" w:right="0"/>
        <w:rPr/>
      </w:pPr>
      <w:r>
        <w:rPr/>
      </w:r>
    </w:p>
    <w:p>
      <w:pPr>
        <w:pStyle w:val="Heading1"/>
        <w:ind w:hanging="0" w:left="567"/>
        <w:rPr/>
      </w:pPr>
      <w:bookmarkStart w:id="5" w:name="__RefHeading___Toc172708996"/>
      <w:bookmarkEnd w:id="5"/>
      <w:r>
        <w:rPr/>
        <w:t>Review and update</w:t>
      </w:r>
    </w:p>
    <w:p>
      <w:pPr>
        <w:pStyle w:val="Normal"/>
        <w:rPr/>
      </w:pPr>
      <w:r>
        <w:rPr/>
      </w:r>
    </w:p>
    <w:p>
      <w:pPr>
        <w:pStyle w:val="Normal"/>
        <w:rPr/>
      </w:pPr>
      <w:r>
        <w:rPr/>
        <w:t xml:space="preserve">The CSRPD shall be reviewed for its continuing suitability and effectiveness on an annual basis. This will be done in conjunction with the formal Company Management System Review. The CSRPD shall be amended as and when deemed necessary. Any changes shall be approved by the Board. </w:t>
      </w:r>
    </w:p>
    <w:p>
      <w:pPr>
        <w:pStyle w:val="Normal"/>
        <w:rPr/>
      </w:pPr>
      <w:r>
        <w:rPr/>
      </w:r>
    </w:p>
    <w:p>
      <w:pPr>
        <w:pStyle w:val="Normal"/>
        <w:rPr/>
      </w:pPr>
      <w:r>
        <w:rPr/>
        <w:t>The Quality Manager is responsible for ensuring that updates are implemented.</w:t>
      </w:r>
    </w:p>
    <w:p>
      <w:pPr>
        <w:pStyle w:val="Normal"/>
        <w:rPr/>
      </w:pPr>
      <w:r>
        <w:rPr/>
      </w:r>
    </w:p>
    <w:p>
      <w:pPr>
        <w:pStyle w:val="Heading1"/>
        <w:ind w:hanging="0" w:left="567"/>
        <w:rPr/>
      </w:pPr>
      <w:bookmarkStart w:id="6" w:name="__RefHeading___Toc172708997"/>
      <w:bookmarkEnd w:id="6"/>
      <w:r>
        <w:rPr/>
        <w:t>References</w:t>
      </w:r>
    </w:p>
    <w:p>
      <w:pPr>
        <w:pStyle w:val="Normal"/>
        <w:rPr/>
      </w:pPr>
      <w:r>
        <w:rPr/>
      </w:r>
    </w:p>
    <w:p>
      <w:pPr>
        <w:pStyle w:val="Normal"/>
        <w:rPr/>
      </w:pPr>
      <w:r>
        <w:rPr/>
        <w:t xml:space="preserve">This CSRPD is based upon the following documents: </w:t>
      </w:r>
    </w:p>
    <w:p>
      <w:pPr>
        <w:pStyle w:val="Normal"/>
        <w:numPr>
          <w:ilvl w:val="0"/>
          <w:numId w:val="8"/>
        </w:numPr>
        <w:tabs>
          <w:tab w:val="clear" w:pos="567"/>
          <w:tab w:val="left" w:pos="851" w:leader="none"/>
          <w:tab w:val="left" w:pos="1134" w:leader="none"/>
        </w:tabs>
        <w:ind w:hanging="360" w:left="927" w:right="0"/>
        <w:rPr/>
      </w:pPr>
      <w:r>
        <w:rPr/>
        <w:t>SHANFARI TRADING AND FURNISHING CO. LLC Code of Conduct, 1 October 2004 (PG-S-02_28)</w:t>
      </w:r>
    </w:p>
    <w:p>
      <w:pPr>
        <w:pStyle w:val="Normal"/>
        <w:numPr>
          <w:ilvl w:val="0"/>
          <w:numId w:val="7"/>
        </w:numPr>
        <w:tabs>
          <w:tab w:val="clear" w:pos="567"/>
          <w:tab w:val="left" w:pos="851" w:leader="none"/>
        </w:tabs>
        <w:ind w:hanging="284" w:left="851" w:right="0"/>
        <w:rPr/>
      </w:pPr>
      <w:r>
        <w:rPr/>
        <w:t>Framework Agreement between Royal BAM Group nv and Building Woodworkers International (BWI), 31 March 2006</w:t>
      </w:r>
    </w:p>
    <w:p>
      <w:pPr>
        <w:pStyle w:val="Normal"/>
        <w:numPr>
          <w:ilvl w:val="0"/>
          <w:numId w:val="7"/>
        </w:numPr>
        <w:tabs>
          <w:tab w:val="clear" w:pos="567"/>
          <w:tab w:val="left" w:pos="851" w:leader="none"/>
          <w:tab w:val="left" w:pos="1134" w:leader="none"/>
        </w:tabs>
        <w:ind w:hanging="360" w:left="927" w:right="0"/>
        <w:rPr/>
      </w:pPr>
      <w:r>
        <w:rPr/>
        <w:t>Universal Declaration of Human Rights</w:t>
      </w:r>
    </w:p>
    <w:p>
      <w:pPr>
        <w:pStyle w:val="Normal"/>
        <w:numPr>
          <w:ilvl w:val="0"/>
          <w:numId w:val="7"/>
        </w:numPr>
        <w:tabs>
          <w:tab w:val="clear" w:pos="567"/>
          <w:tab w:val="left" w:pos="851" w:leader="none"/>
        </w:tabs>
        <w:ind w:hanging="284" w:left="851" w:right="0"/>
        <w:rPr/>
      </w:pPr>
      <w:r>
        <w:rPr/>
        <w:t>International Labour Organisation (ILO) Declaration on Fundamental Principles and Rights at Work</w:t>
      </w:r>
    </w:p>
    <w:p>
      <w:pPr>
        <w:pStyle w:val="Normal"/>
        <w:numPr>
          <w:ilvl w:val="0"/>
          <w:numId w:val="7"/>
        </w:numPr>
        <w:tabs>
          <w:tab w:val="clear" w:pos="567"/>
          <w:tab w:val="left" w:pos="851" w:leader="none"/>
        </w:tabs>
        <w:ind w:hanging="284" w:left="851" w:right="0"/>
        <w:rPr/>
      </w:pPr>
      <w:r>
        <w:rPr/>
        <w:t xml:space="preserve">Organisation for Economic Co-operation and Development (OECD) Guidelines for Multinational Enterprises, Rev. 2000 </w:t>
      </w:r>
    </w:p>
    <w:p>
      <w:pPr>
        <w:pStyle w:val="Normal"/>
        <w:numPr>
          <w:ilvl w:val="0"/>
          <w:numId w:val="7"/>
        </w:numPr>
        <w:tabs>
          <w:tab w:val="clear" w:pos="567"/>
          <w:tab w:val="left" w:pos="851" w:leader="none"/>
          <w:tab w:val="left" w:pos="1134" w:leader="none"/>
        </w:tabs>
        <w:ind w:hanging="360" w:left="927" w:right="0"/>
        <w:rPr/>
      </w:pPr>
      <w:r>
        <w:rPr/>
        <w:t>Relevant international and local legislation</w:t>
      </w:r>
    </w:p>
    <w:p>
      <w:pPr>
        <w:pStyle w:val="Normal"/>
        <w:tabs>
          <w:tab w:val="clear" w:pos="567"/>
          <w:tab w:val="left" w:pos="1134" w:leader="none"/>
        </w:tabs>
        <w:rPr/>
      </w:pPr>
      <w:r>
        <w:rPr/>
      </w:r>
    </w:p>
    <w:p>
      <w:pPr>
        <w:pStyle w:val="Heading1"/>
        <w:ind w:hanging="0" w:left="567"/>
        <w:rPr/>
      </w:pPr>
      <w:bookmarkStart w:id="7" w:name="__RefHeading___Toc172708998"/>
      <w:bookmarkEnd w:id="7"/>
      <w:r>
        <w:rPr/>
        <w:t>Explanation of Terms</w:t>
      </w:r>
    </w:p>
    <w:p>
      <w:pPr>
        <w:pStyle w:val="Normal"/>
        <w:rPr/>
      </w:pPr>
      <w:r>
        <w:rPr/>
      </w:r>
    </w:p>
    <w:p>
      <w:pPr>
        <w:pStyle w:val="Header"/>
        <w:tabs>
          <w:tab w:val="clear" w:pos="4320"/>
          <w:tab w:val="clear" w:pos="8640"/>
          <w:tab w:val="left" w:pos="3544" w:leader="none"/>
        </w:tabs>
        <w:rPr/>
      </w:pPr>
      <w:r>
        <w:rPr>
          <w:u w:val="single"/>
        </w:rPr>
        <w:t>Corporate Social Responsibility CSR</w:t>
      </w:r>
      <w:r>
        <w:rPr/>
        <w:t>:</w:t>
        <w:tab/>
      </w:r>
    </w:p>
    <w:p>
      <w:pPr>
        <w:pStyle w:val="Header"/>
        <w:tabs>
          <w:tab w:val="clear" w:pos="4320"/>
          <w:tab w:val="clear" w:pos="8640"/>
          <w:tab w:val="left" w:pos="3544" w:leader="none"/>
        </w:tabs>
        <w:rPr/>
      </w:pPr>
      <w:r>
        <w:rPr/>
        <w:t>How a business aligns its values and behaviour with the expectations and needs of stakeholders</w:t>
      </w:r>
    </w:p>
    <w:p>
      <w:pPr>
        <w:pStyle w:val="Header"/>
        <w:tabs>
          <w:tab w:val="clear" w:pos="4320"/>
          <w:tab w:val="clear" w:pos="8640"/>
          <w:tab w:val="left" w:pos="3544" w:leader="none"/>
        </w:tabs>
        <w:rPr/>
      </w:pPr>
      <w:r>
        <w:rPr/>
      </w:r>
    </w:p>
    <w:p>
      <w:pPr>
        <w:pStyle w:val="Header"/>
        <w:tabs>
          <w:tab w:val="clear" w:pos="4320"/>
          <w:tab w:val="clear" w:pos="8640"/>
          <w:tab w:val="left" w:pos="3544" w:leader="none"/>
        </w:tabs>
        <w:rPr/>
      </w:pPr>
      <w:r>
        <w:rPr>
          <w:u w:val="single"/>
        </w:rPr>
        <w:t>Stakeholder</w:t>
      </w:r>
      <w:r>
        <w:rPr/>
        <w:t>:</w:t>
      </w:r>
    </w:p>
    <w:p>
      <w:pPr>
        <w:pStyle w:val="Header"/>
        <w:tabs>
          <w:tab w:val="clear" w:pos="4320"/>
          <w:tab w:val="clear" w:pos="8640"/>
          <w:tab w:val="left" w:pos="3544" w:leader="none"/>
        </w:tabs>
        <w:rPr/>
      </w:pPr>
      <w:r>
        <w:rPr/>
        <w:t>All entities affected by a project or undertaking. Typical stakeholders are:</w:t>
      </w:r>
    </w:p>
    <w:p>
      <w:pPr>
        <w:pStyle w:val="Header"/>
        <w:numPr>
          <w:ilvl w:val="0"/>
          <w:numId w:val="9"/>
        </w:numPr>
        <w:tabs>
          <w:tab w:val="clear" w:pos="4320"/>
          <w:tab w:val="clear" w:pos="8640"/>
          <w:tab w:val="left" w:pos="3544" w:leader="none"/>
        </w:tabs>
        <w:rPr/>
      </w:pPr>
      <w:r>
        <w:rPr/>
        <w:t>Shareholders</w:t>
      </w:r>
    </w:p>
    <w:p>
      <w:pPr>
        <w:pStyle w:val="Header"/>
        <w:numPr>
          <w:ilvl w:val="0"/>
          <w:numId w:val="9"/>
        </w:numPr>
        <w:tabs>
          <w:tab w:val="clear" w:pos="4320"/>
          <w:tab w:val="clear" w:pos="8640"/>
          <w:tab w:val="left" w:pos="3544" w:leader="none"/>
        </w:tabs>
        <w:rPr/>
      </w:pPr>
      <w:r>
        <w:rPr/>
        <w:t>Customers</w:t>
      </w:r>
    </w:p>
    <w:p>
      <w:pPr>
        <w:pStyle w:val="Header"/>
        <w:numPr>
          <w:ilvl w:val="0"/>
          <w:numId w:val="9"/>
        </w:numPr>
        <w:tabs>
          <w:tab w:val="clear" w:pos="4320"/>
          <w:tab w:val="clear" w:pos="8640"/>
          <w:tab w:val="left" w:pos="3544" w:leader="none"/>
        </w:tabs>
        <w:rPr/>
      </w:pPr>
      <w:r>
        <w:rPr/>
        <w:t>Employees</w:t>
      </w:r>
    </w:p>
    <w:p>
      <w:pPr>
        <w:pStyle w:val="Header"/>
        <w:numPr>
          <w:ilvl w:val="0"/>
          <w:numId w:val="9"/>
        </w:numPr>
        <w:tabs>
          <w:tab w:val="clear" w:pos="4320"/>
          <w:tab w:val="clear" w:pos="8640"/>
          <w:tab w:val="left" w:pos="3544" w:leader="none"/>
        </w:tabs>
        <w:rPr/>
      </w:pPr>
      <w:r>
        <w:rPr/>
        <w:t>Suppliers and subcontractors</w:t>
      </w:r>
    </w:p>
    <w:p>
      <w:pPr>
        <w:pStyle w:val="Header"/>
        <w:numPr>
          <w:ilvl w:val="0"/>
          <w:numId w:val="9"/>
        </w:numPr>
        <w:tabs>
          <w:tab w:val="clear" w:pos="4320"/>
          <w:tab w:val="clear" w:pos="8640"/>
          <w:tab w:val="left" w:pos="3544" w:leader="none"/>
        </w:tabs>
        <w:rPr/>
      </w:pPr>
      <w:r>
        <w:rPr/>
        <w:t>Communities</w:t>
      </w:r>
    </w:p>
    <w:p>
      <w:pPr>
        <w:pStyle w:val="Header"/>
        <w:numPr>
          <w:ilvl w:val="0"/>
          <w:numId w:val="9"/>
        </w:numPr>
        <w:tabs>
          <w:tab w:val="clear" w:pos="4320"/>
          <w:tab w:val="clear" w:pos="8640"/>
          <w:tab w:val="left" w:pos="3544" w:leader="none"/>
        </w:tabs>
        <w:rPr/>
      </w:pPr>
      <w:r>
        <w:rPr/>
        <w:t>Authorities</w:t>
      </w:r>
    </w:p>
    <w:p>
      <w:pPr>
        <w:pStyle w:val="Header"/>
        <w:numPr>
          <w:ilvl w:val="0"/>
          <w:numId w:val="9"/>
        </w:numPr>
        <w:tabs>
          <w:tab w:val="clear" w:pos="4320"/>
          <w:tab w:val="clear" w:pos="8640"/>
          <w:tab w:val="left" w:pos="3544" w:leader="none"/>
        </w:tabs>
        <w:rPr/>
      </w:pPr>
      <w:r>
        <w:rPr/>
        <w:t>Special interest groups</w:t>
      </w:r>
    </w:p>
    <w:p>
      <w:pPr>
        <w:pStyle w:val="BodyTextIndent2"/>
        <w:ind w:hanging="3033" w:left="3600" w:right="0"/>
        <w:rPr/>
      </w:pPr>
      <w:r>
        <w:rPr/>
        <w:tab/>
      </w:r>
      <w:r>
        <w:br w:type="page"/>
      </w:r>
    </w:p>
    <w:p>
      <w:pPr>
        <w:pStyle w:val="Normal"/>
        <w:tabs>
          <w:tab w:val="clear" w:pos="567"/>
          <w:tab w:val="center" w:pos="-3544" w:leader="none"/>
          <w:tab w:val="left" w:pos="3544" w:leader="none"/>
        </w:tabs>
        <w:rPr>
          <w:lang w:val="en-US"/>
        </w:rPr>
      </w:pPr>
      <w:r>
        <w:rPr>
          <w:u w:val="single"/>
          <w:lang w:val="en-US"/>
        </w:rPr>
        <w:t>Corporate Governance</w:t>
      </w:r>
      <w:r>
        <w:rPr>
          <w:lang w:val="en-US"/>
        </w:rPr>
        <w:t>:</w:t>
      </w:r>
    </w:p>
    <w:p>
      <w:pPr>
        <w:pStyle w:val="Normal"/>
        <w:tabs>
          <w:tab w:val="clear" w:pos="567"/>
          <w:tab w:val="center" w:pos="-3544" w:leader="none"/>
          <w:tab w:val="left" w:pos="3544" w:leader="none"/>
        </w:tabs>
        <w:rPr>
          <w:lang w:val="en-US"/>
        </w:rPr>
      </w:pPr>
      <w:r>
        <w:rPr>
          <w:lang w:val="en-US"/>
        </w:rPr>
        <w:t>A set of processes, customs, policies, laws and institutions affecting the way a company is directed, administered and controlled. It specifies the relationship between, and distribution of rights and responsibilities among stakeholders.</w:t>
      </w:r>
    </w:p>
    <w:p>
      <w:pPr>
        <w:pStyle w:val="Normal"/>
        <w:tabs>
          <w:tab w:val="clear" w:pos="567"/>
          <w:tab w:val="center" w:pos="-3544" w:leader="none"/>
          <w:tab w:val="left" w:pos="3544" w:leader="none"/>
        </w:tabs>
        <w:rPr>
          <w:lang w:val="en-US"/>
        </w:rPr>
      </w:pPr>
      <w:r>
        <w:rPr>
          <w:lang w:val="en-US"/>
        </w:rPr>
      </w:r>
    </w:p>
    <w:p>
      <w:pPr>
        <w:pStyle w:val="Heading1"/>
        <w:ind w:hanging="0" w:left="567"/>
        <w:rPr/>
      </w:pPr>
      <w:bookmarkStart w:id="8" w:name="__RefHeading___Toc172708999"/>
      <w:r>
        <w:rPr/>
        <w:t>Ethical behaviour</w:t>
      </w:r>
      <w:bookmarkEnd w:id="8"/>
      <w:r>
        <w:rPr/>
        <w:t xml:space="preserve"> </w:t>
      </w:r>
    </w:p>
    <w:p>
      <w:pPr>
        <w:pStyle w:val="Normal"/>
        <w:rPr/>
      </w:pPr>
      <w:r>
        <w:rPr/>
      </w:r>
    </w:p>
    <w:p>
      <w:pPr>
        <w:pStyle w:val="Normal"/>
        <w:rPr/>
      </w:pPr>
      <w:r>
        <w:rPr/>
        <w:t xml:space="preserve">Within SHANFARI TRADING AND FURNISHING CO. LLC the values of entrepreneurship, result-orientation, client satisfaction, team spirit, flexibility and professionalism are nurtured within the framework of statutory requirements, generally accepted standards and values and principles of honesty and fairness. </w:t>
      </w:r>
    </w:p>
    <w:p>
      <w:pPr>
        <w:pStyle w:val="Normal"/>
        <w:rPr/>
      </w:pPr>
      <w:r>
        <w:rPr/>
      </w:r>
    </w:p>
    <w:p>
      <w:pPr>
        <w:pStyle w:val="Header"/>
        <w:tabs>
          <w:tab w:val="clear" w:pos="4320"/>
          <w:tab w:val="clear" w:pos="8640"/>
        </w:tabs>
        <w:rPr/>
      </w:pPr>
      <w:r>
        <w:rPr/>
        <w:t>The acquisition and execution of contracts with clients as well as the selection of and co-operation with partners shall take place on a commercial, business like, ethical and economically sound basis. All dealings with suppliers, subcontractors, contracted and own staff shall be on the basis of respect, honesty and integrity.</w:t>
      </w:r>
    </w:p>
    <w:p>
      <w:pPr>
        <w:pStyle w:val="Header"/>
        <w:tabs>
          <w:tab w:val="clear" w:pos="4320"/>
          <w:tab w:val="clear" w:pos="8640"/>
        </w:tabs>
        <w:rPr/>
      </w:pPr>
      <w:r>
        <w:rPr/>
      </w:r>
    </w:p>
    <w:p>
      <w:pPr>
        <w:pStyle w:val="Header"/>
        <w:tabs>
          <w:tab w:val="clear" w:pos="4320"/>
          <w:tab w:val="clear" w:pos="8640"/>
        </w:tabs>
        <w:rPr/>
      </w:pPr>
      <w:r>
        <w:rPr/>
        <w:t>All employees shall comply with the SHANFARI TRADING AND FURNISHING CO. LLC Code of Conduct and subcontractors and suppliers shall be informed of relevant elements. In addition, management shall ensure that local business regulations are adhered to.</w:t>
      </w:r>
    </w:p>
    <w:p>
      <w:pPr>
        <w:pStyle w:val="Header"/>
        <w:tabs>
          <w:tab w:val="clear" w:pos="4320"/>
          <w:tab w:val="clear" w:pos="8640"/>
        </w:tabs>
        <w:rPr/>
      </w:pPr>
      <w:r>
        <w:rPr/>
      </w:r>
    </w:p>
    <w:p>
      <w:pPr>
        <w:pStyle w:val="Heading1"/>
        <w:ind w:hanging="0" w:left="567"/>
        <w:rPr/>
      </w:pPr>
      <w:bookmarkStart w:id="9" w:name="__RefHeading___Toc172709000"/>
      <w:bookmarkEnd w:id="9"/>
      <w:r>
        <w:rPr/>
        <w:t>Transparency</w:t>
      </w:r>
    </w:p>
    <w:p>
      <w:pPr>
        <w:pStyle w:val="Normal"/>
        <w:rPr/>
      </w:pPr>
      <w:r>
        <w:rPr/>
      </w:r>
    </w:p>
    <w:p>
      <w:pPr>
        <w:pStyle w:val="Normal"/>
        <w:rPr/>
      </w:pPr>
      <w:r>
        <w:rPr/>
        <w:t>SHANFARI TRADING AND FURNISHING CO. LLC will ensure that timely, regular, reliable and relevant information is disclosed regarding its activities, structure, financial situation and performance. Information concerning the financial situation and performance shall in the first instance be reported to the board of Royal BAM Group nv..</w:t>
      </w:r>
    </w:p>
    <w:p>
      <w:pPr>
        <w:pStyle w:val="Normal"/>
        <w:rPr/>
      </w:pPr>
      <w:r>
        <w:rPr/>
      </w:r>
    </w:p>
    <w:p>
      <w:pPr>
        <w:pStyle w:val="Normal"/>
        <w:rPr/>
      </w:pPr>
      <w:r>
        <w:rPr/>
        <w:t>Actions and decisions shall be well motivated and explained to those affected.</w:t>
      </w:r>
    </w:p>
    <w:p>
      <w:pPr>
        <w:pStyle w:val="Normal"/>
        <w:rPr/>
      </w:pPr>
      <w:r>
        <w:rPr/>
      </w:r>
    </w:p>
    <w:p>
      <w:pPr>
        <w:pStyle w:val="Heading1"/>
        <w:ind w:hanging="567" w:left="567" w:right="0"/>
        <w:rPr/>
      </w:pPr>
      <w:bookmarkStart w:id="10" w:name="__RefHeading___Toc172709001"/>
      <w:bookmarkEnd w:id="10"/>
      <w:r>
        <w:rPr/>
        <w:t>Good communications</w:t>
      </w:r>
    </w:p>
    <w:p>
      <w:pPr>
        <w:pStyle w:val="Normal"/>
        <w:rPr/>
      </w:pPr>
      <w:r>
        <w:rPr/>
      </w:r>
    </w:p>
    <w:p>
      <w:pPr>
        <w:pStyle w:val="Normal"/>
        <w:rPr/>
      </w:pPr>
      <w:r>
        <w:rPr/>
        <w:t xml:space="preserve">Effective communication within SHANFARI TRADING AND FURNISHING CO. LLC’s organisation is an important element of our business strategy. </w:t>
      </w:r>
    </w:p>
    <w:p>
      <w:pPr>
        <w:pStyle w:val="Normal"/>
        <w:rPr/>
      </w:pPr>
      <w:r>
        <w:rPr/>
      </w:r>
    </w:p>
    <w:p>
      <w:pPr>
        <w:pStyle w:val="Normal"/>
        <w:rPr/>
      </w:pPr>
      <w:r>
        <w:rPr/>
        <w:t>Employees shall be kept informed of the company’s organisation, systems, performance and ethos by the following means:</w:t>
      </w:r>
    </w:p>
    <w:p>
      <w:pPr>
        <w:pStyle w:val="Normal"/>
        <w:rPr/>
      </w:pPr>
      <w:r>
        <w:rPr/>
      </w:r>
    </w:p>
    <w:p>
      <w:pPr>
        <w:pStyle w:val="Normal"/>
        <w:numPr>
          <w:ilvl w:val="0"/>
          <w:numId w:val="2"/>
        </w:numPr>
        <w:rPr/>
      </w:pPr>
      <w:r>
        <w:rPr/>
        <w:t>The company maintains an intranet site. This is available through a protected internet connection to virtually all our international locations. It contains amongst others, the Company Management System (CMS), i.e. the means by which we conduct our business. The system is certified to the International quality management system standard ISO 9001. The CMS is available on CD for the more remote areas where an internet connection is not available or unreliable.</w:t>
      </w:r>
    </w:p>
    <w:p>
      <w:pPr>
        <w:pStyle w:val="Normal"/>
        <w:rPr/>
      </w:pPr>
      <w:r>
        <w:rPr/>
      </w:r>
    </w:p>
    <w:p>
      <w:pPr>
        <w:pStyle w:val="Normal"/>
        <w:numPr>
          <w:ilvl w:val="0"/>
          <w:numId w:val="2"/>
        </w:numPr>
        <w:rPr/>
      </w:pPr>
      <w:r>
        <w:rPr/>
        <w:t>Regular personnel meetings are held at the Head Office at which the Board outlines the company’s performance, changes in organisation or strategy, any special occurrences, initiatives or events. In addition Board members visit overseas subsidiaries and projects to inform overseas staff.</w:t>
      </w:r>
    </w:p>
    <w:p>
      <w:pPr>
        <w:pStyle w:val="Normal"/>
        <w:ind w:left="0" w:right="0"/>
        <w:rPr/>
      </w:pPr>
      <w:r>
        <w:rPr/>
      </w:r>
    </w:p>
    <w:p>
      <w:pPr>
        <w:pStyle w:val="Normal"/>
        <w:numPr>
          <w:ilvl w:val="0"/>
          <w:numId w:val="2"/>
        </w:numPr>
        <w:rPr/>
      </w:pPr>
      <w:r>
        <w:rPr/>
        <w:t>Subsidiary and project staff without access to the intranet is kept informed by regular communication including periodic visits by management.</w:t>
      </w:r>
    </w:p>
    <w:p>
      <w:pPr>
        <w:pStyle w:val="Normal"/>
        <w:rPr/>
      </w:pPr>
      <w:r>
        <w:rPr/>
      </w:r>
    </w:p>
    <w:p>
      <w:pPr>
        <w:pStyle w:val="Normal"/>
        <w:numPr>
          <w:ilvl w:val="0"/>
          <w:numId w:val="2"/>
        </w:numPr>
        <w:rPr/>
      </w:pPr>
      <w:r>
        <w:rPr/>
        <w:t>A company magazine, ‘Intercom’ is published bi-monthly to keep employees and their families informed of developments, projects and personnel related matters.</w:t>
      </w:r>
    </w:p>
    <w:p>
      <w:pPr>
        <w:pStyle w:val="Normal"/>
        <w:rPr/>
      </w:pPr>
      <w:r>
        <w:rPr/>
      </w:r>
    </w:p>
    <w:p>
      <w:pPr>
        <w:pStyle w:val="Normal"/>
        <w:rPr/>
      </w:pPr>
      <w:r>
        <w:rPr/>
        <w:t xml:space="preserve">The company’s web site </w:t>
      </w:r>
      <w:hyperlink r:id="rId4">
        <w:r>
          <w:rPr>
            <w:rStyle w:val="Hyperlink"/>
          </w:rPr>
          <w:t>www.baminternational.nl</w:t>
        </w:r>
      </w:hyperlink>
      <w:r>
        <w:rPr/>
        <w:t xml:space="preserve"> provides information to interested third parties.</w:t>
      </w:r>
    </w:p>
    <w:p>
      <w:pPr>
        <w:pStyle w:val="Normal"/>
        <w:rPr/>
      </w:pPr>
      <w:r>
        <w:rPr/>
      </w:r>
    </w:p>
    <w:p>
      <w:pPr>
        <w:pStyle w:val="Heading1"/>
        <w:ind w:hanging="567" w:left="567" w:right="0"/>
        <w:rPr/>
      </w:pPr>
      <w:bookmarkStart w:id="11" w:name="__RefHeading___Toc172709002"/>
      <w:bookmarkEnd w:id="11"/>
      <w:r>
        <w:rPr/>
        <w:t>Care of employees</w:t>
      </w:r>
    </w:p>
    <w:p>
      <w:pPr>
        <w:pStyle w:val="Normal"/>
        <w:rPr/>
      </w:pPr>
      <w:r>
        <w:rPr/>
      </w:r>
    </w:p>
    <w:p>
      <w:pPr>
        <w:pStyle w:val="Normal"/>
        <w:rPr/>
      </w:pPr>
      <w:r>
        <w:rPr/>
        <w:t>Central to our ‘care of employees’ are the requirements of the Universal Declaration of Human Rights, the International Labour Organisation Conventions and the provisions of the OECD Guidelines for Multinational Enterprises; especially in relation to local or expatriate labour. In any case, where local legislation and enforcement may fall short, we should strive to position ourselves at the top end of the scale regarding compensation and conditions, taking account of the local culture, the culture of the workforce and equivalent standards in the area. We should ensure that:</w:t>
      </w:r>
    </w:p>
    <w:p>
      <w:pPr>
        <w:pStyle w:val="Normal"/>
        <w:numPr>
          <w:ilvl w:val="0"/>
          <w:numId w:val="4"/>
        </w:numPr>
        <w:rPr/>
      </w:pPr>
      <w:r>
        <w:rPr/>
        <w:t>Recruitment is carried out in a not-discriminatory, free and transparent manner and in compliance with local legislation</w:t>
      </w:r>
    </w:p>
    <w:p>
      <w:pPr>
        <w:pStyle w:val="Normal"/>
        <w:numPr>
          <w:ilvl w:val="0"/>
          <w:numId w:val="4"/>
        </w:numPr>
        <w:rPr/>
      </w:pPr>
      <w:r>
        <w:rPr/>
        <w:t>Terms and conditions of employment are clearly understood by the employee prior to engagement and in strict compliance with local legislation</w:t>
      </w:r>
    </w:p>
    <w:p>
      <w:pPr>
        <w:pStyle w:val="Normal"/>
        <w:numPr>
          <w:ilvl w:val="0"/>
          <w:numId w:val="4"/>
        </w:numPr>
        <w:rPr/>
      </w:pPr>
      <w:r>
        <w:rPr/>
        <w:t>The health and safety of employees is maintained at the high standards expected by SHANFARI TRADING AND FURNISHING CO. LLC HSES Policy</w:t>
      </w:r>
    </w:p>
    <w:p>
      <w:pPr>
        <w:pStyle w:val="Normal"/>
        <w:numPr>
          <w:ilvl w:val="0"/>
          <w:numId w:val="4"/>
        </w:numPr>
        <w:rPr/>
      </w:pPr>
      <w:r>
        <w:rPr/>
        <w:t>The welfare of employees is maintained at the high standards expected of an international company conducive to the healthy well being of its operatives. This should include leisure and recreational facilities wherever possible.</w:t>
      </w:r>
    </w:p>
    <w:p>
      <w:pPr>
        <w:pStyle w:val="Normal"/>
        <w:rPr/>
      </w:pPr>
      <w:r>
        <w:rPr/>
      </w:r>
    </w:p>
    <w:p>
      <w:pPr>
        <w:pStyle w:val="Heading1"/>
        <w:ind w:hanging="0" w:left="567"/>
        <w:rPr/>
      </w:pPr>
      <w:bookmarkStart w:id="12" w:name="__RefHeading___Toc172709003"/>
      <w:bookmarkEnd w:id="12"/>
      <w:r>
        <w:rPr/>
        <w:t>Care of health and safety</w:t>
      </w:r>
    </w:p>
    <w:p>
      <w:pPr>
        <w:pStyle w:val="Normal"/>
        <w:rPr/>
      </w:pPr>
      <w:r>
        <w:rPr/>
      </w:r>
    </w:p>
    <w:p>
      <w:pPr>
        <w:pStyle w:val="Normal"/>
        <w:rPr/>
      </w:pPr>
      <w:r>
        <w:rPr/>
        <w:t>Our safety policy states that people’s safety is our greatest responsibility. Our comprehensive Health and Safety system sets out the means by which the health and safety of our employees and others connected to or affected by our activities are safeguarded. We strive to be a market leader in terms of our health and safety standards. Performance targets are set for each year and the system is subject to audit both internally and at group level. The system takes account of the ILO Guidelines on Occupational Safety and Health Management Systems.</w:t>
      </w:r>
    </w:p>
    <w:p>
      <w:pPr>
        <w:pStyle w:val="Normal"/>
        <w:rPr/>
      </w:pPr>
      <w:r>
        <w:rPr/>
      </w:r>
    </w:p>
    <w:p>
      <w:pPr>
        <w:pStyle w:val="Normal"/>
        <w:rPr/>
      </w:pPr>
      <w:r>
        <w:rPr/>
        <w:t xml:space="preserve">All projects shall have a dedicated Safety Officer who ensures that the company standards are upheld. </w:t>
      </w:r>
    </w:p>
    <w:p>
      <w:pPr>
        <w:pStyle w:val="Normal"/>
        <w:rPr/>
      </w:pPr>
      <w:r>
        <w:rPr/>
      </w:r>
    </w:p>
    <w:p>
      <w:pPr>
        <w:pStyle w:val="Heading1"/>
        <w:ind w:hanging="0" w:left="567"/>
        <w:rPr/>
      </w:pPr>
      <w:bookmarkStart w:id="13" w:name="__RefHeading___Toc172709004"/>
      <w:bookmarkEnd w:id="13"/>
      <w:r>
        <w:rPr/>
        <w:t>Attention to training and development</w:t>
      </w:r>
    </w:p>
    <w:p>
      <w:pPr>
        <w:pStyle w:val="Normal"/>
        <w:rPr/>
      </w:pPr>
      <w:r>
        <w:rPr/>
      </w:r>
    </w:p>
    <w:p>
      <w:pPr>
        <w:pStyle w:val="Normal"/>
        <w:rPr/>
      </w:pPr>
      <w:r>
        <w:rPr/>
        <w:t>SHANFARI TRADING AND FURNISHING CO. LLC is committed to the training and development of its staff. Training and development needs are established through the comprehensive performance and assessment system. Records of training are maintained and the effectiveness of training is carefully monitored.</w:t>
      </w:r>
    </w:p>
    <w:p>
      <w:pPr>
        <w:pStyle w:val="Normal"/>
        <w:rPr/>
      </w:pPr>
      <w:r>
        <w:rPr/>
      </w:r>
    </w:p>
    <w:p>
      <w:pPr>
        <w:pStyle w:val="Normal"/>
        <w:rPr/>
      </w:pPr>
      <w:r>
        <w:rPr/>
        <w:t>SHANFARI TRADING AND FURNISHING CO. LLC shall employ local labour wherever possible. Labour shall be trained in the skills necessary for the execution of the project and those showing additional potential shall be promoted to a higher grade whenever the opportunity arises. SHANFARI TRADING AND FURNISHING CO. LLC strives to provide continuous employment from one project to another wherever possible.</w:t>
      </w:r>
    </w:p>
    <w:p>
      <w:pPr>
        <w:pStyle w:val="Normal"/>
        <w:rPr/>
      </w:pPr>
      <w:r>
        <w:rPr/>
      </w:r>
    </w:p>
    <w:p>
      <w:pPr>
        <w:pStyle w:val="Heading1"/>
        <w:ind w:hanging="0" w:left="567"/>
        <w:rPr/>
      </w:pPr>
      <w:bookmarkStart w:id="14" w:name="__RefHeading___Toc172709005"/>
      <w:bookmarkEnd w:id="14"/>
      <w:r>
        <w:rPr/>
        <w:t>Attention to community relations</w:t>
      </w:r>
    </w:p>
    <w:p>
      <w:pPr>
        <w:pStyle w:val="Index1"/>
        <w:rPr/>
      </w:pPr>
      <w:r>
        <w:rPr/>
      </w:r>
    </w:p>
    <w:p>
      <w:pPr>
        <w:pStyle w:val="Normal"/>
        <w:rPr/>
      </w:pPr>
      <w:r>
        <w:rPr/>
        <w:t xml:space="preserve">SHANFARI TRADING AND FURNISHING CO. LLC shall inform its expatriate employees about any local cultural, religious or secular practices and/or traditions and how they should be respected. Mutual understanding and respect for different cultures within the SHANFARI TRADING AND FURNISHING CO. LLC workforce shall similarly be fostered. </w:t>
      </w:r>
    </w:p>
    <w:p>
      <w:pPr>
        <w:pStyle w:val="Normal"/>
        <w:rPr/>
      </w:pPr>
      <w:r>
        <w:rPr/>
      </w:r>
    </w:p>
    <w:p>
      <w:pPr>
        <w:pStyle w:val="Normal"/>
        <w:rPr/>
      </w:pPr>
      <w:r>
        <w:rPr/>
        <w:t>SHANFARI TRADING AND FURNISHING CO. LLC shall establish contacts with local communities and authorities to explain the impact of its activities and to, as far as possible, find ways to minimise disturbance or inconvenience. In particular, attention will be given to construction traffic routes, speed limits through populated areas and the minimisation of disruptions to the adjacent community. Initiatives will include open meetings, visits to local schools to advise on safety due to extra traffic etc.</w:t>
      </w:r>
    </w:p>
    <w:p>
      <w:pPr>
        <w:pStyle w:val="Normal"/>
        <w:rPr/>
      </w:pPr>
      <w:r>
        <w:rPr/>
      </w:r>
    </w:p>
    <w:p>
      <w:pPr>
        <w:pStyle w:val="Normal"/>
        <w:rPr/>
      </w:pPr>
      <w:r>
        <w:rPr/>
        <w:t>Community projects shall be carried out if deemed appropriate by local management.</w:t>
      </w:r>
    </w:p>
    <w:p>
      <w:pPr>
        <w:pStyle w:val="Normal"/>
        <w:rPr/>
      </w:pPr>
      <w:r>
        <w:rPr/>
      </w:r>
    </w:p>
    <w:p>
      <w:pPr>
        <w:pStyle w:val="Heading1"/>
        <w:ind w:hanging="0" w:left="567"/>
        <w:rPr/>
      </w:pPr>
      <w:bookmarkStart w:id="15" w:name="__RefHeading___Toc172709006"/>
      <w:bookmarkEnd w:id="15"/>
      <w:r>
        <w:rPr/>
        <w:t>Care of the environment</w:t>
      </w:r>
    </w:p>
    <w:p>
      <w:pPr>
        <w:pStyle w:val="Normal"/>
        <w:rPr/>
      </w:pPr>
      <w:r>
        <w:rPr/>
      </w:r>
    </w:p>
    <w:p>
      <w:pPr>
        <w:pStyle w:val="Normal"/>
        <w:rPr>
          <w:rFonts w:cs="Arial"/>
        </w:rPr>
      </w:pPr>
      <w:r>
        <w:rPr>
          <w:rFonts w:cs="Arial"/>
        </w:rPr>
        <w:t>SHANFARI TRADING AND FURNISHING CO. LLC is committed to conducting its activities in an environmentally responsible manner (extract from Environmental Policy).</w:t>
      </w:r>
    </w:p>
    <w:p>
      <w:pPr>
        <w:pStyle w:val="Normal"/>
        <w:rPr>
          <w:rFonts w:cs="Arial"/>
        </w:rPr>
      </w:pPr>
      <w:r>
        <w:rPr>
          <w:rFonts w:cs="Arial"/>
        </w:rPr>
      </w:r>
    </w:p>
    <w:p>
      <w:pPr>
        <w:pStyle w:val="Normal"/>
        <w:rPr>
          <w:rFonts w:cs="Arial"/>
        </w:rPr>
      </w:pPr>
      <w:r>
        <w:rPr>
          <w:rFonts w:cs="Arial"/>
        </w:rPr>
        <w:t>We recognise the importance for safeguarding the environment in carrying out our activities. Care of the environment is an integral part of our operational planning, beginning at the design phase and ending with demobilisation from the construction site. A review relating to the impact of our operations on the environment shall be carried out at the start of each project. Potential environmental risks shall be considered and measures outlined for either the prevention or minimisation of impact.</w:t>
      </w:r>
    </w:p>
    <w:p>
      <w:pPr>
        <w:pStyle w:val="Normal"/>
        <w:rPr>
          <w:rFonts w:cs="Arial"/>
        </w:rPr>
      </w:pPr>
      <w:r>
        <w:rPr>
          <w:rFonts w:cs="Arial"/>
        </w:rPr>
      </w:r>
    </w:p>
    <w:p>
      <w:pPr>
        <w:pStyle w:val="Normal"/>
        <w:rPr>
          <w:rFonts w:cs="Arial"/>
        </w:rPr>
      </w:pPr>
      <w:r>
        <w:rPr>
          <w:rFonts w:cs="Arial"/>
        </w:rPr>
        <w:t>The review shall include consideration of the following:</w:t>
      </w:r>
    </w:p>
    <w:p>
      <w:pPr>
        <w:pStyle w:val="Normal"/>
        <w:numPr>
          <w:ilvl w:val="0"/>
          <w:numId w:val="6"/>
        </w:numPr>
        <w:rPr>
          <w:rFonts w:cs="Arial"/>
        </w:rPr>
      </w:pPr>
      <w:r>
        <w:rPr>
          <w:rFonts w:cs="Arial"/>
        </w:rPr>
        <w:t>Applicable specification, laws, regulations and standards for the protection of the environment</w:t>
      </w:r>
    </w:p>
    <w:p>
      <w:pPr>
        <w:pStyle w:val="Normal"/>
        <w:numPr>
          <w:ilvl w:val="0"/>
          <w:numId w:val="6"/>
        </w:numPr>
        <w:rPr>
          <w:rFonts w:cs="Arial"/>
        </w:rPr>
      </w:pPr>
      <w:r>
        <w:rPr>
          <w:rFonts w:cs="Arial"/>
        </w:rPr>
        <w:t>Ways to increase environmental awareness through e.g. inductions, tool box meetings posters etc.</w:t>
      </w:r>
    </w:p>
    <w:p>
      <w:pPr>
        <w:pStyle w:val="Normal"/>
        <w:numPr>
          <w:ilvl w:val="0"/>
          <w:numId w:val="6"/>
        </w:numPr>
        <w:rPr>
          <w:rFonts w:cs="Arial"/>
        </w:rPr>
      </w:pPr>
      <w:r>
        <w:rPr>
          <w:rFonts w:cs="Arial"/>
        </w:rPr>
        <w:t>Means for ensuring that subcontractors comply with the environmental requirements</w:t>
      </w:r>
    </w:p>
    <w:p>
      <w:pPr>
        <w:pStyle w:val="Normal"/>
        <w:numPr>
          <w:ilvl w:val="0"/>
          <w:numId w:val="6"/>
        </w:numPr>
        <w:rPr>
          <w:rFonts w:cs="Arial"/>
        </w:rPr>
      </w:pPr>
      <w:r>
        <w:rPr>
          <w:rFonts w:cs="Arial"/>
        </w:rPr>
        <w:t>Reduction of noise and dust</w:t>
      </w:r>
    </w:p>
    <w:p>
      <w:pPr>
        <w:pStyle w:val="Normal"/>
        <w:numPr>
          <w:ilvl w:val="0"/>
          <w:numId w:val="6"/>
        </w:numPr>
        <w:rPr>
          <w:rFonts w:cs="Arial"/>
        </w:rPr>
      </w:pPr>
      <w:r>
        <w:rPr>
          <w:rFonts w:cs="Arial"/>
        </w:rPr>
        <w:t>Prevention of pollution</w:t>
      </w:r>
    </w:p>
    <w:p>
      <w:pPr>
        <w:pStyle w:val="Normal"/>
        <w:numPr>
          <w:ilvl w:val="0"/>
          <w:numId w:val="6"/>
        </w:numPr>
        <w:rPr>
          <w:rFonts w:cs="Arial"/>
        </w:rPr>
      </w:pPr>
      <w:r>
        <w:rPr>
          <w:rFonts w:cs="Arial"/>
        </w:rPr>
        <w:t>Reduction of energy use</w:t>
      </w:r>
    </w:p>
    <w:p>
      <w:pPr>
        <w:pStyle w:val="Normal"/>
        <w:numPr>
          <w:ilvl w:val="0"/>
          <w:numId w:val="6"/>
        </w:numPr>
        <w:rPr>
          <w:rFonts w:cs="Arial"/>
        </w:rPr>
      </w:pPr>
      <w:r>
        <w:rPr>
          <w:rFonts w:cs="Arial"/>
        </w:rPr>
        <w:t>Mitigation of emissions</w:t>
      </w:r>
    </w:p>
    <w:p>
      <w:pPr>
        <w:pStyle w:val="Normal"/>
        <w:numPr>
          <w:ilvl w:val="0"/>
          <w:numId w:val="6"/>
        </w:numPr>
        <w:rPr>
          <w:rFonts w:cs="Arial"/>
        </w:rPr>
      </w:pPr>
      <w:r>
        <w:rPr>
          <w:rFonts w:cs="Arial"/>
        </w:rPr>
        <w:t>Minimisation of waste</w:t>
      </w:r>
    </w:p>
    <w:p>
      <w:pPr>
        <w:pStyle w:val="Normal"/>
        <w:numPr>
          <w:ilvl w:val="0"/>
          <w:numId w:val="6"/>
        </w:numPr>
        <w:rPr>
          <w:rFonts w:cs="Arial"/>
        </w:rPr>
      </w:pPr>
      <w:r>
        <w:rPr>
          <w:rFonts w:cs="Arial"/>
        </w:rPr>
        <w:t>Recycling waste whenever possible</w:t>
      </w:r>
    </w:p>
    <w:p>
      <w:pPr>
        <w:pStyle w:val="Normal"/>
        <w:rPr>
          <w:rFonts w:cs="Arial"/>
        </w:rPr>
      </w:pPr>
      <w:r>
        <w:rPr>
          <w:rFonts w:cs="Arial"/>
        </w:rPr>
      </w:r>
    </w:p>
    <w:p>
      <w:pPr>
        <w:pStyle w:val="Normal"/>
        <w:rPr>
          <w:rFonts w:cs="Arial"/>
        </w:rPr>
      </w:pPr>
      <w:r>
        <w:rPr>
          <w:rFonts w:cs="Arial"/>
        </w:rPr>
        <w:t>The findings of the initial review shall be periodically assessed during the course of the project and amended where necessary to keep up with changing circumstances.</w:t>
      </w:r>
    </w:p>
    <w:p>
      <w:pPr>
        <w:pStyle w:val="Normal"/>
        <w:rPr>
          <w:rFonts w:cs="Arial"/>
        </w:rPr>
      </w:pPr>
      <w:r>
        <w:rPr>
          <w:rFonts w:cs="Arial"/>
        </w:rPr>
      </w:r>
    </w:p>
    <w:p>
      <w:pPr>
        <w:pStyle w:val="Normal"/>
        <w:rPr>
          <w:rFonts w:cs="Arial"/>
        </w:rPr>
      </w:pPr>
      <w:r>
        <w:rPr>
          <w:rFonts w:cs="Arial"/>
        </w:rPr>
      </w:r>
    </w:p>
    <w:p>
      <w:pPr>
        <w:pStyle w:val="Heading1"/>
        <w:ind w:hanging="0" w:left="567"/>
        <w:rPr/>
      </w:pPr>
      <w:bookmarkStart w:id="16" w:name="__RefHeading___Toc172709007"/>
      <w:bookmarkEnd w:id="16"/>
      <w:r>
        <w:rPr/>
        <w:t>Sustainable development</w:t>
      </w:r>
    </w:p>
    <w:p>
      <w:pPr>
        <w:pStyle w:val="Normal"/>
        <w:rPr>
          <w:rFonts w:cs="Arial"/>
        </w:rPr>
      </w:pPr>
      <w:r>
        <w:rPr>
          <w:rFonts w:cs="Arial"/>
        </w:rPr>
      </w:r>
    </w:p>
    <w:p>
      <w:pPr>
        <w:pStyle w:val="Normal"/>
        <w:rPr/>
      </w:pPr>
      <w:r>
        <w:rPr>
          <w:rFonts w:cs="Arial"/>
        </w:rPr>
        <w:t>In the design, (where applicable), planning and execution phases of its works, SHANFARI TRADING AND FURNISHING CO. LLC, where practical, shall give preference to the use of renewable materials and the selection of the most energy efficient means of transportation and construction methods. Care shall be taken to return areas affected by the construction activities, as far as is possible, to their original or equivalent state.</w:t>
      </w:r>
    </w:p>
    <w:sectPr>
      <w:headerReference w:type="default" r:id="rId5"/>
      <w:headerReference w:type="first" r:id="rId6"/>
      <w:footerReference w:type="default" r:id="rId7"/>
      <w:footerReference w:type="first" r:id="rId8"/>
      <w:type w:val="nextPage"/>
      <w:pgSz w:w="11906" w:h="16838"/>
      <w:pgMar w:left="1985" w:right="992" w:gutter="0" w:header="851" w:top="3119" w:footer="1066" w:bottom="112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byrne" w:date="2005-11-03T15:44:00Z" w:initials="j">
    <w:p>
      <w:pPr>
        <w:overflowPunct w:val="false"/>
        <w:bidi w:val="0"/>
        <w:rPr/>
      </w:pPr>
      <w:r>
        <w:rPr>
          <w:rFonts w:cs="DejaVu Sans" w:eastAsia="DejaVu Sans" w:ascii="Liberation Serif" w:hAnsi="Liberation Serif"/>
          <w:sz w:val="24"/>
          <w:szCs w:val="24"/>
          <w:lang w:bidi="en-US" w:eastAsia="en-US" w:val="en-US"/>
        </w:rPr>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altName w:val="Wingdings 3"/>
    <w:charset w:val="02"/>
    <w:family w:val="roman"/>
    <w:pitch w:val="default"/>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left="-567" w:right="-567"/>
      <w:rPr>
        <w:sz w:val="16"/>
      </w:rPr>
    </w:pPr>
    <w:r>
      <w:rPr>
        <w:sz w:val="16"/>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left="-567" w:right="-567"/>
      <w:rPr>
        <w:sz w:val="16"/>
      </w:rPr>
    </w:pPr>
    <w:r>
      <w:rPr>
        <w:sz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207" w:type="dxa"/>
      <w:jc w:val="left"/>
      <w:tblInd w:w="-35" w:type="dxa"/>
      <w:tblLayout w:type="fixed"/>
      <w:tblCellMar>
        <w:top w:w="0" w:type="dxa"/>
        <w:left w:w="107" w:type="dxa"/>
        <w:bottom w:w="0" w:type="dxa"/>
        <w:right w:w="107" w:type="dxa"/>
      </w:tblCellMar>
    </w:tblPr>
    <w:tblGrid>
      <w:gridCol w:w="3118"/>
      <w:gridCol w:w="3970"/>
      <w:gridCol w:w="3119"/>
    </w:tblGrid>
    <w:tr>
      <w:trPr>
        <w:trHeight w:val="1985" w:hRule="exact"/>
      </w:trPr>
      <w:tc>
        <w:tcPr>
          <w:tcW w:w="3118" w:type="dxa"/>
          <w:tcBorders>
            <w:top w:val="single" w:sz="6" w:space="0" w:color="000000"/>
            <w:left w:val="single" w:sz="6" w:space="0" w:color="000000"/>
            <w:bottom w:val="single" w:sz="6" w:space="0" w:color="000000"/>
            <w:right w:val="single" w:sz="6" w:space="0" w:color="000000"/>
          </w:tcBorders>
        </w:tcPr>
        <w:p>
          <w:pPr>
            <w:pStyle w:val="Normal"/>
            <w:spacing w:before="360" w:after="0"/>
            <w:ind w:left="177" w:right="0"/>
            <w:jc w:val="center"/>
            <w:rPr/>
          </w:pPr>
          <w:r>
            <w:rPr/>
            <w:br/>
          </w:r>
          <w:r>
            <w:rPr/>
            <w:object w:dxaOrig="2386" w:dyaOrig="859">
              <v:shapetype id="_x0000_tole_rId1" coordsize="21600,21600" o:spt="ole_rId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 type="_x0000_tole_rId1" style="width:89.8pt;height:32.3pt" filled="f" o:ole="">
                <v:imagedata r:id="rId2" o:title=""/>
              </v:shape>
              <o:OLEObject Type="Embed" ProgID="" ShapeID="ole_rId1" DrawAspect="Content" ObjectID="_516244549" r:id="rId1"/>
            </w:object>
          </w:r>
          <w:r>
            <w:rPr/>
            <w:br/>
          </w:r>
        </w:p>
      </w:tc>
      <w:tc>
        <w:tcPr>
          <w:tcW w:w="3970" w:type="dxa"/>
          <w:tcBorders>
            <w:top w:val="single" w:sz="6" w:space="0" w:color="000000"/>
            <w:left w:val="single" w:sz="6" w:space="0" w:color="000000"/>
            <w:bottom w:val="single" w:sz="6" w:space="0" w:color="000000"/>
            <w:right w:val="single" w:sz="6" w:space="0" w:color="000000"/>
          </w:tcBorders>
        </w:tcPr>
        <w:p>
          <w:pPr>
            <w:pStyle w:val="Normal"/>
            <w:spacing w:before="240" w:after="0"/>
            <w:ind w:left="0" w:right="0"/>
            <w:jc w:val="center"/>
            <w:rPr>
              <w:b/>
            </w:rPr>
          </w:pPr>
          <w:r>
            <w:rPr>
              <w:b/>
            </w:rPr>
            <w:t>COMPANY MANAGEMENT SYSTEM</w:t>
          </w:r>
        </w:p>
        <w:p>
          <w:pPr>
            <w:pStyle w:val="Normal"/>
            <w:spacing w:before="240" w:after="0"/>
            <w:ind w:left="178" w:right="460"/>
            <w:jc w:val="center"/>
            <w:rPr>
              <w:b/>
              <w:sz w:val="22"/>
              <w:szCs w:val="22"/>
            </w:rPr>
          </w:pPr>
          <w:r>
            <w:rPr>
              <w:b/>
              <w:sz w:val="22"/>
              <w:szCs w:val="22"/>
            </w:rPr>
            <w:t xml:space="preserve">Standard </w:t>
          </w:r>
        </w:p>
        <w:p>
          <w:pPr>
            <w:pStyle w:val="Normal"/>
            <w:spacing w:before="240" w:after="0"/>
            <w:ind w:left="319" w:right="176"/>
            <w:jc w:val="center"/>
            <w:rPr/>
          </w:pPr>
          <w:r>
            <w:rPr/>
            <w:t>Corporate Social Responsibility Policy Document</w:t>
          </w:r>
        </w:p>
      </w:tc>
      <w:tc>
        <w:tcPr>
          <w:tcW w:w="3119" w:type="dxa"/>
          <w:tcBorders>
            <w:top w:val="single" w:sz="6" w:space="0" w:color="000000"/>
            <w:left w:val="single" w:sz="6" w:space="0" w:color="000000"/>
            <w:bottom w:val="single" w:sz="6" w:space="0" w:color="000000"/>
            <w:right w:val="single" w:sz="6" w:space="0" w:color="000000"/>
          </w:tcBorders>
        </w:tcPr>
        <w:p>
          <w:pPr>
            <w:pStyle w:val="Normal"/>
            <w:tabs>
              <w:tab w:val="clear" w:pos="567"/>
              <w:tab w:val="left" w:pos="1027" w:leader="none"/>
            </w:tabs>
            <w:spacing w:before="360" w:after="0"/>
            <w:ind w:left="136" w:right="0"/>
            <w:rPr>
              <w:sz w:val="18"/>
            </w:rPr>
          </w:pPr>
          <w:r>
            <w:rPr>
              <w:sz w:val="18"/>
            </w:rPr>
            <w:t>Doc. No</w:t>
            <w:tab/>
            <w:t xml:space="preserve">: </w:t>
          </w:r>
          <w:r>
            <w:rPr>
              <w:b/>
              <w:sz w:val="18"/>
            </w:rPr>
            <w:t>QU-S-02</w:t>
          </w:r>
        </w:p>
        <w:p>
          <w:pPr>
            <w:pStyle w:val="Normal"/>
            <w:tabs>
              <w:tab w:val="clear" w:pos="567"/>
              <w:tab w:val="left" w:pos="1027" w:leader="none"/>
            </w:tabs>
            <w:spacing w:before="120" w:after="0"/>
            <w:ind w:left="136" w:right="0"/>
            <w:rPr>
              <w:sz w:val="18"/>
            </w:rPr>
          </w:pPr>
          <w:r>
            <w:rPr>
              <w:sz w:val="18"/>
            </w:rPr>
            <w:t>Rev. No</w:t>
            <w:tab/>
            <w:t>: 02</w:t>
          </w:r>
        </w:p>
        <w:p>
          <w:pPr>
            <w:pStyle w:val="Normal"/>
            <w:tabs>
              <w:tab w:val="clear" w:pos="567"/>
              <w:tab w:val="left" w:pos="1027" w:leader="none"/>
            </w:tabs>
            <w:spacing w:before="120" w:after="0"/>
            <w:ind w:left="136" w:right="0"/>
            <w:rPr>
              <w:sz w:val="18"/>
              <w:szCs w:val="18"/>
            </w:rPr>
          </w:pPr>
          <w:r>
            <w:rPr>
              <w:sz w:val="18"/>
              <w:szCs w:val="18"/>
            </w:rPr>
            <w:t>Date</w:t>
            <w:tab/>
            <w:t>: 20 April 2009</w:t>
          </w:r>
        </w:p>
        <w:p>
          <w:pPr>
            <w:pStyle w:val="Normal"/>
            <w:tabs>
              <w:tab w:val="clear" w:pos="567"/>
              <w:tab w:val="left" w:pos="1027" w:leader="none"/>
            </w:tabs>
            <w:spacing w:before="120" w:after="0"/>
            <w:ind w:left="136" w:right="0"/>
            <w:rPr/>
          </w:pPr>
          <w:r>
            <w:rPr/>
            <w:t>Author</w:t>
            <w:tab/>
            <w:t>: JBY</w:t>
          </w:r>
        </w:p>
        <w:p>
          <w:pPr>
            <w:pStyle w:val="Normal"/>
            <w:tabs>
              <w:tab w:val="clear" w:pos="567"/>
              <w:tab w:val="left" w:pos="1027" w:leader="none"/>
            </w:tabs>
            <w:spacing w:before="120" w:after="0"/>
            <w:ind w:left="136" w:right="0"/>
            <w:rPr>
              <w:sz w:val="18"/>
            </w:rPr>
          </w:pPr>
          <w:r>
            <w:rPr>
              <w:sz w:val="18"/>
              <w:szCs w:val="18"/>
            </w:rPr>
            <w:t>Page No.</w:t>
            <w:tab/>
            <w:t xml:space="preserve">: </w:t>
          </w: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Pr>
              <w:rStyle w:val="PageNumber"/>
              <w:sz w:val="18"/>
              <w:szCs w:val="18"/>
            </w:rPr>
            <w:t>1</w:t>
          </w:r>
          <w:r>
            <w:rPr>
              <w:rStyle w:val="PageNumber"/>
              <w:sz w:val="18"/>
              <w:szCs w:val="18"/>
            </w:rPr>
            <w:fldChar w:fldCharType="end"/>
          </w:r>
          <w:r>
            <w:rPr>
              <w:rStyle w:val="PageNumber"/>
              <w:sz w:val="18"/>
              <w:szCs w:val="18"/>
            </w:rPr>
            <w:t xml:space="preserve"> of </w:t>
          </w:r>
          <w:r>
            <w:rPr>
              <w:rStyle w:val="PageNumber"/>
              <w:sz w:val="18"/>
              <w:szCs w:val="18"/>
            </w:rPr>
            <w:fldChar w:fldCharType="begin"/>
          </w:r>
          <w:r>
            <w:rPr>
              <w:rStyle w:val="PageNumber"/>
              <w:sz w:val="18"/>
              <w:szCs w:val="18"/>
            </w:rPr>
            <w:instrText xml:space="preserve"> NUMPAGES \* ARABIC </w:instrText>
          </w:r>
          <w:r>
            <w:rPr>
              <w:rStyle w:val="PageNumber"/>
              <w:sz w:val="18"/>
              <w:szCs w:val="18"/>
            </w:rPr>
            <w:fldChar w:fldCharType="separate"/>
          </w:r>
          <w:r>
            <w:rPr>
              <w:rStyle w:val="PageNumber"/>
              <w:sz w:val="18"/>
              <w:szCs w:val="18"/>
            </w:rPr>
            <w:t>8</w:t>
          </w:r>
          <w:r>
            <w:rPr>
              <w:rStyle w:val="PageNumber"/>
              <w:sz w:val="18"/>
              <w:szCs w:val="18"/>
            </w:rPr>
            <w:fldChar w:fldCharType="end"/>
          </w:r>
        </w:p>
        <w:p>
          <w:pPr>
            <w:pStyle w:val="Normal"/>
            <w:tabs>
              <w:tab w:val="clear" w:pos="567"/>
              <w:tab w:val="left" w:pos="1027" w:leader="none"/>
            </w:tabs>
            <w:spacing w:before="120" w:after="0"/>
            <w:ind w:left="136" w:right="0"/>
            <w:rPr>
              <w:sz w:val="18"/>
            </w:rPr>
          </w:pPr>
          <w:r>
            <w:rPr>
              <w:sz w:val="18"/>
            </w:rPr>
          </w:r>
        </w:p>
      </w:tc>
    </w:tr>
  </w:tbl>
  <w:p>
    <w:pPr>
      <w:pStyle w:val="Normal"/>
      <w:ind w:left="0" w:right="0"/>
      <w:rPr>
        <w:sz w:val="10"/>
      </w:rPr>
    </w:pPr>
    <w:r>
      <w:rPr>
        <w:sz w:val="1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207" w:type="dxa"/>
      <w:jc w:val="left"/>
      <w:tblInd w:w="-744" w:type="dxa"/>
      <w:tblLayout w:type="fixed"/>
      <w:tblCellMar>
        <w:top w:w="0" w:type="dxa"/>
        <w:left w:w="107" w:type="dxa"/>
        <w:bottom w:w="0" w:type="dxa"/>
        <w:right w:w="107" w:type="dxa"/>
      </w:tblCellMar>
    </w:tblPr>
    <w:tblGrid>
      <w:gridCol w:w="3205"/>
      <w:gridCol w:w="3797"/>
      <w:gridCol w:w="3205"/>
    </w:tblGrid>
    <w:tr>
      <w:trPr>
        <w:trHeight w:val="1985" w:hRule="exact"/>
      </w:trPr>
      <w:tc>
        <w:tcPr>
          <w:tcW w:w="3205" w:type="dxa"/>
          <w:tcBorders>
            <w:top w:val="single" w:sz="6" w:space="0" w:color="000000"/>
            <w:left w:val="single" w:sz="6" w:space="0" w:color="000000"/>
            <w:bottom w:val="single" w:sz="6" w:space="0" w:color="000000"/>
            <w:right w:val="single" w:sz="6" w:space="0" w:color="000000"/>
          </w:tcBorders>
        </w:tcPr>
        <w:p>
          <w:pPr>
            <w:pStyle w:val="Normal"/>
            <w:spacing w:before="400" w:after="0"/>
            <w:ind w:left="34" w:right="0"/>
            <w:jc w:val="center"/>
            <w:rPr/>
          </w:pPr>
          <w:r>
            <w:rPr/>
            <w:br/>
          </w:r>
          <w:r>
            <w:rPr/>
            <w:drawing>
              <wp:inline distT="0" distB="0" distL="0" distR="0">
                <wp:extent cx="500000" cy="500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r>
            <w:rPr/>
            <w:br/>
          </w:r>
        </w:p>
      </w:tc>
      <w:tc>
        <w:tcPr>
          <w:tcW w:w="3797" w:type="dxa"/>
          <w:tcBorders>
            <w:top w:val="single" w:sz="6" w:space="0" w:color="000000"/>
            <w:left w:val="single" w:sz="6" w:space="0" w:color="000000"/>
            <w:bottom w:val="single" w:sz="6" w:space="0" w:color="000000"/>
            <w:right w:val="single" w:sz="6" w:space="0" w:color="000000"/>
          </w:tcBorders>
        </w:tcPr>
        <w:p>
          <w:pPr>
            <w:pStyle w:val="Normal"/>
            <w:spacing w:before="240" w:after="0"/>
            <w:ind w:left="0" w:right="0"/>
            <w:jc w:val="center"/>
            <w:rPr>
              <w:b/>
            </w:rPr>
          </w:pPr>
          <w:r>
            <w:rPr>
              <w:b/>
            </w:rPr>
            <w:t>COMPANY MANAGEMENT SYSTEM</w:t>
          </w:r>
        </w:p>
        <w:p>
          <w:pPr>
            <w:pStyle w:val="Normal"/>
            <w:spacing w:before="240" w:after="0"/>
            <w:ind w:left="36" w:right="460"/>
            <w:jc w:val="center"/>
            <w:rPr>
              <w:b/>
              <w:sz w:val="22"/>
              <w:szCs w:val="22"/>
            </w:rPr>
          </w:pPr>
          <w:r>
            <w:rPr>
              <w:b/>
              <w:sz w:val="22"/>
              <w:szCs w:val="22"/>
            </w:rPr>
            <w:t>Standard</w:t>
          </w:r>
        </w:p>
        <w:p>
          <w:pPr>
            <w:pStyle w:val="Normal"/>
            <w:spacing w:before="240" w:after="0"/>
            <w:ind w:left="0" w:right="0"/>
            <w:jc w:val="center"/>
            <w:rPr>
              <w:b/>
              <w:sz w:val="22"/>
              <w:szCs w:val="22"/>
            </w:rPr>
          </w:pPr>
          <w:r>
            <w:rPr/>
            <w:t>Corporate Social Responsibility</w:t>
            <w:br/>
            <w:t xml:space="preserve"> Policy Document</w:t>
          </w:r>
        </w:p>
      </w:tc>
      <w:tc>
        <w:tcPr>
          <w:tcW w:w="3205" w:type="dxa"/>
          <w:tcBorders>
            <w:top w:val="single" w:sz="6" w:space="0" w:color="000000"/>
            <w:left w:val="single" w:sz="6" w:space="0" w:color="000000"/>
            <w:bottom w:val="single" w:sz="6" w:space="0" w:color="000000"/>
            <w:right w:val="single" w:sz="6" w:space="0" w:color="000000"/>
          </w:tcBorders>
        </w:tcPr>
        <w:p>
          <w:pPr>
            <w:pStyle w:val="Normal"/>
            <w:tabs>
              <w:tab w:val="clear" w:pos="567"/>
              <w:tab w:val="left" w:pos="972" w:leader="none"/>
            </w:tabs>
            <w:spacing w:before="360" w:after="0"/>
            <w:ind w:left="136" w:right="0"/>
            <w:rPr>
              <w:sz w:val="18"/>
            </w:rPr>
          </w:pPr>
          <w:r>
            <w:rPr>
              <w:sz w:val="18"/>
            </w:rPr>
            <w:t>Doc. No</w:t>
            <w:tab/>
            <w:t xml:space="preserve">: </w:t>
          </w:r>
          <w:r>
            <w:rPr>
              <w:b/>
              <w:sz w:val="18"/>
            </w:rPr>
            <w:t>QU-S-02</w:t>
          </w:r>
        </w:p>
        <w:p>
          <w:pPr>
            <w:pStyle w:val="Normal"/>
            <w:tabs>
              <w:tab w:val="clear" w:pos="567"/>
              <w:tab w:val="left" w:pos="972" w:leader="none"/>
            </w:tabs>
            <w:spacing w:before="120" w:after="0"/>
            <w:ind w:left="136" w:right="0"/>
            <w:rPr>
              <w:sz w:val="18"/>
            </w:rPr>
          </w:pPr>
          <w:r>
            <w:rPr>
              <w:sz w:val="18"/>
            </w:rPr>
            <w:t>Rev. No</w:t>
            <w:tab/>
            <w:t>: 02</w:t>
          </w:r>
        </w:p>
        <w:p>
          <w:pPr>
            <w:pStyle w:val="Normal"/>
            <w:tabs>
              <w:tab w:val="clear" w:pos="567"/>
              <w:tab w:val="left" w:pos="972" w:leader="none"/>
            </w:tabs>
            <w:spacing w:before="120" w:after="0"/>
            <w:ind w:left="136" w:right="0"/>
            <w:rPr>
              <w:sz w:val="18"/>
            </w:rPr>
          </w:pPr>
          <w:r>
            <w:rPr>
              <w:sz w:val="18"/>
            </w:rPr>
            <w:t>Date</w:t>
            <w:tab/>
            <w:t>: 20 April 2009</w:t>
          </w:r>
        </w:p>
        <w:p>
          <w:pPr>
            <w:pStyle w:val="Normal"/>
            <w:tabs>
              <w:tab w:val="clear" w:pos="567"/>
              <w:tab w:val="left" w:pos="972" w:leader="none"/>
            </w:tabs>
            <w:spacing w:before="120" w:after="0"/>
            <w:ind w:left="136" w:right="0"/>
            <w:rPr>
              <w:sz w:val="18"/>
            </w:rPr>
          </w:pPr>
          <w:r>
            <w:rPr>
              <w:sz w:val="18"/>
            </w:rPr>
            <w:t>Author</w:t>
            <w:tab/>
            <w:t>: JBY</w:t>
          </w:r>
        </w:p>
        <w:p>
          <w:pPr>
            <w:pStyle w:val="Normal"/>
            <w:spacing w:before="60" w:after="0"/>
            <w:ind w:left="138" w:right="0"/>
            <w:rPr/>
          </w:pPr>
          <w:r>
            <w:rPr>
              <w:sz w:val="18"/>
            </w:rPr>
            <w:t>Page No.</w:t>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r>
            <w:rPr>
              <w:sz w:val="18"/>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8</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16">
              <wp:simplePos x="0" y="0"/>
              <wp:positionH relativeFrom="column">
                <wp:posOffset>-528955</wp:posOffset>
              </wp:positionH>
              <wp:positionV relativeFrom="paragraph">
                <wp:posOffset>18415</wp:posOffset>
              </wp:positionV>
              <wp:extent cx="6478905" cy="8490585"/>
              <wp:effectExtent l="5080" t="0" r="0" b="4445"/>
              <wp:wrapNone/>
              <wp:docPr id="2" name=""/>
              <a:graphic xmlns:a="http://schemas.openxmlformats.org/drawingml/2006/main">
                <a:graphicData uri="http://schemas.microsoft.com/office/word/2010/wordprocessingGroup">
                  <wpg:wgp>
                    <wpg:cNvGrpSpPr/>
                    <wpg:grpSpPr>
                      <a:xfrm>
                        <a:off x="0" y="0"/>
                        <a:ext cx="6478920" cy="8490600"/>
                        <a:chOff x="0" y="0"/>
                        <a:chExt cx="6478920" cy="8490600"/>
                      </a:xfrm>
                    </wpg:grpSpPr>
                    <wps:wsp>
                      <wps:cNvSpPr/>
                      <wps:spPr>
                        <a:xfrm>
                          <a:off x="0" y="0"/>
                          <a:ext cx="0" cy="8486280"/>
                        </a:xfrm>
                        <a:prstGeom prst="line">
                          <a:avLst/>
                        </a:prstGeom>
                        <a:ln w="9360">
                          <a:solidFill>
                            <a:srgbClr val="000000"/>
                          </a:solidFill>
                          <a:miter/>
                        </a:ln>
                      </wps:spPr>
                      <wps:style>
                        <a:lnRef idx="0"/>
                        <a:fillRef idx="0"/>
                        <a:effectRef idx="0"/>
                        <a:fontRef idx="minor"/>
                      </wps:style>
                      <wps:bodyPr/>
                    </wps:wsp>
                    <wps:wsp>
                      <wps:cNvSpPr/>
                      <wps:spPr>
                        <a:xfrm>
                          <a:off x="6468840" y="4320"/>
                          <a:ext cx="0" cy="8486280"/>
                        </a:xfrm>
                        <a:prstGeom prst="line">
                          <a:avLst/>
                        </a:prstGeom>
                        <a:ln w="9360">
                          <a:solidFill>
                            <a:srgbClr val="000000"/>
                          </a:solidFill>
                          <a:miter/>
                        </a:ln>
                      </wps:spPr>
                      <wps:style>
                        <a:lnRef idx="0"/>
                        <a:fillRef idx="0"/>
                        <a:effectRef idx="0"/>
                        <a:fontRef idx="minor"/>
                      </wps:style>
                      <wps:bodyPr/>
                    </wps:wsp>
                    <wps:wsp>
                      <wps:cNvSpPr/>
                      <wps:spPr>
                        <a:xfrm>
                          <a:off x="15120" y="8489880"/>
                          <a:ext cx="646380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41.65pt;margin-top:1.45pt;width:510.1pt;height:668.45pt" coordorigin="-833,29" coordsize="10202,13369">
              <v:line id="shape_0" from="-833,29" to="-833,13392" stroked="t" o:allowincell="f" style="position:absolute">
                <v:stroke color="black" weight="9360" joinstyle="miter" endcap="flat"/>
                <v:fill o:detectmouseclick="t" on="false"/>
                <w10:wrap type="none"/>
              </v:line>
              <v:line id="shape_0" from="9354,36" to="9354,13399" stroked="t" o:allowincell="f" style="position:absolute">
                <v:stroke color="black" weight="9360" joinstyle="miter" endcap="flat"/>
                <v:fill o:detectmouseclick="t" on="false"/>
                <w10:wrap type="none"/>
              </v:line>
              <v:line id="shape_0" from="-809,13399" to="9369,13399" stroked="t" o:allowincell="f" style="position:absolute">
                <v:stroke color="black" weight="9360" joinstyle="miter" endcap="flat"/>
                <v:fill o:detectmouseclick="t" on="false"/>
                <w10:wrap type="none"/>
              </v:line>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927"/>
        </w:tabs>
        <w:ind w:left="927" w:hanging="360"/>
      </w:pPr>
      <w:rPr>
        <w:rFonts w:ascii="Symbol" w:hAnsi="Symbol" w:cs="Symbol" w:hint="default"/>
        <w:color w:val="000000"/>
      </w:rPr>
    </w:lvl>
  </w:abstractNum>
  <w:abstractNum w:abstractNumId="3">
    <w:lvl w:ilvl="0">
      <w:start w:val="1"/>
      <w:numFmt w:val="bullet"/>
      <w:lvlText w:val=""/>
      <w:lvlJc w:val="left"/>
      <w:pPr>
        <w:tabs>
          <w:tab w:val="num" w:pos="927"/>
        </w:tabs>
        <w:ind w:left="927" w:hanging="360"/>
      </w:pPr>
      <w:rPr>
        <w:rFonts w:ascii="Symbol" w:hAnsi="Symbol" w:cs="Symbol" w:hint="default"/>
        <w:color w:val="000000"/>
      </w:rPr>
    </w:lvl>
  </w:abstractNum>
  <w:abstractNum w:abstractNumId="4">
    <w:lvl w:ilvl="0">
      <w:start w:val="1"/>
      <w:numFmt w:val="bullet"/>
      <w:lvlText w:val=""/>
      <w:lvlJc w:val="left"/>
      <w:pPr>
        <w:tabs>
          <w:tab w:val="num" w:pos="927"/>
        </w:tabs>
        <w:ind w:left="927" w:hanging="360"/>
      </w:pPr>
      <w:rPr>
        <w:rFonts w:ascii="Symbol" w:hAnsi="Symbol" w:cs="Symbol" w:hint="default"/>
        <w:color w:val="000000"/>
      </w:rPr>
    </w:lvl>
  </w:abstractNum>
  <w:abstractNum w:abstractNumId="5">
    <w:lvl w:ilvl="0">
      <w:start w:val="1"/>
      <w:numFmt w:val="bullet"/>
      <w:lvlText w:val=""/>
      <w:lvlJc w:val="left"/>
      <w:pPr>
        <w:tabs>
          <w:tab w:val="num" w:pos="360"/>
        </w:tabs>
        <w:ind w:left="238" w:hanging="238"/>
      </w:pPr>
      <w:rPr>
        <w:rFonts w:ascii="Symbol" w:hAnsi="Symbol" w:cs="Symbol" w:hint="default"/>
      </w:rPr>
    </w:lvl>
  </w:abstractNum>
  <w:abstractNum w:abstractNumId="6">
    <w:lvl w:ilvl="0">
      <w:start w:val="1"/>
      <w:numFmt w:val="bullet"/>
      <w:lvlText w:val=""/>
      <w:lvlJc w:val="left"/>
      <w:pPr>
        <w:tabs>
          <w:tab w:val="num" w:pos="927"/>
        </w:tabs>
        <w:ind w:left="927" w:hanging="360"/>
      </w:pPr>
      <w:rPr>
        <w:rFonts w:ascii="Symbol" w:hAnsi="Symbol" w:cs="Symbol" w:hint="default"/>
        <w:color w:val="000000"/>
      </w:rPr>
    </w:lvl>
  </w:abstractNum>
  <w:abstractNum w:abstractNumId="7">
    <w:lvl w:ilvl="0">
      <w:start w:val="1"/>
      <w:numFmt w:val="bullet"/>
      <w:lvlText w:val=""/>
      <w:lvlJc w:val="left"/>
      <w:pPr>
        <w:tabs>
          <w:tab w:val="num" w:pos="360"/>
        </w:tabs>
        <w:ind w:left="360" w:hanging="360"/>
      </w:pPr>
      <w:rPr>
        <w:rFonts w:ascii="Symbol" w:hAnsi="Symbol" w:cs="Symbol" w:hint="default"/>
      </w:rPr>
    </w:lvl>
  </w:abstractNum>
  <w:abstractNum w:abstractNumId="8">
    <w:lvl w:ilvl="0">
      <w:start w:val="1"/>
      <w:numFmt w:val="bullet"/>
      <w:lvlText w:val=""/>
      <w:lvlJc w:val="left"/>
      <w:pPr>
        <w:tabs>
          <w:tab w:val="num" w:pos="360"/>
        </w:tabs>
        <w:ind w:left="360" w:hanging="360"/>
      </w:pPr>
      <w:rPr>
        <w:rFonts w:ascii="Symbol" w:hAnsi="Symbol" w:cs="Symbol" w:hint="default"/>
      </w:rPr>
    </w:lvl>
  </w:abstractNum>
  <w:abstractNum w:abstractNumId="9">
    <w:lvl w:ilvl="0">
      <w:start w:val="1"/>
      <w:numFmt w:val="bullet"/>
      <w:lvlText w:val=""/>
      <w:lvlJc w:val="left"/>
      <w:pPr>
        <w:tabs>
          <w:tab w:val="num" w:pos="927"/>
        </w:tabs>
        <w:ind w:left="927" w:hanging="360"/>
      </w:pPr>
      <w:rPr>
        <w:rFonts w:ascii="Symbol" w:hAnsi="Symbol" w:cs="Symbol" w:hint="default"/>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left" w:pos="567" w:leader="none"/>
      </w:tabs>
      <w:outlineLvl w:val="0"/>
    </w:pPr>
    <w:rPr>
      <w:b/>
      <w:sz w:val="24"/>
    </w:rPr>
  </w:style>
  <w:style w:type="paragraph" w:styleId="Heading2">
    <w:name w:val="heading 2"/>
    <w:basedOn w:val="Normal"/>
    <w:next w:val="Normal"/>
    <w:qFormat/>
    <w:pPr>
      <w:numPr>
        <w:ilvl w:val="1"/>
        <w:numId w:val="1"/>
      </w:numPr>
      <w:tabs>
        <w:tab w:val="left" w:pos="567" w:leader="none"/>
      </w:tabs>
      <w:outlineLvl w:val="1"/>
    </w:pPr>
    <w:rPr>
      <w:b/>
    </w:rPr>
  </w:style>
  <w:style w:type="paragraph" w:styleId="Heading3">
    <w:name w:val="heading 3"/>
    <w:basedOn w:val="Normal"/>
    <w:next w:val="Normal"/>
    <w:qFormat/>
    <w:pPr>
      <w:numPr>
        <w:ilvl w:val="2"/>
        <w:numId w:val="1"/>
      </w:numPr>
      <w:tabs>
        <w:tab w:val="left" w:pos="567" w:leader="none"/>
      </w:tabs>
      <w:outlineLvl w:val="2"/>
    </w:pPr>
    <w:rPr>
      <w:b/>
    </w:rPr>
  </w:style>
  <w:style w:type="paragraph" w:styleId="Heading4">
    <w:name w:val="heading 4"/>
    <w:basedOn w:val="Normal"/>
    <w:next w:val="Normal"/>
    <w:qFormat/>
    <w:pPr>
      <w:keepNext w:val="true"/>
      <w:numPr>
        <w:ilvl w:val="3"/>
        <w:numId w:val="1"/>
      </w:numPr>
      <w:tabs>
        <w:tab w:val="clear" w:pos="567"/>
        <w:tab w:val="left" w:pos="851" w:leader="none"/>
      </w:tabs>
      <w:outlineLvl w:val="3"/>
    </w:pPr>
    <w:rPr>
      <w:b/>
    </w:rPr>
  </w:style>
  <w:style w:type="paragraph" w:styleId="Heading5">
    <w:name w:val="heading 5"/>
    <w:basedOn w:val="Normal"/>
    <w:next w:val="Normal"/>
    <w:qFormat/>
    <w:pPr>
      <w:numPr>
        <w:ilvl w:val="4"/>
        <w:numId w:val="1"/>
      </w:numPr>
      <w:tabs>
        <w:tab w:val="clear" w:pos="567"/>
        <w:tab w:val="left" w:pos="851" w:leader="none"/>
      </w:tabs>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tabs>
        <w:tab w:val="clear" w:pos="567"/>
        <w:tab w:val="left" w:pos="1701" w:leader="none"/>
      </w:tabs>
      <w:outlineLvl w:val="8"/>
    </w:pPr>
    <w:rPr>
      <w:b/>
    </w:rPr>
  </w:style>
  <w:style w:type="character" w:styleId="WW8Num1z0">
    <w:name w:val="WW8Num1z0"/>
    <w:qFormat/>
    <w:rPr>
      <w:u w:val="none"/>
    </w:rPr>
  </w:style>
  <w:style w:type="character" w:styleId="WW8Num2z0">
    <w:name w:val="WW8Num2z0"/>
    <w:qFormat/>
    <w:rPr>
      <w:rFonts w:ascii="Symbol;Wingdings 3" w:hAnsi="Symbol;Wingdings 3" w:cs="Symbol;Wingdings 3"/>
      <w:color w:val="00000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Wingdings 3" w:hAnsi="Symbol;Wingdings 3" w:cs="Symbol;Wingdings 3"/>
    </w:rPr>
  </w:style>
  <w:style w:type="character" w:styleId="WW8Num3z0">
    <w:name w:val="WW8Num3z0"/>
    <w:qFormat/>
    <w:rPr>
      <w:rFonts w:ascii="Symbol;Wingdings 3" w:hAnsi="Symbol;Wingdings 3" w:cs="Symbol;Wingdings 3"/>
      <w:color w:val="00000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Wingdings 3" w:hAnsi="Symbol;Wingdings 3" w:cs="Symbol;Wingdings 3"/>
    </w:rPr>
  </w:style>
  <w:style w:type="character" w:styleId="WW8Num4z0">
    <w:name w:val="WW8Num4z0"/>
    <w:qFormat/>
    <w:rPr>
      <w:rFonts w:ascii="Symbol;Wingdings 3" w:hAnsi="Symbol;Wingdings 3" w:cs="Symbol;Wingdings 3"/>
      <w:color w:val="00000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Wingdings 3" w:hAnsi="Symbol;Wingdings 3" w:cs="Symbol;Wingdings 3"/>
    </w:rPr>
  </w:style>
  <w:style w:type="character" w:styleId="WW8Num5z0">
    <w:name w:val="WW8Num5z0"/>
    <w:qFormat/>
    <w:rPr>
      <w:rFonts w:ascii="Symbol;Wingdings 3" w:hAnsi="Symbol;Wingdings 3" w:cs="Symbol;Wingdings 3"/>
    </w:rPr>
  </w:style>
  <w:style w:type="character" w:styleId="WW8Num6z0">
    <w:name w:val="WW8Num6z0"/>
    <w:qFormat/>
    <w:rPr>
      <w:rFonts w:ascii="Symbol;Wingdings 3" w:hAnsi="Symbol;Wingdings 3" w:cs="Symbol;Wingdings 3"/>
      <w:color w:val="000000"/>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Wingdings 3" w:hAnsi="Symbol;Wingdings 3" w:cs="Symbol;Wingdings 3"/>
    </w:rPr>
  </w:style>
  <w:style w:type="character" w:styleId="WW8Num7z0">
    <w:name w:val="WW8Num7z0"/>
    <w:qFormat/>
    <w:rPr>
      <w:rFonts w:ascii="Symbol;Wingdings 3" w:hAnsi="Symbol;Wingdings 3" w:cs="Symbol;Wingdings 3"/>
    </w:rPr>
  </w:style>
  <w:style w:type="character" w:styleId="WW8Num8z0">
    <w:name w:val="WW8Num8z0"/>
    <w:qFormat/>
    <w:rPr>
      <w:rFonts w:ascii="Symbol;Wingdings 3" w:hAnsi="Symbol;Wingdings 3" w:cs="Symbol;Wingdings 3"/>
    </w:rPr>
  </w:style>
  <w:style w:type="character" w:styleId="WW8Num9z0">
    <w:name w:val="WW8Num9z0"/>
    <w:qFormat/>
    <w:rPr>
      <w:rFonts w:ascii="Symbol;Wingdings 3" w:hAnsi="Symbol;Wingdings 3" w:cs="Symbol;Wingdings 3"/>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Wingdings 3" w:hAnsi="Symbol;Wingdings 3" w:cs="Symbol;Wingdings 3"/>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PageNumber">
    <w:name w:val="page number"/>
    <w:basedOn w:val="DefaultParagraphFont"/>
    <w:rPr/>
  </w:style>
  <w:style w:type="character" w:styleId="FootnoteCharacters">
    <w:name w:val="Footnote Characters"/>
    <w:basedOn w:val="DefaultParagraphFont"/>
    <w:qFormat/>
    <w:rPr>
      <w:vertAlign w:val="superscript"/>
    </w:rPr>
  </w:style>
  <w:style w:type="character" w:styleId="FollowedHyperlink">
    <w:name w:val="FollowedHyperlink"/>
    <w:basedOn w:val="DefaultParagraphFont"/>
    <w:rPr>
      <w:color w:val="800080"/>
      <w:u w:val="single"/>
    </w:rPr>
  </w:style>
  <w:style w:type="character" w:styleId="CharChar">
    <w:name w:val=" Char Char"/>
    <w:basedOn w:val="DefaultParagraphFont"/>
    <w:qFormat/>
    <w:rPr>
      <w:rFonts w:ascii="Arial" w:hAnsi="Arial" w:cs="Arial"/>
      <w:b/>
      <w:lang w:val="en-GB"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ind w:hanging="0" w:left="0" w:right="0"/>
    </w:pPr>
    <w:rPr>
      <w:sz w:val="16"/>
    </w:rPr>
  </w:style>
  <w:style w:type="paragraph" w:styleId="List">
    <w:name w:val="List"/>
    <w:basedOn w:val="BodyText"/>
    <w:pPr/>
    <w:rPr>
      <w:rFonts w:cs="Lohit Devanagari"/>
    </w:rPr>
  </w:style>
  <w:style w:type="paragraph" w:styleId="Caption">
    <w:name w:val="caption"/>
    <w:basedOn w:val="Normal"/>
    <w:next w:val="Normal"/>
    <w:qFormat/>
    <w:pPr>
      <w:spacing w:before="120" w:after="120"/>
      <w:ind w:hanging="0" w:left="0" w:right="0"/>
    </w:pPr>
    <w:rPr>
      <w:b/>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Heading2"/>
    <w:next w:val="Normal"/>
    <w:pPr>
      <w:numPr>
        <w:ilvl w:val="0"/>
        <w:numId w:val="0"/>
      </w:numPr>
      <w:tabs>
        <w:tab w:val="left" w:pos="567" w:leader="none"/>
        <w:tab w:val="right" w:pos="8505" w:leader="dot"/>
      </w:tabs>
      <w:ind w:hanging="0" w:left="567" w:right="0"/>
      <w:outlineLvl w:val="9"/>
    </w:pPr>
    <w:rPr>
      <w:b w:val="false"/>
    </w:rPr>
  </w:style>
  <w:style w:type="paragraph" w:styleId="TOC1">
    <w:name w:val="toc 1"/>
    <w:basedOn w:val="Heading1"/>
    <w:next w:val="Normal"/>
    <w:pPr>
      <w:numPr>
        <w:ilvl w:val="0"/>
        <w:numId w:val="0"/>
      </w:numPr>
      <w:tabs>
        <w:tab w:val="left" w:pos="567" w:leader="none"/>
        <w:tab w:val="right" w:pos="8505" w:leader="dot"/>
      </w:tabs>
      <w:ind w:hanging="0" w:left="567" w:right="0"/>
      <w:outlineLvl w:val="9"/>
    </w:pPr>
    <w:rPr>
      <w:sz w:val="20"/>
    </w:rPr>
  </w:style>
  <w:style w:type="paragraph" w:styleId="TOC3">
    <w:name w:val="toc 3"/>
    <w:basedOn w:val="Heading3"/>
    <w:next w:val="Normal"/>
    <w:pPr>
      <w:numPr>
        <w:ilvl w:val="0"/>
        <w:numId w:val="0"/>
      </w:numPr>
      <w:tabs>
        <w:tab w:val="left" w:pos="567" w:leader="none"/>
        <w:tab w:val="right" w:pos="8505" w:leader="dot"/>
      </w:tabs>
      <w:ind w:hanging="0" w:left="567" w:right="0"/>
      <w:outlineLvl w:val="9"/>
    </w:pPr>
    <w:rPr>
      <w:b w:val="false"/>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PlainText">
    <w:name w:val="Plain Text"/>
    <w:basedOn w:val="Normal"/>
    <w:qFormat/>
    <w:pPr>
      <w:ind w:hanging="0" w:left="0" w:right="0"/>
    </w:pPr>
    <w:rPr>
      <w:rFonts w:ascii="Courier New" w:hAnsi="Courier New" w:cs="Courier New"/>
    </w:rPr>
  </w:style>
  <w:style w:type="paragraph" w:styleId="BodyTextIndent">
    <w:name w:val="Body Text Indent"/>
    <w:basedOn w:val="Normal"/>
    <w:pPr>
      <w:ind w:hanging="0" w:left="720" w:right="0"/>
    </w:pPr>
    <w:rPr/>
  </w:style>
  <w:style w:type="paragraph" w:styleId="BodyTextIndent2">
    <w:name w:val="Body Text Indent 2"/>
    <w:basedOn w:val="Normal"/>
    <w:qFormat/>
    <w:pPr>
      <w:tabs>
        <w:tab w:val="clear" w:pos="567"/>
        <w:tab w:val="left" w:pos="3600" w:leader="none"/>
      </w:tabs>
      <w:ind w:hanging="2880" w:left="2880" w:right="0"/>
    </w:pPr>
    <w:rPr/>
  </w:style>
  <w:style w:type="paragraph" w:styleId="BodyTextIndent3">
    <w:name w:val="Body Text Indent 3"/>
    <w:basedOn w:val="Normal"/>
    <w:qFormat/>
    <w:pPr>
      <w:ind w:hanging="2880" w:left="3600" w:right="0"/>
    </w:pPr>
    <w:rPr/>
  </w:style>
  <w:style w:type="paragraph" w:styleId="Bullet1">
    <w:name w:val="Bullet1"/>
    <w:basedOn w:val="Normal"/>
    <w:qFormat/>
    <w:pPr>
      <w:numPr>
        <w:ilvl w:val="0"/>
        <w:numId w:val="5"/>
      </w:numPr>
    </w:pPr>
    <w:rPr/>
  </w:style>
  <w:style w:type="paragraph" w:styleId="xl24">
    <w:name w:val="xl24"/>
    <w:basedOn w:val="Normal"/>
    <w:qFormat/>
    <w:pPr>
      <w:pBdr>
        <w:top w:val="single" w:sz="4" w:space="0" w:color="000000"/>
      </w:pBdr>
      <w:spacing w:before="100" w:after="100"/>
      <w:ind w:hanging="0" w:left="0" w:right="0"/>
      <w:jc w:val="center"/>
    </w:pPr>
    <w:rPr>
      <w:rFonts w:cs="Arial"/>
      <w:b/>
      <w:bCs/>
      <w:sz w:val="24"/>
      <w:szCs w:val="24"/>
    </w:rPr>
  </w:style>
  <w:style w:type="paragraph" w:styleId="xl25">
    <w:name w:val="xl25"/>
    <w:basedOn w:val="Normal"/>
    <w:qFormat/>
    <w:pPr>
      <w:pBdr>
        <w:top w:val="single" w:sz="4" w:space="0" w:color="000000"/>
        <w:right w:val="single" w:sz="4" w:space="0" w:color="000000"/>
      </w:pBdr>
      <w:spacing w:before="100" w:after="100"/>
      <w:ind w:hanging="0" w:left="0" w:right="0"/>
      <w:jc w:val="center"/>
    </w:pPr>
    <w:rPr>
      <w:rFonts w:ascii="Times New Roman" w:hAnsi="Times New Roman" w:cs="Times New Roman"/>
      <w:sz w:val="24"/>
      <w:szCs w:val="24"/>
    </w:rPr>
  </w:style>
  <w:style w:type="paragraph" w:styleId="xl26">
    <w:name w:val="xl26"/>
    <w:basedOn w:val="Normal"/>
    <w:qFormat/>
    <w:pPr>
      <w:pBdr>
        <w:top w:val="single" w:sz="4" w:space="0" w:color="000000"/>
        <w:left w:val="single" w:sz="4" w:space="0" w:color="000000"/>
        <w:bottom w:val="single" w:sz="4" w:space="0" w:color="000000"/>
        <w:right w:val="single" w:sz="4" w:space="0" w:color="000000"/>
      </w:pBdr>
      <w:spacing w:before="100" w:after="100"/>
      <w:ind w:hanging="0" w:left="0" w:right="0"/>
      <w:jc w:val="center"/>
    </w:pPr>
    <w:rPr>
      <w:rFonts w:ascii="Times New Roman" w:hAnsi="Times New Roman" w:cs="Times New Roman"/>
      <w:sz w:val="24"/>
      <w:szCs w:val="24"/>
    </w:rPr>
  </w:style>
  <w:style w:type="paragraph" w:styleId="xl27">
    <w:name w:val="xl27"/>
    <w:basedOn w:val="Normal"/>
    <w:qFormat/>
    <w:pPr>
      <w:pBdr>
        <w:top w:val="single" w:sz="4" w:space="0" w:color="000000"/>
        <w:left w:val="single" w:sz="4" w:space="0" w:color="000000"/>
        <w:bottom w:val="single" w:sz="4" w:space="0" w:color="000000"/>
        <w:right w:val="single" w:sz="4" w:space="0" w:color="000000"/>
      </w:pBdr>
      <w:shd w:fill="969696" w:val="clear"/>
      <w:spacing w:before="100" w:after="100"/>
      <w:ind w:hanging="0" w:left="0" w:right="0"/>
      <w:jc w:val="center"/>
    </w:pPr>
    <w:rPr>
      <w:rFonts w:ascii="Times New Roman" w:hAnsi="Times New Roman" w:cs="Times New Roman"/>
      <w:sz w:val="24"/>
      <w:szCs w:val="24"/>
    </w:rPr>
  </w:style>
  <w:style w:type="paragraph" w:styleId="xl28">
    <w:name w:val="xl28"/>
    <w:basedOn w:val="Normal"/>
    <w:qFormat/>
    <w:pPr>
      <w:pBdr>
        <w:top w:val="single" w:sz="4" w:space="0" w:color="000000"/>
        <w:right w:val="single" w:sz="4" w:space="0" w:color="000000"/>
      </w:pBdr>
      <w:spacing w:before="100" w:after="100"/>
      <w:ind w:hanging="0" w:left="0" w:right="0"/>
      <w:jc w:val="center"/>
    </w:pPr>
    <w:rPr>
      <w:rFonts w:ascii="Times New Roman" w:hAnsi="Times New Roman" w:cs="Times New Roman"/>
      <w:sz w:val="24"/>
      <w:szCs w:val="24"/>
    </w:rPr>
  </w:style>
  <w:style w:type="paragraph" w:styleId="xl29">
    <w:name w:val="xl29"/>
    <w:basedOn w:val="Normal"/>
    <w:qFormat/>
    <w:pPr>
      <w:pBdr>
        <w:left w:val="single" w:sz="4" w:space="0" w:color="000000"/>
        <w:bottom w:val="single" w:sz="4" w:space="0" w:color="000000"/>
      </w:pBdr>
      <w:spacing w:before="100" w:after="100"/>
      <w:ind w:hanging="0" w:left="0" w:right="0"/>
    </w:pPr>
    <w:rPr>
      <w:rFonts w:ascii="Times New Roman" w:hAnsi="Times New Roman" w:cs="Times New Roman"/>
      <w:sz w:val="24"/>
      <w:szCs w:val="24"/>
    </w:rPr>
  </w:style>
  <w:style w:type="paragraph" w:styleId="xl30">
    <w:name w:val="xl30"/>
    <w:basedOn w:val="Normal"/>
    <w:qFormat/>
    <w:pPr>
      <w:pBdr>
        <w:top w:val="single" w:sz="4" w:space="0" w:color="000000"/>
        <w:right w:val="single" w:sz="4" w:space="0" w:color="000000"/>
      </w:pBdr>
      <w:spacing w:before="100" w:after="100"/>
      <w:ind w:hanging="0" w:left="0" w:right="0"/>
    </w:pPr>
    <w:rPr>
      <w:rFonts w:cs="Arial"/>
      <w:b/>
      <w:bCs/>
      <w:sz w:val="24"/>
      <w:szCs w:val="24"/>
    </w:rPr>
  </w:style>
  <w:style w:type="paragraph" w:styleId="xl31">
    <w:name w:val="xl31"/>
    <w:basedOn w:val="Normal"/>
    <w:qFormat/>
    <w:pPr>
      <w:pBdr>
        <w:bottom w:val="single" w:sz="4" w:space="0" w:color="000000"/>
        <w:right w:val="single" w:sz="4" w:space="0" w:color="000000"/>
      </w:pBdr>
      <w:spacing w:before="100" w:after="100"/>
      <w:ind w:hanging="0" w:left="0" w:right="0"/>
    </w:pPr>
    <w:rPr>
      <w:rFonts w:ascii="Times New Roman" w:hAnsi="Times New Roman" w:cs="Times New Roman"/>
      <w:sz w:val="24"/>
      <w:szCs w:val="24"/>
    </w:rPr>
  </w:style>
  <w:style w:type="paragraph" w:styleId="xl32">
    <w:name w:val="xl32"/>
    <w:basedOn w:val="Normal"/>
    <w:qFormat/>
    <w:pPr>
      <w:pBdr>
        <w:top w:val="single" w:sz="4" w:space="0" w:color="000000"/>
        <w:left w:val="single" w:sz="4" w:space="0" w:color="000000"/>
      </w:pBdr>
      <w:spacing w:before="100" w:after="100"/>
      <w:ind w:hanging="0" w:left="0" w:right="0"/>
    </w:pPr>
    <w:rPr>
      <w:rFonts w:ascii="Times New Roman" w:hAnsi="Times New Roman" w:cs="Times New Roman"/>
      <w:sz w:val="24"/>
      <w:szCs w:val="24"/>
    </w:rPr>
  </w:style>
  <w:style w:type="paragraph" w:styleId="xl33">
    <w:name w:val="xl33"/>
    <w:basedOn w:val="Normal"/>
    <w:qFormat/>
    <w:pPr>
      <w:pBdr>
        <w:top w:val="single" w:sz="4" w:space="0" w:color="000000"/>
        <w:right w:val="single" w:sz="4" w:space="0" w:color="000000"/>
      </w:pBdr>
      <w:spacing w:before="100" w:after="100"/>
      <w:ind w:hanging="0" w:left="0" w:right="0"/>
    </w:pPr>
    <w:rPr>
      <w:rFonts w:ascii="Times New Roman" w:hAnsi="Times New Roman" w:cs="Times New Roman"/>
      <w:sz w:val="24"/>
      <w:szCs w:val="24"/>
    </w:rPr>
  </w:style>
  <w:style w:type="paragraph" w:styleId="xl34">
    <w:name w:val="xl34"/>
    <w:basedOn w:val="Normal"/>
    <w:qFormat/>
    <w:pPr>
      <w:pBdr>
        <w:left w:val="single" w:sz="4" w:space="0" w:color="000000"/>
      </w:pBdr>
      <w:spacing w:before="100" w:after="100"/>
      <w:ind w:hanging="0" w:left="0" w:right="0"/>
    </w:pPr>
    <w:rPr>
      <w:rFonts w:ascii="Times New Roman" w:hAnsi="Times New Roman" w:cs="Times New Roman"/>
      <w:sz w:val="24"/>
      <w:szCs w:val="24"/>
    </w:rPr>
  </w:style>
  <w:style w:type="paragraph" w:styleId="xl35">
    <w:name w:val="xl35"/>
    <w:basedOn w:val="Normal"/>
    <w:qFormat/>
    <w:pPr>
      <w:pBdr>
        <w:right w:val="single" w:sz="4" w:space="0" w:color="000000"/>
      </w:pBdr>
      <w:spacing w:before="100" w:after="100"/>
      <w:ind w:hanging="0" w:left="0" w:right="0"/>
    </w:pPr>
    <w:rPr>
      <w:rFonts w:ascii="Times New Roman" w:hAnsi="Times New Roman" w:cs="Times New Roman"/>
      <w:sz w:val="24"/>
      <w:szCs w:val="24"/>
    </w:rPr>
  </w:style>
  <w:style w:type="paragraph" w:styleId="xl36">
    <w:name w:val="xl36"/>
    <w:basedOn w:val="Normal"/>
    <w:qFormat/>
    <w:pPr>
      <w:pBdr>
        <w:top w:val="single" w:sz="4" w:space="0" w:color="000000"/>
        <w:left w:val="single" w:sz="4" w:space="0" w:color="000000"/>
        <w:bottom w:val="single" w:sz="4" w:space="0" w:color="000000"/>
        <w:right w:val="single" w:sz="4" w:space="0" w:color="000000"/>
      </w:pBdr>
      <w:spacing w:before="100" w:after="100"/>
      <w:ind w:hanging="0" w:left="0" w:right="0"/>
      <w:jc w:val="center"/>
    </w:pPr>
    <w:rPr>
      <w:rFonts w:ascii="Times New Roman" w:hAnsi="Times New Roman" w:cs="Times New Roman"/>
      <w:sz w:val="24"/>
      <w:szCs w:val="24"/>
    </w:rPr>
  </w:style>
  <w:style w:type="paragraph" w:styleId="xl37">
    <w:name w:val="xl37"/>
    <w:basedOn w:val="Normal"/>
    <w:qFormat/>
    <w:pPr>
      <w:pBdr>
        <w:top w:val="single" w:sz="4" w:space="0" w:color="000000"/>
        <w:left w:val="single" w:sz="4" w:space="0" w:color="000000"/>
        <w:bottom w:val="single" w:sz="4" w:space="0" w:color="000000"/>
        <w:right w:val="single" w:sz="4" w:space="0" w:color="000000"/>
      </w:pBdr>
      <w:shd w:fill="969696" w:val="clear"/>
      <w:spacing w:before="100" w:after="100"/>
      <w:ind w:hanging="0" w:left="0" w:right="0"/>
      <w:jc w:val="center"/>
    </w:pPr>
    <w:rPr>
      <w:rFonts w:ascii="Times New Roman" w:hAnsi="Times New Roman" w:cs="Times New Roman"/>
      <w:sz w:val="24"/>
      <w:szCs w:val="24"/>
    </w:rPr>
  </w:style>
  <w:style w:type="paragraph" w:styleId="BodyText2">
    <w:name w:val="Body Text 2"/>
    <w:basedOn w:val="Normal"/>
    <w:qFormat/>
    <w:pPr>
      <w:ind w:hanging="0" w:left="0" w:right="0"/>
    </w:pPr>
    <w:rPr>
      <w:i/>
      <w:iCs/>
      <w:sz w:val="16"/>
    </w:rPr>
  </w:style>
  <w:style w:type="paragraph" w:styleId="xl38">
    <w:name w:val="xl38"/>
    <w:basedOn w:val="Normal"/>
    <w:qFormat/>
    <w:pPr>
      <w:pBdr>
        <w:top w:val="single" w:sz="8" w:space="0" w:color="000000"/>
        <w:left w:val="single" w:sz="8" w:space="0" w:color="000000"/>
      </w:pBdr>
      <w:spacing w:before="100" w:after="100"/>
      <w:ind w:hanging="0" w:left="0" w:right="0"/>
      <w:jc w:val="center"/>
    </w:pPr>
    <w:rPr>
      <w:rFonts w:cs="Arial"/>
      <w:b/>
      <w:bCs/>
      <w:sz w:val="24"/>
      <w:szCs w:val="24"/>
    </w:rPr>
  </w:style>
  <w:style w:type="paragraph" w:styleId="xl39">
    <w:name w:val="xl39"/>
    <w:basedOn w:val="Normal"/>
    <w:qFormat/>
    <w:pPr>
      <w:pBdr>
        <w:top w:val="single" w:sz="8" w:space="0" w:color="000000"/>
      </w:pBdr>
      <w:spacing w:before="100" w:after="100"/>
      <w:ind w:hanging="0" w:left="0" w:right="0"/>
      <w:jc w:val="center"/>
    </w:pPr>
    <w:rPr>
      <w:rFonts w:cs="Arial"/>
      <w:b/>
      <w:bCs/>
      <w:sz w:val="24"/>
      <w:szCs w:val="24"/>
    </w:rPr>
  </w:style>
  <w:style w:type="paragraph" w:styleId="xl40">
    <w:name w:val="xl40"/>
    <w:basedOn w:val="Normal"/>
    <w:qFormat/>
    <w:pPr>
      <w:pBdr>
        <w:top w:val="single" w:sz="8" w:space="0" w:color="000000"/>
        <w:right w:val="single" w:sz="8" w:space="0" w:color="000000"/>
      </w:pBdr>
      <w:spacing w:before="100" w:after="100"/>
      <w:ind w:hanging="0" w:left="0" w:right="0"/>
      <w:jc w:val="center"/>
    </w:pPr>
    <w:rPr>
      <w:rFonts w:cs="Arial"/>
      <w:b/>
      <w:bCs/>
      <w:sz w:val="24"/>
      <w:szCs w:val="24"/>
    </w:rPr>
  </w:style>
  <w:style w:type="paragraph" w:styleId="xl41">
    <w:name w:val="xl41"/>
    <w:basedOn w:val="Normal"/>
    <w:qFormat/>
    <w:pPr>
      <w:pBdr>
        <w:top w:val="single" w:sz="8" w:space="0" w:color="000000"/>
        <w:left w:val="single" w:sz="8" w:space="0" w:color="000000"/>
      </w:pBdr>
      <w:spacing w:before="100" w:after="100"/>
      <w:ind w:hanging="0" w:left="0" w:right="0"/>
      <w:jc w:val="center"/>
    </w:pPr>
    <w:rPr>
      <w:rFonts w:cs="Arial"/>
      <w:b/>
      <w:bCs/>
      <w:sz w:val="24"/>
      <w:szCs w:val="24"/>
      <w:u w:val="single"/>
    </w:rPr>
  </w:style>
  <w:style w:type="paragraph" w:styleId="xl42">
    <w:name w:val="xl42"/>
    <w:basedOn w:val="Normal"/>
    <w:qFormat/>
    <w:pPr>
      <w:pBdr>
        <w:top w:val="single" w:sz="8" w:space="0" w:color="000000"/>
      </w:pBdr>
      <w:spacing w:before="100" w:after="100"/>
      <w:ind w:hanging="0" w:left="0" w:right="0"/>
      <w:jc w:val="center"/>
    </w:pPr>
    <w:rPr>
      <w:rFonts w:cs="Arial"/>
      <w:b/>
      <w:bCs/>
      <w:sz w:val="24"/>
      <w:szCs w:val="24"/>
      <w:u w:val="single"/>
    </w:rPr>
  </w:style>
  <w:style w:type="paragraph" w:styleId="xl43">
    <w:name w:val="xl43"/>
    <w:basedOn w:val="Normal"/>
    <w:qFormat/>
    <w:pPr>
      <w:pBdr>
        <w:top w:val="single" w:sz="8" w:space="0" w:color="000000"/>
        <w:right w:val="single" w:sz="8" w:space="0" w:color="000000"/>
      </w:pBdr>
      <w:spacing w:before="100" w:after="100"/>
      <w:ind w:hanging="0" w:left="0" w:right="0"/>
      <w:jc w:val="center"/>
    </w:pPr>
    <w:rPr>
      <w:rFonts w:cs="Arial"/>
      <w:b/>
      <w:bCs/>
      <w:sz w:val="24"/>
      <w:szCs w:val="24"/>
      <w:u w:val="single"/>
    </w:rPr>
  </w:style>
  <w:style w:type="paragraph" w:styleId="xl44">
    <w:name w:val="xl44"/>
    <w:basedOn w:val="Normal"/>
    <w:qFormat/>
    <w:pPr>
      <w:pBdr>
        <w:left w:val="single" w:sz="8" w:space="0" w:color="000000"/>
      </w:pBdr>
      <w:spacing w:before="100" w:after="100"/>
      <w:ind w:hanging="0" w:left="0" w:right="0"/>
      <w:jc w:val="center"/>
    </w:pPr>
    <w:rPr>
      <w:rFonts w:ascii="Times New Roman" w:hAnsi="Times New Roman" w:cs="Times New Roman"/>
      <w:sz w:val="24"/>
      <w:szCs w:val="24"/>
    </w:rPr>
  </w:style>
  <w:style w:type="paragraph" w:styleId="xl45">
    <w:name w:val="xl45"/>
    <w:basedOn w:val="Normal"/>
    <w:qFormat/>
    <w:pPr>
      <w:pBdr>
        <w:right w:val="single" w:sz="8" w:space="0" w:color="000000"/>
      </w:pBdr>
      <w:spacing w:before="100" w:after="100"/>
      <w:ind w:hanging="0" w:left="0" w:right="0"/>
      <w:jc w:val="center"/>
    </w:pPr>
    <w:rPr>
      <w:rFonts w:ascii="Times New Roman" w:hAnsi="Times New Roman" w:cs="Times New Roman"/>
      <w:sz w:val="24"/>
      <w:szCs w:val="24"/>
    </w:rPr>
  </w:style>
  <w:style w:type="paragraph" w:styleId="xl46">
    <w:name w:val="xl46"/>
    <w:basedOn w:val="Normal"/>
    <w:qFormat/>
    <w:pPr>
      <w:pBdr>
        <w:left w:val="single" w:sz="8" w:space="0" w:color="000000"/>
        <w:bottom w:val="single" w:sz="8" w:space="0" w:color="000000"/>
      </w:pBdr>
      <w:spacing w:before="100" w:after="100"/>
      <w:ind w:hanging="0" w:left="0" w:right="0"/>
      <w:jc w:val="center"/>
    </w:pPr>
    <w:rPr>
      <w:rFonts w:ascii="Times New Roman" w:hAnsi="Times New Roman" w:cs="Times New Roman"/>
      <w:sz w:val="24"/>
      <w:szCs w:val="24"/>
    </w:rPr>
  </w:style>
  <w:style w:type="paragraph" w:styleId="xl47">
    <w:name w:val="xl47"/>
    <w:basedOn w:val="Normal"/>
    <w:qFormat/>
    <w:pPr>
      <w:pBdr>
        <w:bottom w:val="single" w:sz="8" w:space="0" w:color="000000"/>
      </w:pBdr>
      <w:spacing w:before="100" w:after="100"/>
      <w:ind w:hanging="0" w:left="0" w:right="0"/>
      <w:jc w:val="center"/>
    </w:pPr>
    <w:rPr>
      <w:rFonts w:ascii="Times New Roman" w:hAnsi="Times New Roman" w:cs="Times New Roman"/>
      <w:sz w:val="24"/>
      <w:szCs w:val="24"/>
    </w:rPr>
  </w:style>
  <w:style w:type="paragraph" w:styleId="xl48">
    <w:name w:val="xl48"/>
    <w:basedOn w:val="Normal"/>
    <w:qFormat/>
    <w:pPr>
      <w:pBdr>
        <w:bottom w:val="single" w:sz="8" w:space="0" w:color="000000"/>
        <w:right w:val="single" w:sz="8" w:space="0" w:color="000000"/>
      </w:pBdr>
      <w:spacing w:before="100" w:after="100"/>
      <w:ind w:hanging="0" w:left="0" w:right="0"/>
      <w:jc w:val="center"/>
    </w:pPr>
    <w:rPr>
      <w:rFonts w:ascii="Times New Roman" w:hAnsi="Times New Roman" w:cs="Times New Roman"/>
      <w:sz w:val="24"/>
      <w:szCs w:val="24"/>
    </w:rPr>
  </w:style>
  <w:style w:type="paragraph" w:styleId="Index1">
    <w:name w:val="index 1"/>
    <w:basedOn w:val="Normal"/>
    <w:next w:val="Normal"/>
    <w:pPr>
      <w:ind w:hanging="200" w:left="200" w:right="0"/>
    </w:pPr>
    <w:rPr/>
  </w:style>
  <w:style w:type="paragraph" w:styleId="IndexHeading">
    <w:name w:val="index heading"/>
    <w:basedOn w:val="Normal"/>
    <w:next w:val="Index1"/>
    <w:pPr>
      <w:ind w:hanging="0" w:left="0" w:right="0"/>
    </w:pPr>
    <w:rPr/>
  </w:style>
  <w:style w:type="paragraph" w:styleId="NormalIndent">
    <w:name w:val="Normal Indent"/>
    <w:basedOn w:val="Normal"/>
    <w:qFormat/>
    <w:pPr>
      <w:ind w:hanging="0" w:left="720" w:right="0"/>
    </w:pPr>
    <w:rPr/>
  </w:style>
  <w:style w:type="paragraph" w:styleId="FootnoteText">
    <w:name w:val="footnote text"/>
    <w:basedOn w:val="Normal"/>
    <w:pPr>
      <w:ind w:hanging="0" w:left="0" w:right="0"/>
    </w:pPr>
    <w:rPr/>
  </w:style>
  <w:style w:type="paragraph" w:styleId="BodyText3">
    <w:name w:val="Body Text 3"/>
    <w:basedOn w:val="Normal"/>
    <w:qFormat/>
    <w:pPr>
      <w:ind w:hanging="0" w:left="0" w:right="0"/>
      <w:jc w:val="center"/>
    </w:pPr>
    <w:rPr>
      <w:sz w:val="16"/>
      <w:u w:val="single"/>
    </w:rPr>
  </w:style>
  <w:style w:type="paragraph" w:styleId="Index2">
    <w:name w:val="index 2"/>
    <w:basedOn w:val="Normal"/>
    <w:next w:val="Normal"/>
    <w:pPr>
      <w:ind w:hanging="200" w:left="400" w:right="0"/>
    </w:pPr>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www.interbeton.nl/" TargetMode="Externa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comments" Target="comment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oleObject" Target="embeddings/oleObject1.bin"/><Relationship Id="rId2"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Ib-frame.dot</Template>
  <TotalTime>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2009-04-23T06:49:00Z</dcterms:created>
  <dc:creator>jbyrne</dc:creator>
  <dc:description/>
  <cp:keywords/>
  <dc:language>en-US</dc:language>
  <cp:lastModifiedBy>aali</cp:lastModifiedBy>
  <cp:lastPrinted>2008-01-08T13:49:00Z</cp:lastPrinted>
  <dcterms:modified xsi:type="dcterms:W3CDTF">2009-04-23T06:49:00Z</dcterms:modified>
  <cp:revision>2</cp:revision>
  <dc:subject/>
  <dc:title>Corporate Social Responsibility Policy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
    <vt:lpwstr/>
  </property>
  <property fmtid="{D5CDD505-2E9C-101B-9397-08002B2CF9AE}" pid="3" name="Author0">
    <vt:lpwstr>JBY</vt:lpwstr>
  </property>
  <property fmtid="{D5CDD505-2E9C-101B-9397-08002B2CF9AE}" pid="4" name="ContentType">
    <vt:lpwstr>Document</vt:lpwstr>
  </property>
  <property fmtid="{D5CDD505-2E9C-101B-9397-08002B2CF9AE}" pid="5" name="Date">
    <vt:lpwstr/>
  </property>
  <property fmtid="{D5CDD505-2E9C-101B-9397-08002B2CF9AE}" pid="6" name="Dept">
    <vt:lpwstr/>
  </property>
  <property fmtid="{D5CDD505-2E9C-101B-9397-08002B2CF9AE}" pid="7" name="Doc Owner">
    <vt:lpwstr>Quality</vt:lpwstr>
  </property>
  <property fmtid="{D5CDD505-2E9C-101B-9397-08002B2CF9AE}" pid="8" name="Doc type">
    <vt:lpwstr>Standard</vt:lpwstr>
  </property>
  <property fmtid="{D5CDD505-2E9C-101B-9397-08002B2CF9AE}" pid="9" name="DocOwner">
    <vt:lpwstr>Quality</vt:lpwstr>
  </property>
  <property fmtid="{D5CDD505-2E9C-101B-9397-08002B2CF9AE}" pid="10" name="Doctype">
    <vt:lpwstr>Standard</vt:lpwstr>
  </property>
  <property fmtid="{D5CDD505-2E9C-101B-9397-08002B2CF9AE}" pid="11" name="Document ID">
    <vt:lpwstr>QU-S-02</vt:lpwstr>
  </property>
  <property fmtid="{D5CDD505-2E9C-101B-9397-08002B2CF9AE}" pid="12" name="DocumentID">
    <vt:lpwstr>QU-S-02</vt:lpwstr>
  </property>
  <property fmtid="{D5CDD505-2E9C-101B-9397-08002B2CF9AE}" pid="13" name="Documentname">
    <vt:lpwstr>Corporate Social Responsibility Policy Document</vt:lpwstr>
  </property>
  <property fmtid="{D5CDD505-2E9C-101B-9397-08002B2CF9AE}" pid="14" name="Gen">
    <vt:lpwstr/>
  </property>
  <property fmtid="{D5CDD505-2E9C-101B-9397-08002B2CF9AE}" pid="15" name="LAS">
    <vt:lpwstr>Yes</vt:lpwstr>
  </property>
  <property fmtid="{D5CDD505-2E9C-101B-9397-08002B2CF9AE}" pid="16" name="Last changed at">
    <vt:lpwstr>17 Jan 2008</vt:lpwstr>
  </property>
  <property fmtid="{D5CDD505-2E9C-101B-9397-08002B2CF9AE}" pid="17" name="Last changed by">
    <vt:lpwstr>JBY</vt:lpwstr>
  </property>
  <property fmtid="{D5CDD505-2E9C-101B-9397-08002B2CF9AE}" pid="18" name="Last rev">
    <vt:lpwstr>01</vt:lpwstr>
  </property>
  <property fmtid="{D5CDD505-2E9C-101B-9397-08002B2CF9AE}" pid="19" name="Lastchangedby">
    <vt:lpwstr>JBY</vt:lpwstr>
  </property>
  <property fmtid="{D5CDD505-2E9C-101B-9397-08002B2CF9AE}" pid="20" name="Lastrev">
    <vt:lpwstr>02</vt:lpwstr>
  </property>
  <property fmtid="{D5CDD505-2E9C-101B-9397-08002B2CF9AE}" pid="21" name="MBD">
    <vt:lpwstr/>
  </property>
  <property fmtid="{D5CDD505-2E9C-101B-9397-08002B2CF9AE}" pid="22" name="Memo">
    <vt:lpwstr/>
  </property>
  <property fmtid="{D5CDD505-2E9C-101B-9397-08002B2CF9AE}" pid="23" name="Order">
    <vt:lpwstr>121500.000000000</vt:lpwstr>
  </property>
  <property fmtid="{D5CDD505-2E9C-101B-9397-08002B2CF9AE}" pid="24" name="Status">
    <vt:lpwstr/>
  </property>
  <property fmtid="{D5CDD505-2E9C-101B-9397-08002B2CF9AE}" pid="25" name="TN">
    <vt:lpwstr>Yes</vt:lpwstr>
  </property>
  <property fmtid="{D5CDD505-2E9C-101B-9397-08002B2CF9AE}" pid="26" name="UpdateonCMS">
    <vt:lpwstr>20 April 2009</vt:lpwstr>
  </property>
  <property fmtid="{D5CDD505-2E9C-101B-9397-08002B2CF9AE}" pid="27" name="WE">
    <vt:lpwstr>Yes</vt:lpwstr>
  </property>
  <property fmtid="{D5CDD505-2E9C-101B-9397-08002B2CF9AE}" pid="28" name="WP">
    <vt:lpwstr>Yes</vt:lpwstr>
  </property>
  <property fmtid="{D5CDD505-2E9C-101B-9397-08002B2CF9AE}" pid="29" name="WorkAddress">
    <vt:lpwstr/>
  </property>
  <property fmtid="{D5CDD505-2E9C-101B-9397-08002B2CF9AE}" pid="30" name="id Employee">
    <vt:lpwstr/>
  </property>
  <property fmtid="{D5CDD505-2E9C-101B-9397-08002B2CF9AE}" pid="31" name="idEmployee">
    <vt:lpwstr/>
  </property>
</Properties>
</file>