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tabs>
          <w:tab w:val="clear" w:pos="567"/>
          <w:tab w:val="left" w:pos="-1440" w:leader="none"/>
          <w:tab w:val="left" w:pos="-720" w:leader="none"/>
        </w:tabs>
        <w:suppressAutoHyphens w:val="true"/>
        <w:rPr/>
      </w:pPr>
      <w:r>
        <w:rPr/>
      </w:r>
    </w:p>
    <w:p>
      <w:pPr>
        <w:pStyle w:val="BodyTextIndent"/>
        <w:rPr>
          <w:b/>
          <w:u w:val="single"/>
        </w:rPr>
      </w:pPr>
      <w:r>
        <w:rPr/>
        <w:tab/>
        <w:t xml:space="preserve">The purpose of this work instruction is to ensure that all materials at </w:t>
      </w:r>
      <w:r>
        <w:rPr>
          <w:b/>
        </w:rPr>
        <w:t>Suppliers, Subcontractors</w:t>
      </w:r>
      <w:r>
        <w:rPr/>
        <w:t xml:space="preserve">, </w:t>
      </w:r>
      <w:r>
        <w:rPr>
          <w:b/>
        </w:rPr>
        <w:t>Prefabricators</w:t>
      </w:r>
      <w:r>
        <w:rPr/>
        <w:t xml:space="preserve"> and Construction Sites, are inspected, handled, marked, documented, stored and preserved in a planned and systematic manner in accordance with agreed procedures. </w:t>
      </w:r>
    </w:p>
    <w:p>
      <w:pPr>
        <w:pStyle w:val="Normal"/>
        <w:tabs>
          <w:tab w:val="clear" w:pos="567"/>
          <w:tab w:val="left" w:pos="-1440" w:leader="none"/>
          <w:tab w:val="left" w:pos="-720" w:leader="none"/>
        </w:tabs>
        <w:suppressAutoHyphens w:val="true"/>
        <w:rPr>
          <w:b/>
          <w:u w:val="single"/>
        </w:rPr>
      </w:pPr>
      <w:r>
        <w:rPr>
          <w:b/>
          <w:u w:val="single"/>
        </w:rPr>
      </w:r>
    </w:p>
    <w:p>
      <w:pPr>
        <w:pStyle w:val="Heading1"/>
        <w:ind w:hanging="0" w:left="567"/>
        <w:rPr/>
      </w:pPr>
      <w:r>
        <w:rPr/>
        <w:t>Scope</w:t>
      </w:r>
    </w:p>
    <w:p>
      <w:pPr>
        <w:pStyle w:val="Normal"/>
        <w:tabs>
          <w:tab w:val="clear" w:pos="567"/>
          <w:tab w:val="left" w:pos="-1440" w:leader="none"/>
          <w:tab w:val="left" w:pos="-720" w:leader="none"/>
        </w:tabs>
        <w:suppressAutoHyphens w:val="true"/>
        <w:rPr>
          <w:u w:val="single"/>
        </w:rPr>
      </w:pPr>
      <w:r>
        <w:rPr>
          <w:u w:val="single"/>
        </w:rPr>
      </w:r>
    </w:p>
    <w:p>
      <w:pPr>
        <w:pStyle w:val="Normal"/>
        <w:suppressAutoHyphens w:val="true"/>
        <w:rPr/>
      </w:pPr>
      <w:r>
        <w:rPr/>
        <w:t xml:space="preserve">This procedure covers all materials related to the </w:t>
      </w:r>
      <w:r>
        <w:rPr>
          <w:b/>
        </w:rPr>
        <w:t>Contractor's</w:t>
      </w:r>
      <w:r>
        <w:rPr/>
        <w:t xml:space="preserve"> scope of work and includes materials belonging to suppliers, subcontractors and any materials supplied by the </w:t>
      </w:r>
      <w:r>
        <w:rPr>
          <w:b/>
        </w:rPr>
        <w:t>Client</w:t>
      </w:r>
      <w:r>
        <w:rPr/>
        <w:t xml:space="preserve">. </w:t>
      </w:r>
    </w:p>
    <w:p>
      <w:pPr>
        <w:pStyle w:val="Normal"/>
        <w:tabs>
          <w:tab w:val="clear" w:pos="567"/>
          <w:tab w:val="left" w:pos="-1440" w:leader="none"/>
          <w:tab w:val="left" w:pos="-720" w:leader="none"/>
        </w:tabs>
        <w:suppressAutoHyphens w:val="true"/>
        <w:rPr/>
      </w:pPr>
      <w:r>
        <w:rPr/>
      </w:r>
    </w:p>
    <w:p>
      <w:pPr>
        <w:pStyle w:val="Heading1"/>
        <w:ind w:hanging="0" w:left="567"/>
        <w:rPr/>
      </w:pPr>
      <w:r>
        <w:rPr/>
        <w:t>Explanation of terms</w:t>
      </w:r>
    </w:p>
    <w:p>
      <w:pPr>
        <w:pStyle w:val="Header"/>
        <w:tabs>
          <w:tab w:val="clear" w:pos="4320"/>
          <w:tab w:val="clear" w:pos="8640"/>
          <w:tab w:val="left" w:pos="-1440" w:leader="none"/>
          <w:tab w:val="left" w:pos="-720" w:leader="none"/>
        </w:tabs>
        <w:suppressAutoHyphens w:val="true"/>
        <w:rPr/>
      </w:pPr>
      <w:r>
        <w:rPr/>
      </w:r>
    </w:p>
    <w:p>
      <w:pPr>
        <w:pStyle w:val="Normal"/>
        <w:tabs>
          <w:tab w:val="clear" w:pos="567"/>
          <w:tab w:val="left" w:pos="2835" w:leader="none"/>
        </w:tabs>
        <w:suppressAutoHyphens w:val="true"/>
        <w:rPr/>
      </w:pPr>
      <w:r>
        <w:rPr>
          <w:b/>
        </w:rPr>
        <w:t>Client</w:t>
      </w:r>
      <w:r>
        <w:rPr/>
        <w:t>:</w:t>
        <w:tab/>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b/>
        </w:rPr>
        <w:t>Contractor</w:t>
      </w:r>
      <w:r>
        <w:rPr/>
        <w:t>:</w:t>
        <w:tab/>
        <w:t>SHANFARI TRADING AND FURNISHING CO. LLC</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 xml:space="preserve">PP: </w:t>
        <w:tab/>
        <w:t>Project Plan</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ITP:</w:t>
        <w:tab/>
        <w:t>Inspection and Test Plan.</w:t>
      </w:r>
    </w:p>
    <w:p>
      <w:pPr>
        <w:pStyle w:val="Normal"/>
        <w:tabs>
          <w:tab w:val="clear" w:pos="567"/>
          <w:tab w:val="left" w:pos="2835" w:leader="none"/>
        </w:tabs>
        <w:suppressAutoHyphens w:val="true"/>
        <w:rPr/>
      </w:pPr>
      <w:r>
        <w:rPr/>
      </w:r>
    </w:p>
    <w:p>
      <w:pPr>
        <w:pStyle w:val="Normal"/>
        <w:tabs>
          <w:tab w:val="clear" w:pos="567"/>
          <w:tab w:val="left" w:pos="2835" w:leader="none"/>
        </w:tabs>
        <w:suppressAutoHyphens w:val="true"/>
        <w:rPr/>
      </w:pPr>
      <w:r>
        <w:rPr/>
        <w:t>HSES:</w:t>
        <w:tab/>
        <w:t>Health, Safety, Environmental and Security.</w:t>
      </w:r>
    </w:p>
    <w:p>
      <w:pPr>
        <w:pStyle w:val="Normal"/>
        <w:tabs>
          <w:tab w:val="clear" w:pos="567"/>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835" w:leader="none"/>
        </w:tabs>
        <w:suppressAutoHyphens w:val="true"/>
        <w:rPr>
          <w:b/>
        </w:rPr>
      </w:pPr>
      <w:r>
        <w:rPr>
          <w:b/>
        </w:rPr>
        <w:t xml:space="preserve">Project QA/QC </w:t>
        <w:tab/>
      </w:r>
      <w:r>
        <w:rPr/>
        <w:t xml:space="preserve">The person appointed by a project to supervise and control all </w:t>
      </w:r>
      <w:r>
        <w:rPr>
          <w:b/>
        </w:rPr>
        <w:t>Manager</w:t>
      </w:r>
      <w:r>
        <w:rPr/>
        <w:t>:</w:t>
        <w:tab/>
        <w:t>site quality control activities, including, inspection and testing.</w:t>
      </w:r>
    </w:p>
    <w:p>
      <w:pPr>
        <w:pStyle w:val="Normal"/>
        <w:tabs>
          <w:tab w:val="clear" w:pos="567"/>
          <w:tab w:val="left" w:pos="-1440" w:leader="none"/>
          <w:tab w:val="left" w:pos="-720" w:leader="none"/>
          <w:tab w:val="left" w:pos="1701" w:leader="none"/>
          <w:tab w:val="left" w:pos="2552" w:leader="none"/>
          <w:tab w:val="left" w:pos="2835" w:leader="none"/>
        </w:tabs>
        <w:suppressAutoHyphens w:val="true"/>
        <w:rPr>
          <w:b/>
        </w:rPr>
      </w:pPr>
      <w:r>
        <w:rPr>
          <w:b/>
        </w:rPr>
      </w:r>
    </w:p>
    <w:p>
      <w:pPr>
        <w:pStyle w:val="Normal"/>
        <w:tabs>
          <w:tab w:val="clear" w:pos="567"/>
          <w:tab w:val="left" w:pos="-1440" w:leader="none"/>
          <w:tab w:val="left" w:pos="-720" w:leader="none"/>
          <w:tab w:val="left" w:pos="2835" w:leader="none"/>
        </w:tabs>
        <w:suppressAutoHyphens w:val="true"/>
        <w:rPr/>
      </w:pPr>
      <w:r>
        <w:rPr/>
        <w:t xml:space="preserve">Inspectors: </w:t>
        <w:tab/>
        <w:t xml:space="preserve">Specialist discipline personnel appointed by a project to carry </w:t>
        <w:tab/>
        <w:tab/>
        <w:t xml:space="preserve">out and report on, inspection and test activities as required by </w:t>
        <w:tab/>
        <w:tab/>
        <w:t>the Project Inspection and Test Plan.</w:t>
      </w:r>
    </w:p>
    <w:p>
      <w:pPr>
        <w:pStyle w:val="Header"/>
        <w:tabs>
          <w:tab w:val="clear" w:pos="4320"/>
          <w:tab w:val="clear" w:pos="8640"/>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835" w:leader="none"/>
        </w:tabs>
        <w:suppressAutoHyphens w:val="true"/>
        <w:rPr/>
      </w:pPr>
      <w:r>
        <w:rPr/>
        <w:t>Vendor:</w:t>
        <w:tab/>
      </w:r>
      <w:r>
        <w:rPr>
          <w:b/>
        </w:rPr>
        <w:t>Supplier</w:t>
      </w:r>
      <w:r>
        <w:rPr/>
        <w:t xml:space="preserve"> or </w:t>
      </w:r>
      <w:r>
        <w:rPr>
          <w:b/>
        </w:rPr>
        <w:t>Subcontractor</w:t>
      </w:r>
    </w:p>
    <w:p>
      <w:pPr>
        <w:pStyle w:val="Normal"/>
        <w:tabs>
          <w:tab w:val="clear" w:pos="567"/>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835" w:leader="none"/>
        </w:tabs>
        <w:suppressAutoHyphens w:val="true"/>
        <w:rPr/>
      </w:pPr>
      <w:r>
        <w:rPr/>
        <w:t xml:space="preserve">TPI: </w:t>
        <w:tab/>
        <w:t xml:space="preserve">Third Party Inspectorate. An independent inspection agency </w:t>
        <w:tab/>
        <w:tab/>
        <w:t xml:space="preserve">approved by the </w:t>
      </w:r>
      <w:r>
        <w:rPr>
          <w:b/>
        </w:rPr>
        <w:t>Client</w:t>
      </w:r>
      <w:r>
        <w:rPr/>
        <w:t xml:space="preserve"> and </w:t>
      </w:r>
      <w:r>
        <w:rPr>
          <w:b/>
        </w:rPr>
        <w:t>Contractor</w:t>
      </w:r>
      <w:r>
        <w:rPr/>
        <w:t xml:space="preserve"> to carry out inspections </w:t>
        <w:tab/>
        <w:tab/>
        <w:t xml:space="preserve">in accordance with project requirements, where requested so </w:t>
        <w:tab/>
        <w:tab/>
        <w:t>by contract.</w:t>
      </w:r>
    </w:p>
    <w:p>
      <w:pPr>
        <w:pStyle w:val="Normal"/>
        <w:tabs>
          <w:tab w:val="clear" w:pos="567"/>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835" w:leader="none"/>
        </w:tabs>
        <w:suppressAutoHyphens w:val="true"/>
        <w:rPr/>
      </w:pPr>
      <w:r>
        <w:rPr/>
        <w:t>Materials:</w:t>
        <w:tab/>
        <w:t>Permanent and temporary materials and equipment.</w:t>
      </w:r>
    </w:p>
    <w:p>
      <w:pPr>
        <w:pStyle w:val="Normal"/>
        <w:tabs>
          <w:tab w:val="clear" w:pos="567"/>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552" w:leader="none"/>
          <w:tab w:val="left" w:pos="2835" w:leader="none"/>
        </w:tabs>
        <w:suppressAutoHyphens w:val="true"/>
        <w:rPr/>
      </w:pPr>
      <w:r>
        <w:rPr/>
        <w:t xml:space="preserve">Consumables: </w:t>
        <w:tab/>
        <w:tab/>
        <w:t xml:space="preserve">Materials which are consumed during fabrication and </w:t>
        <w:tab/>
        <w:tab/>
        <w:tab/>
        <w:t>Construction. i.e. welding rods, water, additives etc.</w:t>
      </w:r>
    </w:p>
    <w:p>
      <w:pPr>
        <w:pStyle w:val="Normal"/>
        <w:tabs>
          <w:tab w:val="clear" w:pos="567"/>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835" w:leader="none"/>
        </w:tabs>
        <w:suppressAutoHyphens w:val="true"/>
        <w:rPr/>
      </w:pPr>
      <w:r>
        <w:rPr/>
        <w:t xml:space="preserve">Raw materials: </w:t>
        <w:tab/>
        <w:t>Sand, aggregate, rebar, bricks etc.</w:t>
      </w:r>
    </w:p>
    <w:p>
      <w:pPr>
        <w:pStyle w:val="Normal"/>
        <w:tabs>
          <w:tab w:val="clear" w:pos="567"/>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835" w:leader="none"/>
        </w:tabs>
        <w:suppressAutoHyphens w:val="true"/>
        <w:rPr/>
      </w:pPr>
      <w:r>
        <w:rPr/>
        <w:t>CMTR:</w:t>
        <w:tab/>
        <w:t>Certified Material Test Report.</w:t>
      </w:r>
    </w:p>
    <w:p>
      <w:pPr>
        <w:pStyle w:val="Normal"/>
        <w:tabs>
          <w:tab w:val="clear" w:pos="567"/>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835" w:leader="none"/>
        </w:tabs>
        <w:suppressAutoHyphens w:val="true"/>
        <w:rPr/>
      </w:pPr>
      <w:r>
        <w:rPr/>
        <w:t>NCR:</w:t>
        <w:tab/>
        <w:t>Non conformance report.</w:t>
      </w:r>
    </w:p>
    <w:p>
      <w:pPr>
        <w:pStyle w:val="Normal"/>
        <w:tabs>
          <w:tab w:val="clear" w:pos="567"/>
          <w:tab w:val="left" w:pos="-1440" w:leader="none"/>
          <w:tab w:val="left" w:pos="-720" w:leader="none"/>
          <w:tab w:val="left" w:pos="2835" w:leader="none"/>
        </w:tabs>
        <w:suppressAutoHyphens w:val="true"/>
        <w:rPr/>
      </w:pPr>
      <w:r>
        <w:rPr/>
      </w:r>
    </w:p>
    <w:p>
      <w:pPr>
        <w:pStyle w:val="Normal"/>
        <w:tabs>
          <w:tab w:val="clear" w:pos="567"/>
          <w:tab w:val="left" w:pos="-1440" w:leader="none"/>
          <w:tab w:val="left" w:pos="-720" w:leader="none"/>
          <w:tab w:val="left" w:pos="2835" w:leader="none"/>
        </w:tabs>
        <w:suppressAutoHyphens w:val="true"/>
        <w:rPr/>
      </w:pPr>
      <w:r>
        <w:rPr/>
        <w:t>CAR:</w:t>
        <w:tab/>
        <w:t>Corrective action request.</w:t>
      </w:r>
    </w:p>
    <w:p>
      <w:pPr>
        <w:pStyle w:val="Normal"/>
        <w:tabs>
          <w:tab w:val="clear" w:pos="567"/>
          <w:tab w:val="left" w:pos="-1440" w:leader="none"/>
          <w:tab w:val="left" w:pos="-720" w:leader="none"/>
          <w:tab w:val="left" w:pos="2835" w:leader="none"/>
        </w:tabs>
        <w:suppressAutoHyphens w:val="true"/>
        <w:rPr/>
      </w:pPr>
      <w:r>
        <w:rPr/>
      </w:r>
    </w:p>
    <w:p>
      <w:pPr>
        <w:pStyle w:val="Heading1"/>
        <w:ind w:hanging="0" w:left="567"/>
        <w:rPr/>
      </w:pPr>
      <w:r>
        <w:rPr/>
        <w:t xml:space="preserve">Interface documentation </w:t>
      </w:r>
    </w:p>
    <w:p>
      <w:pPr>
        <w:pStyle w:val="Normal"/>
        <w:tabs>
          <w:tab w:val="clear" w:pos="567"/>
          <w:tab w:val="left" w:pos="-1440" w:leader="none"/>
          <w:tab w:val="left" w:pos="-720" w:leader="none"/>
        </w:tabs>
        <w:suppressAutoHyphens w:val="true"/>
        <w:rPr/>
      </w:pPr>
      <w:r>
        <w:rPr/>
      </w:r>
    </w:p>
    <w:p>
      <w:pPr>
        <w:pStyle w:val="Normal"/>
        <w:numPr>
          <w:ilvl w:val="0"/>
          <w:numId w:val="8"/>
        </w:numPr>
        <w:tabs>
          <w:tab w:val="clear" w:pos="567"/>
          <w:tab w:val="left" w:pos="-1440" w:leader="none"/>
          <w:tab w:val="left" w:pos="-720" w:leader="none"/>
        </w:tabs>
        <w:suppressAutoHyphens w:val="true"/>
        <w:ind w:hanging="360" w:left="927" w:right="0"/>
        <w:rPr/>
      </w:pPr>
      <w:r>
        <w:rPr/>
        <w:t>Procedure Management of Quality Control [QU-P-22]</w:t>
      </w:r>
    </w:p>
    <w:p>
      <w:pPr>
        <w:pStyle w:val="Normal"/>
        <w:numPr>
          <w:ilvl w:val="0"/>
          <w:numId w:val="8"/>
        </w:numPr>
        <w:tabs>
          <w:tab w:val="clear" w:pos="567"/>
          <w:tab w:val="left" w:pos="-1440" w:leader="none"/>
          <w:tab w:val="left" w:pos="-720" w:leader="none"/>
        </w:tabs>
        <w:suppressAutoHyphens w:val="true"/>
        <w:ind w:hanging="360" w:left="927" w:right="0"/>
        <w:rPr/>
      </w:pPr>
      <w:r>
        <w:rPr/>
        <w:t xml:space="preserve">Form Stores Material Receiving Slip [QU-F-20] </w:t>
      </w:r>
    </w:p>
    <w:p>
      <w:pPr>
        <w:pStyle w:val="Normal"/>
        <w:numPr>
          <w:ilvl w:val="0"/>
          <w:numId w:val="8"/>
        </w:numPr>
        <w:tabs>
          <w:tab w:val="clear" w:pos="567"/>
          <w:tab w:val="left" w:pos="-1440" w:leader="none"/>
          <w:tab w:val="left" w:pos="-720" w:leader="none"/>
        </w:tabs>
        <w:suppressAutoHyphens w:val="true"/>
        <w:ind w:hanging="360" w:left="927" w:right="0"/>
        <w:rPr/>
      </w:pPr>
      <w:r>
        <w:rPr/>
        <w:t>Expediting [PL-P-10]</w:t>
        <w:tab/>
      </w:r>
    </w:p>
    <w:p>
      <w:pPr>
        <w:pStyle w:val="Normal"/>
        <w:tabs>
          <w:tab w:val="clear" w:pos="567"/>
          <w:tab w:val="left" w:pos="-1440" w:leader="none"/>
          <w:tab w:val="left" w:pos="-720" w:leader="none"/>
        </w:tabs>
        <w:suppressAutoHyphens w:val="true"/>
        <w:ind w:hanging="648" w:right="0"/>
        <w:rPr/>
      </w:pPr>
      <w:r>
        <w:rPr/>
      </w:r>
    </w:p>
    <w:p>
      <w:pPr>
        <w:pStyle w:val="Heading1"/>
        <w:ind w:hanging="0" w:left="567"/>
        <w:rPr/>
      </w:pPr>
      <w:r>
        <w:rPr/>
        <w:t>Responsibilities</w:t>
      </w:r>
    </w:p>
    <w:p>
      <w:pPr>
        <w:pStyle w:val="Heading3"/>
        <w:numPr>
          <w:ilvl w:val="0"/>
          <w:numId w:val="0"/>
        </w:numPr>
        <w:ind w:hanging="0" w:left="567" w:right="0"/>
        <w:rPr/>
      </w:pPr>
      <w:r>
        <w:rPr/>
      </w:r>
    </w:p>
    <w:p>
      <w:pPr>
        <w:pStyle w:val="Normal"/>
        <w:suppressAutoHyphens w:val="true"/>
        <w:rPr/>
      </w:pPr>
      <w:r>
        <w:rPr/>
        <w:t>The</w:t>
      </w:r>
      <w:r>
        <w:rPr>
          <w:b/>
        </w:rPr>
        <w:t xml:space="preserve"> Project QA/AC Manager</w:t>
      </w:r>
      <w:r>
        <w:rPr/>
        <w:t xml:space="preserve"> shall be responsible for:</w:t>
      </w:r>
    </w:p>
    <w:p>
      <w:pPr>
        <w:pStyle w:val="Normal"/>
        <w:numPr>
          <w:ilvl w:val="0"/>
          <w:numId w:val="3"/>
        </w:numPr>
        <w:suppressAutoHyphens w:val="true"/>
        <w:ind w:hanging="360" w:left="927" w:right="0"/>
        <w:rPr/>
      </w:pPr>
      <w:r>
        <w:rPr/>
        <w:t>Ensuring that the goods inwards inspection of materials and consumables is being carried out in accordance with the procedures and the approved ITP.</w:t>
      </w:r>
    </w:p>
    <w:p>
      <w:pPr>
        <w:pStyle w:val="Normal"/>
        <w:numPr>
          <w:ilvl w:val="0"/>
          <w:numId w:val="3"/>
        </w:numPr>
        <w:suppressAutoHyphens w:val="true"/>
        <w:ind w:hanging="360" w:left="927" w:right="0"/>
        <w:rPr/>
      </w:pPr>
      <w:r>
        <w:rPr/>
        <w:t xml:space="preserve">Ensuring goods are stored and preserved in accordance with Project and/or </w:t>
      </w:r>
      <w:r>
        <w:rPr>
          <w:b/>
        </w:rPr>
        <w:t>Supplier's</w:t>
      </w:r>
      <w:r>
        <w:rPr/>
        <w:t>/Manufacturer's recommendations and the ITP and the maintenance of associated records.</w:t>
      </w:r>
    </w:p>
    <w:p>
      <w:pPr>
        <w:pStyle w:val="Normal"/>
        <w:numPr>
          <w:ilvl w:val="0"/>
          <w:numId w:val="3"/>
        </w:numPr>
        <w:suppressAutoHyphens w:val="true"/>
        <w:ind w:hanging="360" w:left="927" w:right="0"/>
        <w:rPr/>
      </w:pPr>
      <w:r>
        <w:rPr/>
        <w:t xml:space="preserve">Reporting details of non conformance to Project Procurement/Construction. </w:t>
      </w:r>
    </w:p>
    <w:p>
      <w:pPr>
        <w:pStyle w:val="Normal"/>
        <w:numPr>
          <w:ilvl w:val="0"/>
          <w:numId w:val="3"/>
        </w:numPr>
        <w:suppressAutoHyphens w:val="true"/>
        <w:ind w:hanging="360" w:left="927" w:right="0"/>
        <w:rPr/>
      </w:pPr>
      <w:r>
        <w:rPr/>
        <w:t>The approval of all related goods inwards inspection procedures and the audit of these activities when appropriate.</w:t>
      </w:r>
    </w:p>
    <w:p>
      <w:pPr>
        <w:pStyle w:val="Normal"/>
        <w:suppressAutoHyphens w:val="true"/>
        <w:ind w:hanging="567" w:right="0"/>
        <w:rPr/>
      </w:pPr>
      <w:r>
        <w:rPr/>
      </w:r>
    </w:p>
    <w:p>
      <w:pPr>
        <w:pStyle w:val="Normal"/>
        <w:suppressAutoHyphens w:val="true"/>
        <w:rPr/>
      </w:pPr>
      <w:r>
        <w:rPr/>
        <w:t>The</w:t>
      </w:r>
      <w:r>
        <w:rPr>
          <w:b/>
        </w:rPr>
        <w:t xml:space="preserve"> Designated Goods Inwards Inspector</w:t>
      </w:r>
      <w:r>
        <w:rPr/>
        <w:t xml:space="preserve"> shall be responsible for:</w:t>
      </w:r>
    </w:p>
    <w:p>
      <w:pPr>
        <w:pStyle w:val="Normal"/>
        <w:numPr>
          <w:ilvl w:val="0"/>
          <w:numId w:val="9"/>
        </w:numPr>
        <w:suppressAutoHyphens w:val="true"/>
        <w:ind w:hanging="360" w:left="927" w:right="0"/>
        <w:rPr/>
      </w:pPr>
      <w:r>
        <w:rPr/>
        <w:t>Goods receipt at stores, verification of Documents, completion of SMRR - form.</w:t>
      </w:r>
    </w:p>
    <w:p>
      <w:pPr>
        <w:pStyle w:val="Normal"/>
        <w:numPr>
          <w:ilvl w:val="0"/>
          <w:numId w:val="9"/>
        </w:numPr>
        <w:suppressAutoHyphens w:val="true"/>
        <w:ind w:hanging="360" w:left="927" w:right="0"/>
        <w:rPr/>
      </w:pPr>
      <w:r>
        <w:rPr/>
        <w:t>Goods inwards inspection in accordance with the ITP.</w:t>
      </w:r>
    </w:p>
    <w:p>
      <w:pPr>
        <w:pStyle w:val="Normal"/>
        <w:numPr>
          <w:ilvl w:val="0"/>
          <w:numId w:val="9"/>
        </w:numPr>
        <w:suppressAutoHyphens w:val="true"/>
        <w:ind w:hanging="360" w:left="927" w:right="0"/>
        <w:rPr/>
      </w:pPr>
      <w:r>
        <w:rPr/>
        <w:t xml:space="preserve">Reporting non conformances to the </w:t>
      </w:r>
      <w:r>
        <w:rPr>
          <w:b/>
        </w:rPr>
        <w:t>Project Quality Manager</w:t>
      </w:r>
      <w:r>
        <w:rPr/>
        <w:t>.</w:t>
      </w:r>
    </w:p>
    <w:p>
      <w:pPr>
        <w:pStyle w:val="Normal"/>
        <w:numPr>
          <w:ilvl w:val="0"/>
          <w:numId w:val="9"/>
        </w:numPr>
        <w:suppressAutoHyphens w:val="true"/>
        <w:ind w:hanging="360" w:left="927" w:right="0"/>
        <w:rPr/>
      </w:pPr>
      <w:r>
        <w:rPr/>
        <w:t>Inspection of storage and preservation to received goods.</w:t>
      </w:r>
    </w:p>
    <w:p>
      <w:pPr>
        <w:pStyle w:val="Normal"/>
        <w:numPr>
          <w:ilvl w:val="0"/>
          <w:numId w:val="9"/>
        </w:numPr>
        <w:suppressAutoHyphens w:val="true"/>
        <w:ind w:hanging="360" w:left="927" w:right="0"/>
        <w:rPr/>
      </w:pPr>
      <w:r>
        <w:rPr/>
        <w:t>Verification of quarantined goods.</w:t>
      </w:r>
    </w:p>
    <w:p>
      <w:pPr>
        <w:pStyle w:val="Normal"/>
        <w:numPr>
          <w:ilvl w:val="0"/>
          <w:numId w:val="9"/>
        </w:numPr>
        <w:suppressAutoHyphens w:val="true"/>
        <w:ind w:hanging="360" w:left="927" w:right="0"/>
        <w:rPr/>
      </w:pPr>
      <w:r>
        <w:rPr/>
        <w:t>Maintenance of inspection records.</w:t>
      </w:r>
    </w:p>
    <w:p>
      <w:pPr>
        <w:pStyle w:val="Normal"/>
        <w:numPr>
          <w:ilvl w:val="0"/>
          <w:numId w:val="9"/>
        </w:numPr>
        <w:suppressAutoHyphens w:val="true"/>
        <w:ind w:hanging="360" w:left="927" w:right="0"/>
        <w:rPr/>
      </w:pPr>
      <w:r>
        <w:rPr/>
        <w:t>The inspector should copy all reports relating to such inspections to the Project Procurement, Document Control, Materials and Quality groups.</w:t>
      </w:r>
    </w:p>
    <w:p>
      <w:pPr>
        <w:pStyle w:val="Normal"/>
        <w:suppressAutoHyphens w:val="true"/>
        <w:ind w:hanging="567" w:right="0"/>
        <w:rPr/>
      </w:pPr>
      <w:r>
        <w:rPr/>
      </w:r>
    </w:p>
    <w:p>
      <w:pPr>
        <w:pStyle w:val="Normal"/>
        <w:suppressAutoHyphens w:val="true"/>
        <w:rPr/>
      </w:pPr>
      <w:r>
        <w:rPr/>
        <w:t>The</w:t>
      </w:r>
      <w:r>
        <w:rPr>
          <w:b/>
        </w:rPr>
        <w:t xml:space="preserve"> designated materials store keeper</w:t>
      </w:r>
      <w:r>
        <w:rPr/>
        <w:t xml:space="preserve"> shall be responsible for:</w:t>
      </w:r>
    </w:p>
    <w:p>
      <w:pPr>
        <w:pStyle w:val="Normal"/>
        <w:numPr>
          <w:ilvl w:val="0"/>
          <w:numId w:val="2"/>
        </w:numPr>
        <w:tabs>
          <w:tab w:val="clear" w:pos="567"/>
          <w:tab w:val="left" w:pos="927" w:leader="none"/>
        </w:tabs>
        <w:suppressAutoHyphens w:val="true"/>
        <w:ind w:hanging="360" w:left="927" w:right="0"/>
        <w:rPr/>
      </w:pPr>
      <w:r>
        <w:rPr/>
        <w:t>Examination of materials and packaging for damage.</w:t>
      </w:r>
    </w:p>
    <w:p>
      <w:pPr>
        <w:pStyle w:val="Normal"/>
        <w:numPr>
          <w:ilvl w:val="0"/>
          <w:numId w:val="2"/>
        </w:numPr>
        <w:tabs>
          <w:tab w:val="clear" w:pos="567"/>
          <w:tab w:val="left" w:pos="927" w:leader="none"/>
        </w:tabs>
        <w:suppressAutoHyphens w:val="true"/>
        <w:ind w:hanging="360" w:left="927" w:right="0"/>
        <w:rPr/>
      </w:pPr>
      <w:r>
        <w:rPr/>
        <w:t>Identification, marking and verification of quantities in accordance with the purchase order instructions and any accompanying documentation.</w:t>
      </w:r>
    </w:p>
    <w:p>
      <w:pPr>
        <w:pStyle w:val="Normal"/>
        <w:numPr>
          <w:ilvl w:val="0"/>
          <w:numId w:val="2"/>
        </w:numPr>
        <w:tabs>
          <w:tab w:val="clear" w:pos="567"/>
          <w:tab w:val="left" w:pos="927" w:leader="none"/>
        </w:tabs>
        <w:suppressAutoHyphens w:val="true"/>
        <w:ind w:hanging="360" w:left="927" w:right="0"/>
        <w:rPr/>
      </w:pPr>
      <w:r>
        <w:rPr/>
        <w:t xml:space="preserve">Reporting non conformances to the </w:t>
      </w:r>
      <w:r>
        <w:rPr>
          <w:b/>
        </w:rPr>
        <w:t>Project Quality Manager</w:t>
      </w:r>
      <w:r>
        <w:rPr/>
        <w:t xml:space="preserve"> and/or the Procurement group as appropriate.</w:t>
      </w:r>
    </w:p>
    <w:p>
      <w:pPr>
        <w:pStyle w:val="Normal"/>
        <w:numPr>
          <w:ilvl w:val="0"/>
          <w:numId w:val="2"/>
        </w:numPr>
        <w:tabs>
          <w:tab w:val="clear" w:pos="567"/>
          <w:tab w:val="left" w:pos="927" w:leader="none"/>
        </w:tabs>
        <w:suppressAutoHyphens w:val="true"/>
        <w:ind w:hanging="360" w:left="927" w:right="0"/>
        <w:rPr/>
      </w:pPr>
      <w:r>
        <w:rPr/>
        <w:t>Segregation of damaged goods or packages to a designated quarantine area as required.</w:t>
      </w:r>
    </w:p>
    <w:p>
      <w:pPr>
        <w:pStyle w:val="Normal"/>
        <w:numPr>
          <w:ilvl w:val="0"/>
          <w:numId w:val="2"/>
        </w:numPr>
        <w:tabs>
          <w:tab w:val="clear" w:pos="567"/>
          <w:tab w:val="left" w:pos="927" w:leader="none"/>
        </w:tabs>
        <w:suppressAutoHyphens w:val="true"/>
        <w:ind w:hanging="360" w:left="927" w:right="0"/>
        <w:rPr/>
      </w:pPr>
      <w:r>
        <w:rPr/>
        <w:t>Maintenance of records for these activities.</w:t>
      </w:r>
    </w:p>
    <w:p>
      <w:pPr>
        <w:pStyle w:val="Normal"/>
        <w:suppressAutoHyphens w:val="true"/>
        <w:ind w:hanging="972" w:right="0"/>
        <w:rPr>
          <w:b/>
        </w:rPr>
      </w:pPr>
      <w:r>
        <w:rPr>
          <w:b/>
        </w:rPr>
      </w:r>
    </w:p>
    <w:p>
      <w:pPr>
        <w:pStyle w:val="Heading1"/>
        <w:ind w:hanging="0" w:left="567"/>
        <w:rPr/>
      </w:pPr>
      <w:r>
        <w:rPr/>
        <w:t>Description</w:t>
      </w:r>
    </w:p>
    <w:p>
      <w:pPr>
        <w:pStyle w:val="Normal"/>
        <w:suppressAutoHyphens w:val="true"/>
        <w:rPr>
          <w:b/>
        </w:rPr>
      </w:pPr>
      <w:r>
        <w:rPr>
          <w:b/>
        </w:rPr>
      </w:r>
    </w:p>
    <w:p>
      <w:pPr>
        <w:pStyle w:val="Heading2"/>
        <w:ind w:hanging="0" w:left="567"/>
        <w:rPr/>
      </w:pPr>
      <w:r>
        <w:rPr/>
        <w:t>Material identification and marking.</w:t>
      </w:r>
    </w:p>
    <w:p>
      <w:pPr>
        <w:pStyle w:val="Normal"/>
        <w:suppressAutoHyphens w:val="true"/>
        <w:ind w:hanging="972" w:right="0"/>
        <w:rPr/>
      </w:pPr>
      <w:r>
        <w:rPr/>
      </w:r>
    </w:p>
    <w:p>
      <w:pPr>
        <w:pStyle w:val="Normal"/>
        <w:suppressAutoHyphens w:val="true"/>
        <w:rPr/>
      </w:pPr>
      <w:r>
        <w:rPr/>
        <w:t xml:space="preserve">Materials identification and marking will be carried out at both </w:t>
      </w:r>
      <w:r>
        <w:rPr>
          <w:b/>
        </w:rPr>
        <w:t>the Suppliers/ Subcontractor's</w:t>
      </w:r>
      <w:r>
        <w:rPr/>
        <w:t xml:space="preserve"> premises and the construction site.</w:t>
      </w:r>
      <w:r>
        <w:rPr>
          <w:b/>
        </w:rPr>
        <w:t xml:space="preserve"> </w:t>
      </w:r>
      <w:r>
        <w:rPr/>
        <w:t xml:space="preserve">Where necessary, as required by the project specifications, the </w:t>
      </w:r>
      <w:r>
        <w:rPr>
          <w:b/>
        </w:rPr>
        <w:t>Designated Inspector</w:t>
      </w:r>
      <w:r>
        <w:rPr/>
        <w:t xml:space="preserve"> will witness the application of markings.</w:t>
        <w:br/>
      </w:r>
    </w:p>
    <w:p>
      <w:pPr>
        <w:pStyle w:val="Heading2"/>
        <w:ind w:hanging="0" w:left="567"/>
        <w:rPr/>
      </w:pPr>
      <w:r>
        <w:rPr/>
        <w:t>Marking Raw/Base Material</w:t>
      </w:r>
    </w:p>
    <w:p>
      <w:pPr>
        <w:pStyle w:val="Normal"/>
        <w:suppressAutoHyphens w:val="true"/>
        <w:rPr/>
      </w:pPr>
      <w:r>
        <w:rPr/>
      </w:r>
    </w:p>
    <w:p>
      <w:pPr>
        <w:pStyle w:val="Normal"/>
        <w:suppressAutoHyphens w:val="true"/>
        <w:rPr/>
      </w:pPr>
      <w:r>
        <w:rPr/>
        <w:t>Marking of material shall be in accordance with the requirements specified in the material specification and/or technical requisition.</w:t>
      </w:r>
    </w:p>
    <w:p>
      <w:pPr>
        <w:pStyle w:val="Normal"/>
        <w:suppressAutoHyphens w:val="true"/>
        <w:rPr/>
      </w:pPr>
      <w:r>
        <w:rPr/>
      </w:r>
    </w:p>
    <w:p>
      <w:pPr>
        <w:pStyle w:val="Normal"/>
        <w:suppressAutoHyphens w:val="true"/>
        <w:rPr/>
      </w:pPr>
      <w:r>
        <w:rPr/>
      </w:r>
    </w:p>
    <w:p>
      <w:pPr>
        <w:pStyle w:val="Normal"/>
        <w:suppressAutoHyphens w:val="true"/>
        <w:rPr/>
      </w:pPr>
      <w:r>
        <w:rPr/>
      </w:r>
    </w:p>
    <w:p>
      <w:pPr>
        <w:pStyle w:val="Normal"/>
        <w:suppressAutoHyphens w:val="true"/>
        <w:rPr/>
      </w:pPr>
      <w:r>
        <w:rPr/>
        <w:t>The application of markings can be as follows:</w:t>
      </w:r>
    </w:p>
    <w:p>
      <w:pPr>
        <w:pStyle w:val="Normal"/>
        <w:numPr>
          <w:ilvl w:val="0"/>
          <w:numId w:val="6"/>
        </w:numPr>
        <w:tabs>
          <w:tab w:val="clear" w:pos="567"/>
          <w:tab w:val="left" w:pos="927" w:leader="none"/>
        </w:tabs>
        <w:suppressAutoHyphens w:val="true"/>
        <w:ind w:hanging="360" w:left="927" w:right="0"/>
        <w:rPr/>
      </w:pPr>
      <w:r>
        <w:rPr/>
        <w:t>For materials over 5 mm wall thickness [except austenitic stainless or nickel alloy steels], marking shall be by hard stamping using round nosed stamps, or electro vibro etching.</w:t>
      </w:r>
    </w:p>
    <w:p>
      <w:pPr>
        <w:pStyle w:val="Normal"/>
        <w:numPr>
          <w:ilvl w:val="0"/>
          <w:numId w:val="6"/>
        </w:numPr>
        <w:tabs>
          <w:tab w:val="clear" w:pos="567"/>
          <w:tab w:val="left" w:pos="927" w:leader="none"/>
        </w:tabs>
        <w:suppressAutoHyphens w:val="true"/>
        <w:ind w:hanging="360" w:left="927" w:right="0"/>
        <w:rPr/>
      </w:pPr>
      <w:r>
        <w:rPr/>
        <w:t xml:space="preserve">For austenitic stainless or nickel alloy steels, and materials 5mm thick and below, marking shall be by stencil or electro vibro etching. </w:t>
      </w:r>
    </w:p>
    <w:p>
      <w:pPr>
        <w:pStyle w:val="Normal"/>
        <w:numPr>
          <w:ilvl w:val="0"/>
          <w:numId w:val="6"/>
        </w:numPr>
        <w:tabs>
          <w:tab w:val="clear" w:pos="567"/>
          <w:tab w:val="left" w:pos="927" w:leader="none"/>
        </w:tabs>
        <w:suppressAutoHyphens w:val="true"/>
        <w:ind w:hanging="360" w:left="927" w:right="0"/>
        <w:rPr/>
      </w:pPr>
      <w:r>
        <w:rPr/>
        <w:t>The ink used for such stencilling shall be water soluble and contain no substances which would have a deleterious effect on the material e.g. chlorides, phosphorous, sulphur, etc.</w:t>
      </w:r>
    </w:p>
    <w:p>
      <w:pPr>
        <w:pStyle w:val="Normal"/>
        <w:numPr>
          <w:ilvl w:val="0"/>
          <w:numId w:val="6"/>
        </w:numPr>
        <w:tabs>
          <w:tab w:val="clear" w:pos="567"/>
          <w:tab w:val="left" w:pos="927" w:leader="none"/>
        </w:tabs>
        <w:suppressAutoHyphens w:val="true"/>
        <w:ind w:hanging="360" w:left="927" w:right="0"/>
        <w:rPr/>
      </w:pPr>
      <w:r>
        <w:rPr/>
        <w:t>Certification shall be required to verify compliance with this requirement.</w:t>
      </w:r>
    </w:p>
    <w:p>
      <w:pPr>
        <w:pStyle w:val="Header"/>
        <w:tabs>
          <w:tab w:val="clear" w:pos="4320"/>
          <w:tab w:val="clear" w:pos="8640"/>
        </w:tabs>
        <w:suppressAutoHyphens w:val="true"/>
        <w:ind w:left="1134" w:right="0"/>
        <w:rPr/>
      </w:pPr>
      <w:r>
        <w:rPr/>
      </w:r>
    </w:p>
    <w:p>
      <w:pPr>
        <w:pStyle w:val="BodyTextIndent2"/>
        <w:rPr/>
      </w:pPr>
      <w:r>
        <w:rPr/>
        <w:t>Marking can include the following typical minimum information:</w:t>
      </w:r>
    </w:p>
    <w:p>
      <w:pPr>
        <w:pStyle w:val="Normal"/>
        <w:numPr>
          <w:ilvl w:val="0"/>
          <w:numId w:val="4"/>
        </w:numPr>
        <w:tabs>
          <w:tab w:val="clear" w:pos="567"/>
          <w:tab w:val="left" w:pos="927" w:leader="none"/>
        </w:tabs>
        <w:suppressAutoHyphens w:val="true"/>
        <w:ind w:hanging="360" w:left="927" w:right="0"/>
        <w:rPr/>
      </w:pPr>
      <w:r>
        <w:rPr/>
        <w:t>Manufacturer's symbol, [identical to marking on defined CMTR].</w:t>
      </w:r>
    </w:p>
    <w:p>
      <w:pPr>
        <w:pStyle w:val="Normal"/>
        <w:numPr>
          <w:ilvl w:val="0"/>
          <w:numId w:val="4"/>
        </w:numPr>
        <w:tabs>
          <w:tab w:val="clear" w:pos="567"/>
          <w:tab w:val="left" w:pos="927" w:leader="none"/>
        </w:tabs>
        <w:suppressAutoHyphens w:val="true"/>
        <w:ind w:hanging="360" w:left="927" w:right="0"/>
        <w:rPr/>
      </w:pPr>
      <w:r>
        <w:rPr/>
        <w:t>Material specification/grade.</w:t>
      </w:r>
    </w:p>
    <w:p>
      <w:pPr>
        <w:pStyle w:val="Normal"/>
        <w:numPr>
          <w:ilvl w:val="0"/>
          <w:numId w:val="4"/>
        </w:numPr>
        <w:tabs>
          <w:tab w:val="clear" w:pos="567"/>
          <w:tab w:val="left" w:pos="927" w:leader="none"/>
        </w:tabs>
        <w:suppressAutoHyphens w:val="true"/>
        <w:ind w:hanging="360" w:left="927" w:right="0"/>
        <w:rPr/>
      </w:pPr>
      <w:r>
        <w:rPr/>
        <w:t xml:space="preserve">Batch/heat/charge number including piece number where applicable. </w:t>
      </w:r>
    </w:p>
    <w:p>
      <w:pPr>
        <w:pStyle w:val="Normal"/>
        <w:numPr>
          <w:ilvl w:val="0"/>
          <w:numId w:val="4"/>
        </w:numPr>
        <w:tabs>
          <w:tab w:val="clear" w:pos="567"/>
          <w:tab w:val="left" w:pos="927" w:leader="none"/>
        </w:tabs>
        <w:suppressAutoHyphens w:val="true"/>
        <w:ind w:hanging="360" w:left="927" w:right="0"/>
        <w:rPr/>
      </w:pPr>
      <w:r>
        <w:rPr/>
        <w:t>Heat treatment [by reference number], where applicable.</w:t>
      </w:r>
    </w:p>
    <w:p>
      <w:pPr>
        <w:pStyle w:val="Normal"/>
        <w:numPr>
          <w:ilvl w:val="0"/>
          <w:numId w:val="4"/>
        </w:numPr>
        <w:tabs>
          <w:tab w:val="clear" w:pos="567"/>
          <w:tab w:val="left" w:pos="927" w:leader="none"/>
        </w:tabs>
        <w:suppressAutoHyphens w:val="true"/>
        <w:ind w:hanging="360" w:left="927" w:right="0"/>
        <w:rPr/>
      </w:pPr>
      <w:r>
        <w:rPr/>
        <w:t>Heat treatment symbol.</w:t>
      </w:r>
    </w:p>
    <w:p>
      <w:pPr>
        <w:pStyle w:val="Normal"/>
        <w:numPr>
          <w:ilvl w:val="0"/>
          <w:numId w:val="4"/>
        </w:numPr>
        <w:tabs>
          <w:tab w:val="clear" w:pos="567"/>
          <w:tab w:val="left" w:pos="927" w:leader="none"/>
        </w:tabs>
        <w:suppressAutoHyphens w:val="true"/>
        <w:ind w:hanging="360" w:left="927" w:right="0"/>
        <w:rPr/>
      </w:pPr>
      <w:r>
        <w:rPr/>
        <w:t>Size/schedule/wall thickness.</w:t>
      </w:r>
    </w:p>
    <w:p>
      <w:pPr>
        <w:pStyle w:val="Normal"/>
        <w:numPr>
          <w:ilvl w:val="0"/>
          <w:numId w:val="4"/>
        </w:numPr>
        <w:tabs>
          <w:tab w:val="clear" w:pos="567"/>
          <w:tab w:val="left" w:pos="927" w:leader="none"/>
        </w:tabs>
        <w:suppressAutoHyphens w:val="true"/>
        <w:ind w:hanging="360" w:left="927" w:right="0"/>
        <w:rPr/>
      </w:pPr>
      <w:r>
        <w:rPr/>
        <w:t>Supplementary information, as required</w:t>
      </w:r>
    </w:p>
    <w:p>
      <w:pPr>
        <w:pStyle w:val="Normal"/>
        <w:suppressAutoHyphens w:val="true"/>
        <w:ind w:hanging="972" w:left="1134" w:right="0"/>
        <w:rPr/>
      </w:pPr>
      <w:r>
        <w:rPr/>
      </w:r>
    </w:p>
    <w:p>
      <w:pPr>
        <w:pStyle w:val="Normal"/>
        <w:suppressAutoHyphens w:val="true"/>
        <w:rPr/>
      </w:pPr>
      <w:r>
        <w:rPr/>
        <w:t>Type 3.1C certificates in accordance with EN 10204 shall have in addition to the above, the third party authority inspection stamp.</w:t>
      </w:r>
    </w:p>
    <w:p>
      <w:pPr>
        <w:pStyle w:val="Normal"/>
        <w:suppressAutoHyphens w:val="true"/>
        <w:rPr/>
      </w:pPr>
      <w:r>
        <w:rPr/>
      </w:r>
    </w:p>
    <w:p>
      <w:pPr>
        <w:pStyle w:val="Normal"/>
        <w:suppressAutoHyphens w:val="true"/>
        <w:rPr/>
      </w:pPr>
      <w:r>
        <w:rPr/>
        <w:t>For fittings whose size does not permit complete marking, the following minimum information is required:</w:t>
      </w:r>
    </w:p>
    <w:p>
      <w:pPr>
        <w:pStyle w:val="Normal"/>
        <w:numPr>
          <w:ilvl w:val="0"/>
          <w:numId w:val="5"/>
        </w:numPr>
        <w:tabs>
          <w:tab w:val="clear" w:pos="567"/>
          <w:tab w:val="left" w:pos="927" w:leader="none"/>
        </w:tabs>
        <w:suppressAutoHyphens w:val="true"/>
        <w:ind w:hanging="360" w:left="927" w:right="0"/>
        <w:rPr/>
      </w:pPr>
      <w:r>
        <w:rPr/>
        <w:t>Manufacturers symbol.</w:t>
      </w:r>
    </w:p>
    <w:p>
      <w:pPr>
        <w:pStyle w:val="Normal"/>
        <w:numPr>
          <w:ilvl w:val="0"/>
          <w:numId w:val="5"/>
        </w:numPr>
        <w:tabs>
          <w:tab w:val="clear" w:pos="567"/>
          <w:tab w:val="left" w:pos="927" w:leader="none"/>
        </w:tabs>
        <w:suppressAutoHyphens w:val="true"/>
        <w:ind w:hanging="360" w:left="927" w:right="0"/>
        <w:rPr/>
      </w:pPr>
      <w:r>
        <w:rPr/>
        <w:t>Inspection authority [for type 3.1C certificates].</w:t>
      </w:r>
    </w:p>
    <w:p>
      <w:pPr>
        <w:pStyle w:val="Normal"/>
        <w:numPr>
          <w:ilvl w:val="0"/>
          <w:numId w:val="5"/>
        </w:numPr>
        <w:tabs>
          <w:tab w:val="clear" w:pos="567"/>
          <w:tab w:val="left" w:pos="927" w:leader="none"/>
        </w:tabs>
        <w:suppressAutoHyphens w:val="true"/>
        <w:ind w:hanging="360" w:left="927" w:right="0"/>
        <w:rPr/>
      </w:pPr>
      <w:r>
        <w:rPr/>
        <w:t>Material specification/grade.</w:t>
      </w:r>
    </w:p>
    <w:p>
      <w:pPr>
        <w:pStyle w:val="Normal"/>
        <w:numPr>
          <w:ilvl w:val="0"/>
          <w:numId w:val="5"/>
        </w:numPr>
        <w:tabs>
          <w:tab w:val="clear" w:pos="567"/>
          <w:tab w:val="left" w:pos="927" w:leader="none"/>
        </w:tabs>
        <w:suppressAutoHyphens w:val="true"/>
        <w:ind w:hanging="360" w:left="927" w:right="0"/>
        <w:rPr/>
      </w:pPr>
      <w:r>
        <w:rPr/>
        <w:t>Heat/charge number.</w:t>
      </w:r>
    </w:p>
    <w:p>
      <w:pPr>
        <w:pStyle w:val="Normal"/>
        <w:numPr>
          <w:ilvl w:val="0"/>
          <w:numId w:val="5"/>
        </w:numPr>
        <w:tabs>
          <w:tab w:val="clear" w:pos="567"/>
          <w:tab w:val="left" w:pos="927" w:leader="none"/>
        </w:tabs>
        <w:suppressAutoHyphens w:val="true"/>
        <w:ind w:hanging="360" w:left="927" w:right="0"/>
        <w:rPr/>
      </w:pPr>
      <w:r>
        <w:rPr/>
        <w:t>Size/schedule.</w:t>
      </w:r>
    </w:p>
    <w:p>
      <w:pPr>
        <w:pStyle w:val="Normal"/>
        <w:suppressAutoHyphens w:val="true"/>
        <w:ind w:hanging="972" w:right="0"/>
        <w:rPr/>
      </w:pPr>
      <w:r>
        <w:rPr/>
      </w:r>
    </w:p>
    <w:p>
      <w:pPr>
        <w:pStyle w:val="Heading2"/>
        <w:ind w:hanging="0" w:left="567"/>
        <w:rPr/>
      </w:pPr>
      <w:r>
        <w:rPr/>
        <w:t>Transfer of markings.</w:t>
      </w:r>
    </w:p>
    <w:p>
      <w:pPr>
        <w:pStyle w:val="Normal"/>
        <w:suppressAutoHyphens w:val="true"/>
        <w:rPr/>
      </w:pPr>
      <w:r>
        <w:rPr/>
      </w:r>
    </w:p>
    <w:p>
      <w:pPr>
        <w:pStyle w:val="Normal"/>
        <w:suppressAutoHyphens w:val="true"/>
        <w:rPr/>
      </w:pPr>
      <w:r>
        <w:rPr/>
        <w:t>Where traceability of material is required throughout the manufacturing process, care should be taken to ensure that, the certificate number has been recorded on a drawing and/or parts list, to ensure that a clear documentation trail is maintained from the base material to the CMTR and that the material remains traceable from receiving to finished item.</w:t>
      </w:r>
    </w:p>
    <w:p>
      <w:pPr>
        <w:pStyle w:val="Normal"/>
        <w:suppressAutoHyphens w:val="true"/>
        <w:rPr/>
      </w:pPr>
      <w:r>
        <w:rPr/>
      </w:r>
    </w:p>
    <w:p>
      <w:pPr>
        <w:pStyle w:val="Normal"/>
        <w:suppressAutoHyphens w:val="true"/>
        <w:rPr/>
      </w:pPr>
      <w:r>
        <w:rPr/>
        <w:t>Materials that require to be sectioned, segregated or cut from the original material shall have the identification transferred to the piece prior to cutting, so that source identification is not lost.</w:t>
      </w:r>
    </w:p>
    <w:p>
      <w:pPr>
        <w:pStyle w:val="Normal"/>
        <w:suppressAutoHyphens w:val="true"/>
        <w:rPr/>
      </w:pPr>
      <w:r>
        <w:rPr/>
      </w:r>
    </w:p>
    <w:p>
      <w:pPr>
        <w:pStyle w:val="Normal"/>
        <w:suppressAutoHyphens w:val="true"/>
        <w:rPr/>
      </w:pPr>
      <w:r>
        <w:rPr/>
        <w:t>The transferred marking/identification shall be in accordance with one of the following methods:</w:t>
      </w:r>
    </w:p>
    <w:p>
      <w:pPr>
        <w:pStyle w:val="Normal"/>
        <w:numPr>
          <w:ilvl w:val="0"/>
          <w:numId w:val="10"/>
        </w:numPr>
        <w:tabs>
          <w:tab w:val="clear" w:pos="567"/>
          <w:tab w:val="left" w:pos="927" w:leader="none"/>
        </w:tabs>
        <w:suppressAutoHyphens w:val="true"/>
        <w:ind w:hanging="360" w:left="927" w:right="0"/>
        <w:rPr/>
      </w:pPr>
      <w:r>
        <w:rPr/>
        <w:t>Marking shall contain all elements required by the original material specification and this procedure.</w:t>
      </w:r>
    </w:p>
    <w:p>
      <w:pPr>
        <w:pStyle w:val="Normal"/>
        <w:numPr>
          <w:ilvl w:val="0"/>
          <w:numId w:val="10"/>
        </w:numPr>
        <w:tabs>
          <w:tab w:val="clear" w:pos="567"/>
          <w:tab w:val="left" w:pos="927" w:leader="none"/>
        </w:tabs>
        <w:suppressAutoHyphens w:val="true"/>
        <w:ind w:hanging="360" w:left="927" w:right="0"/>
        <w:rPr/>
      </w:pPr>
      <w:r>
        <w:rPr/>
        <w:t>A unique coding/serial number system shall be applied to the material and the CMTR.</w:t>
      </w:r>
    </w:p>
    <w:p>
      <w:pPr>
        <w:pStyle w:val="Normal"/>
        <w:numPr>
          <w:ilvl w:val="0"/>
          <w:numId w:val="7"/>
        </w:numPr>
        <w:tabs>
          <w:tab w:val="clear" w:pos="567"/>
          <w:tab w:val="left" w:pos="927" w:leader="none"/>
        </w:tabs>
        <w:suppressAutoHyphens w:val="true"/>
        <w:ind w:hanging="360" w:left="927" w:right="0"/>
        <w:rPr/>
      </w:pPr>
      <w:r>
        <w:rPr/>
        <w:t xml:space="preserve">Transfer of marks can be a hold point for the </w:t>
      </w:r>
      <w:r>
        <w:rPr>
          <w:b/>
        </w:rPr>
        <w:t>Contractor's inspector</w:t>
      </w:r>
      <w:r>
        <w:rPr/>
        <w:t>.</w:t>
      </w:r>
    </w:p>
    <w:p>
      <w:pPr>
        <w:pStyle w:val="Header"/>
        <w:tabs>
          <w:tab w:val="clear" w:pos="4320"/>
          <w:tab w:val="clear" w:pos="8640"/>
        </w:tabs>
        <w:suppressAutoHyphens w:val="true"/>
        <w:rPr/>
      </w:pPr>
      <w:r>
        <w:rPr/>
      </w:r>
    </w:p>
    <w:p>
      <w:pPr>
        <w:pStyle w:val="Normal"/>
        <w:numPr>
          <w:ilvl w:val="0"/>
          <w:numId w:val="7"/>
        </w:numPr>
        <w:tabs>
          <w:tab w:val="clear" w:pos="567"/>
          <w:tab w:val="left" w:pos="927" w:leader="none"/>
        </w:tabs>
        <w:suppressAutoHyphens w:val="true"/>
        <w:ind w:hanging="360" w:left="927" w:right="0"/>
        <w:rPr/>
      </w:pPr>
      <w:r>
        <w:rPr/>
        <w:t>Method of marking shall be stamping, stencilling or etching in accordance with this procedure.</w:t>
      </w:r>
    </w:p>
    <w:p>
      <w:pPr>
        <w:pStyle w:val="Normal"/>
        <w:suppressAutoHyphens w:val="true"/>
        <w:ind w:hanging="972" w:right="0"/>
        <w:rPr/>
      </w:pPr>
      <w:r>
        <w:rPr/>
      </w:r>
    </w:p>
    <w:p>
      <w:pPr>
        <w:pStyle w:val="Heading2"/>
        <w:ind w:hanging="0" w:left="567"/>
        <w:rPr/>
      </w:pPr>
      <w:r>
        <w:rPr/>
        <w:t>Tagging &amp; nameplates</w:t>
      </w:r>
    </w:p>
    <w:p>
      <w:pPr>
        <w:pStyle w:val="Normal"/>
        <w:suppressAutoHyphens w:val="true"/>
        <w:rPr/>
      </w:pPr>
      <w:r>
        <w:rPr/>
      </w:r>
    </w:p>
    <w:p>
      <w:pPr>
        <w:pStyle w:val="Normal"/>
        <w:suppressAutoHyphens w:val="true"/>
        <w:rPr/>
      </w:pPr>
      <w:r>
        <w:rPr/>
        <w:t xml:space="preserve">Where permanent marking is not possible due to size or non suitability of surface for marking, tagging may be employed to maintain material identification. The tag should be of durable material such as stainless steel and should contain the marking elements required by the </w:t>
      </w:r>
      <w:r>
        <w:rPr>
          <w:b/>
        </w:rPr>
        <w:t>Contractor's</w:t>
      </w:r>
      <w:r>
        <w:rPr/>
        <w:t xml:space="preserve"> purchase order or technical requisition. The tag/s should be securely fixed to the identified material for example using stainless steel wire.</w:t>
      </w:r>
    </w:p>
    <w:p>
      <w:pPr>
        <w:pStyle w:val="Normal"/>
        <w:suppressAutoHyphens w:val="true"/>
        <w:rPr/>
      </w:pPr>
      <w:r>
        <w:rPr/>
      </w:r>
    </w:p>
    <w:p>
      <w:pPr>
        <w:pStyle w:val="Normal"/>
        <w:suppressAutoHyphens w:val="true"/>
        <w:rPr/>
      </w:pPr>
      <w:r>
        <w:rPr/>
        <w:t xml:space="preserve">Where permanent nameplates are required, these should be securely fixed to the equipment/material and of a size and design in accordance with the </w:t>
      </w:r>
      <w:r>
        <w:rPr>
          <w:b/>
        </w:rPr>
        <w:t>Contractors</w:t>
      </w:r>
      <w:r>
        <w:rPr/>
        <w:t xml:space="preserve"> relevant engineering drawing or specification.</w:t>
      </w:r>
    </w:p>
    <w:p>
      <w:pPr>
        <w:pStyle w:val="Normal"/>
        <w:suppressAutoHyphens w:val="true"/>
        <w:rPr/>
      </w:pPr>
      <w:r>
        <w:rPr/>
        <w:t xml:space="preserve">The </w:t>
      </w:r>
      <w:r>
        <w:rPr>
          <w:b/>
        </w:rPr>
        <w:t>Contractor's</w:t>
      </w:r>
      <w:r>
        <w:rPr/>
        <w:t xml:space="preserve"> </w:t>
      </w:r>
      <w:r>
        <w:rPr>
          <w:b/>
        </w:rPr>
        <w:t>inspector</w:t>
      </w:r>
      <w:r>
        <w:rPr/>
        <w:t xml:space="preserve"> shall:</w:t>
      </w:r>
    </w:p>
    <w:p>
      <w:pPr>
        <w:pStyle w:val="BodyTextIndent2"/>
        <w:rPr/>
      </w:pPr>
      <w:r>
        <w:rPr/>
        <w:t xml:space="preserve">Verify tagging/nameplate information is correct in accordance with </w:t>
      </w:r>
      <w:r>
        <w:rPr>
          <w:b/>
        </w:rPr>
        <w:t>Contractor's</w:t>
      </w:r>
      <w:r>
        <w:rPr/>
        <w:t xml:space="preserve"> requirements and ensure it is securely fixed. In the case of nameplates, a copy or rubbing of the plate should be obtained for the inspection documentation.</w:t>
      </w:r>
    </w:p>
    <w:p>
      <w:pPr>
        <w:pStyle w:val="Normal"/>
        <w:suppressAutoHyphens w:val="true"/>
        <w:ind w:hanging="972" w:right="0"/>
        <w:rPr/>
      </w:pPr>
      <w:r>
        <w:rPr/>
      </w:r>
    </w:p>
    <w:p>
      <w:pPr>
        <w:pStyle w:val="Heading2"/>
        <w:ind w:hanging="0" w:left="567"/>
        <w:rPr/>
      </w:pPr>
      <w:r>
        <w:rPr/>
        <w:t>Colour coding</w:t>
      </w:r>
    </w:p>
    <w:p>
      <w:pPr>
        <w:pStyle w:val="Normal"/>
        <w:suppressAutoHyphens w:val="true"/>
        <w:rPr/>
      </w:pPr>
      <w:r>
        <w:rPr/>
      </w:r>
    </w:p>
    <w:p>
      <w:pPr>
        <w:pStyle w:val="Normal"/>
        <w:suppressAutoHyphens w:val="true"/>
        <w:rPr/>
      </w:pPr>
      <w:r>
        <w:rPr/>
        <w:t xml:space="preserve">Where colour coding is utilised for bulk material, the </w:t>
      </w:r>
      <w:r>
        <w:rPr>
          <w:b/>
        </w:rPr>
        <w:t>Contractor's inspector</w:t>
      </w:r>
      <w:r>
        <w:rPr/>
        <w:t xml:space="preserve"> shall satisfy himself that the applied colour is in accordance with specification requirements.</w:t>
      </w:r>
    </w:p>
    <w:p>
      <w:pPr>
        <w:pStyle w:val="Normal"/>
        <w:suppressAutoHyphens w:val="true"/>
        <w:rPr/>
      </w:pPr>
      <w:r>
        <w:rPr/>
      </w:r>
    </w:p>
    <w:p>
      <w:pPr>
        <w:pStyle w:val="Heading2"/>
        <w:ind w:hanging="0" w:left="567"/>
        <w:rPr/>
      </w:pPr>
      <w:r>
        <w:rPr/>
        <w:t>Goods receiving inspection</w:t>
      </w:r>
    </w:p>
    <w:p>
      <w:pPr>
        <w:pStyle w:val="Normal"/>
        <w:suppressAutoHyphens w:val="true"/>
        <w:rPr/>
      </w:pPr>
      <w:r>
        <w:rPr/>
      </w:r>
    </w:p>
    <w:p>
      <w:pPr>
        <w:pStyle w:val="Normal"/>
        <w:suppressAutoHyphens w:val="true"/>
        <w:rPr/>
      </w:pPr>
      <w:r>
        <w:rPr/>
        <w:t xml:space="preserve">All temporary/permanent and consumable materials arriving at site, including those supplied by Client, shall be examined and inspected in accordance with the procedure for inspection and inspection reporting </w:t>
      </w:r>
    </w:p>
    <w:p>
      <w:pPr>
        <w:pStyle w:val="Normal"/>
        <w:suppressAutoHyphens w:val="true"/>
        <w:rPr/>
      </w:pPr>
      <w:r>
        <w:rPr/>
      </w:r>
    </w:p>
    <w:p>
      <w:pPr>
        <w:pStyle w:val="Normal"/>
        <w:suppressAutoHyphens w:val="true"/>
        <w:rPr/>
      </w:pPr>
      <w:r>
        <w:rPr/>
        <w:t>For all materials received at site a Stores Material Receiving Report [SMRR - form] shall be filled in [refer to Appendix 1]</w:t>
      </w:r>
    </w:p>
    <w:p>
      <w:pPr>
        <w:pStyle w:val="Normal"/>
        <w:suppressAutoHyphens w:val="true"/>
        <w:ind w:hanging="972" w:right="0"/>
        <w:rPr/>
      </w:pPr>
      <w:r>
        <w:rPr/>
      </w:r>
    </w:p>
    <w:p>
      <w:pPr>
        <w:pStyle w:val="Normal"/>
        <w:suppressAutoHyphens w:val="true"/>
        <w:rPr/>
      </w:pPr>
      <w:r>
        <w:rPr/>
        <w:t xml:space="preserve">All materials received at site shall have their outer packing examined by the materials </w:t>
      </w:r>
      <w:r>
        <w:rPr>
          <w:b/>
        </w:rPr>
        <w:t>Store keeper</w:t>
      </w:r>
      <w:r>
        <w:rPr/>
        <w:t xml:space="preserve"> for damage and identification. Where major damage exists to such outer packing, these materials should be segregated and opened together with the goods inwards inspector and/or field engineering personnel. Once opened, any damage to the material shall be carefully recorded by the </w:t>
      </w:r>
      <w:r>
        <w:rPr>
          <w:b/>
        </w:rPr>
        <w:t>inspector</w:t>
      </w:r>
      <w:r>
        <w:rPr/>
        <w:t xml:space="preserve"> and reported to the </w:t>
      </w:r>
      <w:r>
        <w:rPr>
          <w:b/>
        </w:rPr>
        <w:t xml:space="preserve">Quality Control Manager </w:t>
      </w:r>
      <w:r>
        <w:rPr/>
        <w:t>for resolution.</w:t>
      </w:r>
    </w:p>
    <w:p>
      <w:pPr>
        <w:pStyle w:val="Normal"/>
        <w:suppressAutoHyphens w:val="true"/>
        <w:rPr/>
      </w:pPr>
      <w:r>
        <w:rPr/>
        <w:t xml:space="preserve">Packages that appear undamaged shall be unpacked by the materials </w:t>
      </w:r>
      <w:r>
        <w:rPr>
          <w:b/>
        </w:rPr>
        <w:t>Store keeper</w:t>
      </w:r>
      <w:r>
        <w:rPr/>
        <w:t xml:space="preserve"> and inspected by the goods inwards inspector. The </w:t>
      </w:r>
      <w:r>
        <w:rPr>
          <w:b/>
        </w:rPr>
        <w:t>inspector</w:t>
      </w:r>
      <w:r>
        <w:rPr/>
        <w:t xml:space="preserve"> shall after satisfactory inspection and examination of any accompanying documentation, issue an Inspection Release Certificate [IRC], in accordance with the Inspection and Inspection Reporting Procedure.</w:t>
      </w:r>
    </w:p>
    <w:p>
      <w:pPr>
        <w:pStyle w:val="Normal"/>
        <w:suppressAutoHyphens w:val="true"/>
        <w:ind w:hanging="972" w:right="0"/>
        <w:rPr/>
      </w:pPr>
      <w:r>
        <w:rPr/>
        <w:tab/>
        <w:t>Records of these activities shall be maintained by the store keeper and the inspector.</w:t>
      </w:r>
    </w:p>
    <w:p>
      <w:pPr>
        <w:pStyle w:val="Normal"/>
        <w:suppressAutoHyphens w:val="true"/>
        <w:rPr/>
      </w:pPr>
      <w:r>
        <w:rPr/>
        <w:t>All original and copy documentation received shall be passed to site Document Control for registration and storage.</w:t>
      </w:r>
    </w:p>
    <w:p>
      <w:pPr>
        <w:pStyle w:val="Normal"/>
        <w:suppressAutoHyphens w:val="true"/>
        <w:ind w:hanging="972" w:right="0"/>
        <w:rPr/>
      </w:pPr>
      <w:r>
        <w:rPr/>
      </w:r>
    </w:p>
    <w:p>
      <w:pPr>
        <w:pStyle w:val="Normal"/>
        <w:suppressAutoHyphens w:val="true"/>
        <w:rPr/>
      </w:pPr>
      <w:r>
        <w:rPr/>
        <w:t>Construction equipment/aids arriving at site shall in addition to the above be examined by the safety officer in accordance with the site HSES procedures to ensure these meet the required regulatory requirements.</w:t>
      </w:r>
    </w:p>
    <w:p>
      <w:pPr>
        <w:pStyle w:val="Normal"/>
        <w:suppressAutoHyphens w:val="true"/>
        <w:ind w:hanging="972" w:right="0"/>
        <w:rPr/>
      </w:pPr>
      <w:r>
        <w:rPr/>
        <w:tab/>
        <w:t>Records of these activities shall be maintained by the inspector and the safety officer.</w:t>
      </w:r>
    </w:p>
    <w:p>
      <w:pPr>
        <w:pStyle w:val="Normal"/>
        <w:suppressAutoHyphens w:val="true"/>
        <w:ind w:hanging="972" w:right="0"/>
        <w:rPr/>
      </w:pPr>
      <w:r>
        <w:rPr/>
      </w:r>
    </w:p>
    <w:p>
      <w:pPr>
        <w:pStyle w:val="Normal"/>
        <w:suppressAutoHyphens w:val="true"/>
        <w:rPr/>
      </w:pPr>
      <w:r>
        <w:rPr/>
        <w:t xml:space="preserve">Raw materials arriving at site shall be inspected by the </w:t>
      </w:r>
      <w:r>
        <w:rPr>
          <w:b/>
        </w:rPr>
        <w:t>Contractor's</w:t>
      </w:r>
      <w:r>
        <w:rPr/>
        <w:t xml:space="preserve"> inspection personnel in accordance with the ITP.</w:t>
      </w:r>
    </w:p>
    <w:p>
      <w:pPr>
        <w:pStyle w:val="Normal"/>
        <w:suppressAutoHyphens w:val="true"/>
        <w:rPr/>
      </w:pPr>
      <w:r>
        <w:rPr/>
      </w:r>
    </w:p>
    <w:p>
      <w:pPr>
        <w:pStyle w:val="Heading2"/>
        <w:ind w:hanging="0" w:left="567"/>
        <w:rPr/>
      </w:pPr>
      <w:r>
        <w:rPr/>
        <w:t>Segregation of non-conforming materials</w:t>
      </w:r>
    </w:p>
    <w:p>
      <w:pPr>
        <w:pStyle w:val="Normal"/>
        <w:suppressAutoHyphens w:val="true"/>
        <w:rPr/>
      </w:pPr>
      <w:r>
        <w:rPr/>
      </w:r>
    </w:p>
    <w:p>
      <w:pPr>
        <w:pStyle w:val="BodyTextIndent2"/>
        <w:rPr/>
      </w:pPr>
      <w:r>
        <w:rPr/>
        <w:t>All non-conforming materials shall be segregated and quarantined as follows:</w:t>
      </w:r>
    </w:p>
    <w:p>
      <w:pPr>
        <w:pStyle w:val="Normal"/>
        <w:suppressAutoHyphens w:val="true"/>
        <w:ind w:hanging="972" w:right="0"/>
        <w:rPr/>
      </w:pPr>
      <w:r>
        <w:rPr/>
      </w:r>
    </w:p>
    <w:p>
      <w:pPr>
        <w:pStyle w:val="Normal"/>
        <w:suppressAutoHyphens w:val="true"/>
        <w:rPr/>
      </w:pPr>
      <w:r>
        <w:rPr/>
        <w:t xml:space="preserve">On discovery of non-conforming materials the </w:t>
      </w:r>
      <w:r>
        <w:rPr>
          <w:b/>
        </w:rPr>
        <w:t>inspector/Store keeper</w:t>
      </w:r>
      <w:r>
        <w:rPr/>
        <w:t xml:space="preserve"> shall clearly mark the material with a unique identification. Such marking shall be such that it shall remain permanent and is distinctive enough to be immediately identified as quarantined material.</w:t>
      </w:r>
    </w:p>
    <w:p>
      <w:pPr>
        <w:pStyle w:val="Normal"/>
        <w:suppressAutoHyphens w:val="true"/>
        <w:rPr/>
      </w:pPr>
      <w:r>
        <w:rPr/>
        <w:t>The material shall be removed to an area where it can remain segregated, such that it cannot be introduced into the production process.</w:t>
      </w:r>
    </w:p>
    <w:p>
      <w:pPr>
        <w:pStyle w:val="BodyTextIndent2"/>
        <w:rPr/>
      </w:pPr>
      <w:r>
        <w:rPr/>
        <w:t>The segregated storage area shall be secure and have access limited to material control, quality and management personnel only.</w:t>
      </w:r>
    </w:p>
    <w:p>
      <w:pPr>
        <w:pStyle w:val="Normal"/>
        <w:suppressAutoHyphens w:val="true"/>
        <w:rPr/>
      </w:pPr>
      <w:r>
        <w:rPr/>
        <w:t>Any alloy materials shall be further segregated to prevent any cross contamination with ferrous materials.</w:t>
      </w:r>
    </w:p>
    <w:p>
      <w:pPr>
        <w:pStyle w:val="Normal"/>
        <w:suppressAutoHyphens w:val="true"/>
        <w:rPr/>
      </w:pPr>
      <w:r>
        <w:rPr/>
        <w:t>Material control and inspection shall keep records of all non-conforming materials.</w:t>
        <w:br/>
      </w:r>
    </w:p>
    <w:p>
      <w:pPr>
        <w:pStyle w:val="Normal"/>
        <w:suppressAutoHyphens w:val="true"/>
        <w:rPr/>
      </w:pPr>
      <w:r>
        <w:rPr/>
        <w:t xml:space="preserve">All non-conforming materials shall be reported to the </w:t>
      </w:r>
      <w:r>
        <w:rPr>
          <w:b/>
        </w:rPr>
        <w:t>Project QA/AC Manager</w:t>
      </w:r>
      <w:r>
        <w:rPr/>
        <w:t xml:space="preserve"> for resolution with the vendor and/or field engineering personnel.</w:t>
      </w:r>
    </w:p>
    <w:p>
      <w:pPr>
        <w:pStyle w:val="Normal"/>
        <w:suppressAutoHyphens w:val="true"/>
        <w:rPr/>
      </w:pPr>
      <w:r>
        <w:rPr/>
        <w:t xml:space="preserve">Where it is decided that non-conforming materials can be used in their received state or used after repair, the original non-conformance marking shall remain on the material for future traceability. Such use shall be fully documented by the </w:t>
      </w:r>
      <w:r>
        <w:rPr>
          <w:b/>
        </w:rPr>
        <w:t xml:space="preserve">Project Quality Manager </w:t>
      </w:r>
      <w:r>
        <w:rPr/>
        <w:t>who shall ensure that the appropriate NCR is prepared and approved as required.</w:t>
        <w:br/>
      </w:r>
    </w:p>
    <w:p>
      <w:pPr>
        <w:pStyle w:val="Normal"/>
        <w:tabs>
          <w:tab w:val="clear" w:pos="567"/>
          <w:tab w:val="left" w:pos="-1440" w:leader="none"/>
          <w:tab w:val="left" w:pos="-720" w:leader="none"/>
        </w:tabs>
        <w:suppressAutoHyphens w:val="true"/>
        <w:rPr/>
      </w:pPr>
      <w:r>
        <w:rPr/>
        <w:t xml:space="preserve">Where, after the necessary discussions between the parties, it is decided to scrap the non-conforming material, the </w:t>
      </w:r>
      <w:r>
        <w:rPr>
          <w:b/>
        </w:rPr>
        <w:t>Project Quality Manager</w:t>
      </w:r>
      <w:r>
        <w:rPr/>
        <w:t xml:space="preserve"> shall ensure the material is permanently segregated and advise the Construction Manager and/or Procurement for disposal of the material.</w:t>
      </w:r>
    </w:p>
    <w:p>
      <w:pPr>
        <w:pStyle w:val="Normal"/>
        <w:tabs>
          <w:tab w:val="clear" w:pos="567"/>
          <w:tab w:val="left" w:pos="-1440" w:leader="none"/>
          <w:tab w:val="left" w:pos="-720" w:leader="none"/>
        </w:tabs>
        <w:suppressAutoHyphens w:val="true"/>
        <w:rPr/>
      </w:pPr>
      <w:r>
        <w:rPr/>
        <w:t>Records of such activities shall be maintained by the Material and Quality groups.</w:t>
      </w:r>
    </w:p>
    <w:p>
      <w:pPr>
        <w:pStyle w:val="Normal"/>
        <w:tabs>
          <w:tab w:val="clear" w:pos="567"/>
          <w:tab w:val="left" w:pos="-1440" w:leader="none"/>
          <w:tab w:val="left" w:pos="-720" w:leader="none"/>
        </w:tabs>
        <w:suppressAutoHyphens w:val="true"/>
        <w:ind w:hanging="972" w:right="0"/>
        <w:rPr/>
      </w:pPr>
      <w:r>
        <w:rPr/>
      </w:r>
    </w:p>
    <w:p>
      <w:pPr>
        <w:pStyle w:val="Heading2"/>
        <w:ind w:hanging="0" w:left="567"/>
        <w:rPr/>
      </w:pPr>
      <w:r>
        <w:rPr/>
        <w:t>Documentation</w:t>
      </w:r>
    </w:p>
    <w:p>
      <w:pPr>
        <w:pStyle w:val="Normal"/>
        <w:tabs>
          <w:tab w:val="clear" w:pos="567"/>
          <w:tab w:val="left" w:pos="-1440" w:leader="none"/>
          <w:tab w:val="left" w:pos="-720" w:leader="none"/>
        </w:tabs>
        <w:suppressAutoHyphens w:val="true"/>
        <w:rPr/>
      </w:pPr>
      <w:r>
        <w:rPr/>
      </w:r>
    </w:p>
    <w:p>
      <w:pPr>
        <w:pStyle w:val="Normal"/>
        <w:tabs>
          <w:tab w:val="clear" w:pos="567"/>
          <w:tab w:val="left" w:pos="-1440" w:leader="none"/>
          <w:tab w:val="left" w:pos="-720" w:leader="none"/>
        </w:tabs>
        <w:suppressAutoHyphens w:val="true"/>
        <w:rPr/>
      </w:pPr>
      <w:r>
        <w:rPr/>
        <w:t>All documentation received with incoming materials shall be passed to Document Control for registration and subjected to the appropriate checks for conformance against Project requirements by Quality and Engineering.</w:t>
        <w:br/>
      </w:r>
    </w:p>
    <w:p>
      <w:pPr>
        <w:pStyle w:val="Normal"/>
        <w:tabs>
          <w:tab w:val="clear" w:pos="567"/>
          <w:tab w:val="left" w:pos="-1440" w:leader="none"/>
          <w:tab w:val="left" w:pos="-720" w:leader="none"/>
        </w:tabs>
        <w:suppressAutoHyphens w:val="true"/>
        <w:rPr/>
      </w:pPr>
      <w:r>
        <w:rPr/>
        <w:t xml:space="preserve">This documentation shall be checked against Purchase Order and or against EDR - form. </w:t>
      </w:r>
    </w:p>
    <w:p>
      <w:pPr>
        <w:pStyle w:val="Normal"/>
        <w:tabs>
          <w:tab w:val="clear" w:pos="567"/>
          <w:tab w:val="left" w:pos="-1440" w:leader="none"/>
          <w:tab w:val="left" w:pos="-720" w:leader="none"/>
        </w:tabs>
        <w:suppressAutoHyphens w:val="true"/>
        <w:rPr/>
      </w:pPr>
      <w:r>
        <w:rPr/>
        <w:t>[refer to procedure for inspection and inspection reporting.</w:t>
      </w:r>
    </w:p>
    <w:p>
      <w:pPr>
        <w:pStyle w:val="Normal"/>
        <w:rPr/>
      </w:pPr>
      <w:r>
        <w:rPr/>
      </w:r>
    </w:p>
    <w:p>
      <w:pPr>
        <w:pStyle w:val="Heading1"/>
        <w:ind w:hanging="0" w:left="567"/>
        <w:rPr/>
      </w:pPr>
      <w:r>
        <w:rPr/>
        <w:t>Attached documentation</w:t>
      </w:r>
    </w:p>
    <w:p>
      <w:pPr>
        <w:pStyle w:val="Normal"/>
        <w:rPr/>
      </w:pPr>
      <w:r>
        <w:rPr/>
      </w:r>
    </w:p>
    <w:p>
      <w:pPr>
        <w:pStyle w:val="Normal"/>
        <w:rPr/>
      </w:pPr>
      <w:r>
        <w:rPr/>
        <w:t>None.</w:t>
      </w:r>
    </w:p>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/mnt/data/phase1/work/SHANFARI_PHASE_1_ORIGINAL_46_DOCS/QUALITY/QU-W-03-Work-Instruction-Material-Traceability.DOC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r>
            <w:rPr>
              <w:b/>
              <w:sz w:val="22"/>
            </w:rPr>
            <w:t>Work instruction</w:t>
          </w:r>
        </w:p>
        <w:p>
          <w:pPr>
            <w:pStyle w:val="Normal"/>
            <w:spacing w:before="120" w:after="0"/>
            <w:ind w:left="-108" w:right="-62"/>
            <w:jc w:val="center"/>
            <w:rPr/>
          </w:pPr>
          <w:r>
            <w:rPr/>
            <w:t>Material Traceablity</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QU-W-03</w:t>
          </w:r>
        </w:p>
        <w:p>
          <w:pPr>
            <w:pStyle w:val="Normal"/>
            <w:tabs>
              <w:tab w:val="clear" w:pos="567"/>
              <w:tab w:val="left" w:pos="993" w:leader="none"/>
              <w:tab w:val="left" w:pos="1134" w:leader="none"/>
            </w:tabs>
            <w:spacing w:before="80" w:after="0"/>
            <w:ind w:left="34" w:right="0"/>
            <w:jc w:val="both"/>
            <w:rPr/>
          </w:pPr>
          <w:r>
            <w:rPr/>
            <w:t>Rev.</w:t>
            <w:tab/>
            <w:t>: 01</w:t>
          </w:r>
        </w:p>
        <w:p>
          <w:pPr>
            <w:pStyle w:val="Normal"/>
            <w:tabs>
              <w:tab w:val="clear" w:pos="567"/>
              <w:tab w:val="left" w:pos="993" w:leader="none"/>
              <w:tab w:val="left" w:pos="1134" w:leader="none"/>
            </w:tabs>
            <w:spacing w:before="80" w:after="0"/>
            <w:ind w:left="34" w:right="0"/>
            <w:jc w:val="both"/>
            <w:rPr/>
          </w:pPr>
          <w:r>
            <w:rPr/>
            <w:t>Date</w:t>
            <w:tab/>
            <w:t>: 07 Apr. 00</w:t>
          </w:r>
        </w:p>
        <w:p>
          <w:pPr>
            <w:pStyle w:val="Normal"/>
            <w:tabs>
              <w:tab w:val="clear" w:pos="567"/>
              <w:tab w:val="left" w:pos="993" w:leader="none"/>
              <w:tab w:val="left" w:pos="1134" w:leader="none"/>
            </w:tabs>
            <w:spacing w:before="80" w:after="0"/>
            <w:ind w:left="34" w:right="0"/>
            <w:jc w:val="both"/>
            <w:rPr/>
          </w:pPr>
          <w:r>
            <w:rPr/>
            <w:t>Author</w:t>
            <w:tab/>
            <w:t>: 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5</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1">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color w:val="auto"/>
      </w:r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abstractNum w:abstractNumId="4">
    <w:lvl w:ilvl="0">
      <w:start w:val="1"/>
      <w:numFmt w:val="bullet"/>
      <w:lvlText w:val=""/>
      <w:lvlJc w:val="left"/>
      <w:pPr>
        <w:tabs>
          <w:tab w:val="num" w:pos="360"/>
        </w:tabs>
        <w:ind w:left="360" w:hanging="360"/>
      </w:pPr>
      <w:rPr>
        <w:rFonts w:ascii="Symbol" w:hAnsi="Symbol" w:cs="Symbol" w:hint="default"/>
        <w:color w:val="auto"/>
      </w:rPr>
    </w:lvl>
  </w:abstractNum>
  <w:abstractNum w:abstractNumId="5">
    <w:lvl w:ilvl="0">
      <w:start w:val="1"/>
      <w:numFmt w:val="bullet"/>
      <w:lvlText w:val=""/>
      <w:lvlJc w:val="left"/>
      <w:pPr>
        <w:tabs>
          <w:tab w:val="num" w:pos="360"/>
        </w:tabs>
        <w:ind w:left="360" w:hanging="360"/>
      </w:pPr>
      <w:rPr>
        <w:rFonts w:ascii="Symbol" w:hAnsi="Symbol" w:cs="Symbol" w:hint="default"/>
        <w:color w:val="auto"/>
      </w:rPr>
    </w:lvl>
  </w:abstractNum>
  <w:abstractNum w:abstractNumId="6">
    <w:lvl w:ilvl="0">
      <w:start w:val="1"/>
      <w:numFmt w:val="bullet"/>
      <w:lvlText w:val=""/>
      <w:lvlJc w:val="left"/>
      <w:pPr>
        <w:tabs>
          <w:tab w:val="num" w:pos="360"/>
        </w:tabs>
        <w:ind w:left="360" w:hanging="360"/>
      </w:pPr>
      <w:rPr>
        <w:rFonts w:ascii="Symbol" w:hAnsi="Symbol" w:cs="Symbol" w:hint="default"/>
        <w:color w:val="auto"/>
      </w:rPr>
    </w:lvl>
  </w:abstractNum>
  <w:abstractNum w:abstractNumId="7">
    <w:lvl w:ilvl="0">
      <w:start w:val="1"/>
      <w:numFmt w:val="bullet"/>
      <w:lvlText w:val=""/>
      <w:lvlJc w:val="left"/>
      <w:pPr>
        <w:tabs>
          <w:tab w:val="num" w:pos="360"/>
        </w:tabs>
        <w:ind w:left="360" w:hanging="360"/>
      </w:pPr>
      <w:rPr>
        <w:rFonts w:ascii="Symbol" w:hAnsi="Symbol" w:cs="Symbol" w:hint="default"/>
        <w:color w:val="auto"/>
      </w:rPr>
    </w:lvl>
  </w:abstractNum>
  <w:abstractNum w:abstractNumId="8">
    <w:lvl w:ilvl="0">
      <w:start w:val="1"/>
      <w:numFmt w:val="bullet"/>
      <w:lvlText w:val=""/>
      <w:lvlJc w:val="left"/>
      <w:pPr>
        <w:tabs>
          <w:tab w:val="num" w:pos="360"/>
        </w:tabs>
        <w:ind w:left="360" w:hanging="360"/>
      </w:pPr>
      <w:rPr>
        <w:rFonts w:ascii="Symbol" w:hAnsi="Symbol" w:cs="Symbol" w:hint="default"/>
        <w:color w:val="auto"/>
      </w:rPr>
    </w:lvl>
  </w:abstractNum>
  <w:abstractNum w:abstractNumId="9">
    <w:lvl w:ilvl="0">
      <w:start w:val="1"/>
      <w:numFmt w:val="bullet"/>
      <w:lvlText w:val=""/>
      <w:lvlJc w:val="left"/>
      <w:pPr>
        <w:tabs>
          <w:tab w:val="num" w:pos="360"/>
        </w:tabs>
        <w:ind w:left="360" w:hanging="360"/>
      </w:pPr>
      <w:rPr>
        <w:rFonts w:ascii="Symbol" w:hAnsi="Symbol" w:cs="Symbol" w:hint="default"/>
        <w:color w:val="auto"/>
      </w:rPr>
    </w:lvl>
  </w:abstractNum>
  <w:abstractNum w:abstractNumId="10">
    <w:lvl w:ilvl="0">
      <w:start w:val="1"/>
      <w:numFmt w:val="bullet"/>
      <w:lvlText w:val=""/>
      <w:lvlJc w:val="left"/>
      <w:pPr>
        <w:tabs>
          <w:tab w:val="num" w:pos="360"/>
        </w:tabs>
        <w:ind w:left="360" w:hanging="360"/>
      </w:pPr>
      <w:rPr>
        <w:rFonts w:ascii="Symbol" w:hAnsi="Symbol" w:cs="Symbol" w:hint="default"/>
        <w:color w:val="au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rFonts w:ascii="Symbol" w:hAnsi="Symbol" w:cs="Symbol"/>
      <w:color w:val="auto"/>
    </w:rPr>
  </w:style>
  <w:style w:type="character" w:styleId="WW8Num3z0">
    <w:name w:val="WW8Num3z0"/>
    <w:qFormat/>
    <w:rPr>
      <w:rFonts w:ascii="Symbol" w:hAnsi="Symbol" w:cs="Symbol"/>
      <w:color w:val="auto"/>
    </w:rPr>
  </w:style>
  <w:style w:type="character" w:styleId="WW8Num4z0">
    <w:name w:val="WW8Num4z0"/>
    <w:qFormat/>
    <w:rPr>
      <w:rFonts w:ascii="Symbol" w:hAnsi="Symbol" w:cs="Symbol"/>
    </w:rPr>
  </w:style>
  <w:style w:type="character" w:styleId="WW8Num5z0">
    <w:name w:val="WW8Num5z0"/>
    <w:qFormat/>
    <w:rPr>
      <w:rFonts w:ascii="Times New Roman" w:hAnsi="Times New Roman" w:cs="Times New Roman"/>
    </w:rPr>
  </w:style>
  <w:style w:type="character" w:styleId="WW8Num6z0">
    <w:name w:val="WW8Num6z0"/>
    <w:qFormat/>
    <w:rPr>
      <w:rFonts w:ascii="Symbol" w:hAnsi="Symbol" w:cs="Symbol"/>
      <w:color w:val="auto"/>
    </w:rPr>
  </w:style>
  <w:style w:type="character" w:styleId="WW8Num7z0">
    <w:name w:val="WW8Num7z0"/>
    <w:qFormat/>
    <w:rPr>
      <w:rFonts w:ascii="Symbol" w:hAnsi="Symbol" w:cs="Symbol"/>
      <w:color w:val="auto"/>
    </w:rPr>
  </w:style>
  <w:style w:type="character" w:styleId="WW8Num8z0">
    <w:name w:val="WW8Num8z0"/>
    <w:qFormat/>
    <w:rPr>
      <w:rFonts w:ascii="Symbol" w:hAnsi="Symbol" w:cs="Symbol"/>
      <w:color w:val="auto"/>
    </w:rPr>
  </w:style>
  <w:style w:type="character" w:styleId="WW8Num9z0">
    <w:name w:val="WW8Num9z0"/>
    <w:qFormat/>
    <w:rPr>
      <w:rFonts w:ascii="Symbol" w:hAnsi="Symbol" w:cs="Symbol"/>
      <w:color w:val="auto"/>
    </w:rPr>
  </w:style>
  <w:style w:type="character" w:styleId="WW8Num10z0">
    <w:name w:val="WW8Num10z0"/>
    <w:qFormat/>
    <w:rPr>
      <w:rFonts w:ascii="Symbol" w:hAnsi="Symbol" w:cs="Symbol"/>
      <w:color w:val="auto"/>
    </w:rPr>
  </w:style>
  <w:style w:type="character" w:styleId="WW8Num11z0">
    <w:name w:val="WW8Num11z0"/>
    <w:qFormat/>
    <w:rPr>
      <w:rFonts w:ascii="Symbol" w:hAnsi="Symbol" w:cs="Symbol"/>
      <w:color w:val="auto"/>
    </w:rPr>
  </w:style>
  <w:style w:type="character" w:styleId="WW8Num12z0">
    <w:name w:val="WW8Num12z0"/>
    <w:qFormat/>
    <w:rPr>
      <w:rFonts w:ascii="Symbol" w:hAnsi="Symbol" w:cs="Symbol"/>
      <w:color w:val="auto"/>
    </w:rPr>
  </w:style>
  <w:style w:type="character" w:styleId="WW8Num13z0">
    <w:name w:val="WW8Num13z0"/>
    <w:qFormat/>
    <w:rPr>
      <w:rFonts w:ascii="Symbol" w:hAnsi="Symbol" w:cs="Symbol"/>
      <w:color w:val="auto"/>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tabs>
        <w:tab w:val="clear" w:pos="567"/>
        <w:tab w:val="left" w:pos="-1440" w:leader="none"/>
        <w:tab w:val="left" w:pos="-720" w:leader="none"/>
      </w:tabs>
      <w:suppressAutoHyphens w:val="true"/>
      <w:ind w:hanging="648" w:left="567" w:right="0"/>
    </w:pPr>
    <w:rPr/>
  </w:style>
  <w:style w:type="paragraph" w:styleId="BodyTextIndent2">
    <w:name w:val="Body Text Indent 2"/>
    <w:basedOn w:val="Normal"/>
    <w:qFormat/>
    <w:pPr>
      <w:suppressAutoHyphens w:val="true"/>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2002-03-05T10:53:00Z</dcterms:created>
  <dc:creator>rtonnema</dc:creator>
  <dc:description/>
  <dc:language>en-US</dc:language>
  <cp:lastModifiedBy>jbyrne</cp:lastModifiedBy>
  <cp:lastPrinted>2000-04-07T11:34:00Z</cp:lastPrinted>
  <dcterms:modified xsi:type="dcterms:W3CDTF">2003-12-05T13:50:00Z</dcterms:modified>
  <cp:revision>6</cp:revision>
  <dc:subject/>
  <dc:title>Work Instruction Material Traceability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HKU</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Work Instruction</vt:lpwstr>
  </property>
  <property fmtid="{D5CDD505-2E9C-101B-9397-08002B2CF9AE}" pid="8" name="Document ID">
    <vt:lpwstr>QU-W-03</vt:lpwstr>
  </property>
  <property fmtid="{D5CDD505-2E9C-101B-9397-08002B2CF9AE}" pid="9" name="Gen">
    <vt:lpwstr/>
  </property>
  <property fmtid="{D5CDD505-2E9C-101B-9397-08002B2CF9AE}" pid="10" name="LAS">
    <vt:lpwstr>LAS</vt:lpwstr>
  </property>
  <property fmtid="{D5CDD505-2E9C-101B-9397-08002B2CF9AE}" pid="11" name="Last rev">
    <vt:lpwstr>01</vt:lpwstr>
  </property>
  <property fmtid="{D5CDD505-2E9C-101B-9397-08002B2CF9AE}" pid="12" name="MBD">
    <vt:lpwstr/>
  </property>
  <property fmtid="{D5CDD505-2E9C-101B-9397-08002B2CF9AE}" pid="13" name="Order">
    <vt:lpwstr>72300.0000000000</vt:lpwstr>
  </property>
  <property fmtid="{D5CDD505-2E9C-101B-9397-08002B2CF9AE}" pid="14" name="TN">
    <vt:lpwstr/>
  </property>
  <property fmtid="{D5CDD505-2E9C-101B-9397-08002B2CF9AE}" pid="15" name="WE">
    <vt:lpwstr>WE</vt:lpwstr>
  </property>
  <property fmtid="{D5CDD505-2E9C-101B-9397-08002B2CF9AE}" pid="16" name="WP">
    <vt:lpwstr>WP</vt:lpwstr>
  </property>
</Properties>
</file>