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{pngname}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left="567"/>
        <w:rPr/>
      </w:pPr>
      <w:r>
        <w:rPr/>
        <w:t>Purpose</w:t>
      </w:r>
    </w:p>
    <w:p>
      <w:pPr>
        <w:pStyle w:val="Normal"/>
        <w:ind w:hanging="567" w:right="0"/>
        <w:rPr/>
      </w:pPr>
      <w:r>
        <w:rPr/>
      </w:r>
    </w:p>
    <w:p>
      <w:pPr>
        <w:pStyle w:val="BodyTextIndent"/>
        <w:rPr/>
      </w:pPr>
      <w:r>
        <w:rPr/>
        <w:t>The purpose of this instruction is to ensure that reviews of documents by several persons and/or different disciplines are performed in an organised and accurate manner.</w:t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Heading1"/>
        <w:ind w:hanging="0" w:left="567"/>
        <w:rPr/>
      </w:pPr>
      <w:r>
        <w:rPr/>
        <w:t>Scope</w:t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BodyTextIndent"/>
        <w:rPr/>
      </w:pPr>
      <w:r>
        <w:rPr/>
        <w:t>This procedure applies to all kind of reviews.</w:t>
      </w:r>
    </w:p>
    <w:p>
      <w:pPr>
        <w:pStyle w:val="BodyTextIndent"/>
        <w:rPr/>
      </w:pPr>
      <w:r>
        <w:rPr/>
      </w:r>
    </w:p>
    <w:p>
      <w:pPr>
        <w:pStyle w:val="Heading1"/>
        <w:ind w:hanging="0" w:left="567"/>
        <w:rPr/>
      </w:pPr>
      <w:r>
        <w:rPr/>
        <w:t>Definitions</w:t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BodyTextIndent"/>
        <w:rPr/>
      </w:pPr>
      <w:r>
        <w:rPr/>
        <w:t>IDC</w:t>
        <w:tab/>
        <w:tab/>
        <w:t>-</w:t>
        <w:tab/>
        <w:t>Inter-discipline check.</w:t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Heading1"/>
        <w:ind w:hanging="0" w:left="567"/>
        <w:rPr/>
      </w:pPr>
      <w:r>
        <w:rPr/>
        <w:t>Responsibility</w:t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  <w:t>Not applicable</w:t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Heading1"/>
        <w:ind w:hanging="0" w:left="567"/>
        <w:rPr/>
      </w:pPr>
      <w:r>
        <w:rPr/>
        <w:t>Method</w:t>
      </w:r>
    </w:p>
    <w:p>
      <w:pPr>
        <w:pStyle w:val="Normal"/>
        <w:rPr/>
      </w:pPr>
      <w:r>
        <w:rPr/>
      </w:r>
    </w:p>
    <w:p>
      <w:pPr>
        <w:pStyle w:val="Heading2"/>
        <w:ind w:hanging="0" w:left="567"/>
        <w:rPr/>
      </w:pPr>
      <w:r>
        <w:rPr/>
        <w:t>General</w:t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BodyTextIndent"/>
        <w:rPr/>
      </w:pPr>
      <w:r>
        <w:rPr/>
        <w:t>For all Inter-Discipline Checks, form QU-F-26 shall be used.</w:t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Heading2"/>
        <w:ind w:hanging="0" w:left="567"/>
        <w:rPr/>
      </w:pPr>
      <w:r>
        <w:rPr/>
        <w:t>Preparation of the IDC Form</w:t>
      </w:r>
    </w:p>
    <w:p>
      <w:pPr>
        <w:pStyle w:val="Normal"/>
        <w:tabs>
          <w:tab w:val="clear" w:pos="567"/>
          <w:tab w:val="left" w:pos="-1440" w:leader="none"/>
          <w:tab w:val="left" w:pos="-586" w:leader="none"/>
          <w:tab w:val="left" w:pos="-220" w:leader="none"/>
          <w:tab w:val="left" w:pos="512" w:leader="none"/>
          <w:tab w:val="left" w:pos="1016" w:leader="none"/>
          <w:tab w:val="left" w:pos="1610" w:leader="none"/>
          <w:tab w:val="left" w:pos="2160" w:leader="none"/>
        </w:tabs>
        <w:suppressAutoHyphens w:val="true"/>
        <w:rPr/>
      </w:pPr>
      <w:r>
        <w:rPr/>
      </w:r>
    </w:p>
    <w:p>
      <w:pPr>
        <w:pStyle w:val="BodyTextIndent"/>
        <w:rPr>
          <w:b/>
        </w:rPr>
      </w:pPr>
      <w:r>
        <w:rPr/>
        <w:t>The numbers indicated within this section relate to the fields to be completed within the IDC form included in the Appendix of this document.</w:t>
      </w:r>
    </w:p>
    <w:p>
      <w:pPr>
        <w:pStyle w:val="BodyTextIndent"/>
        <w:rPr>
          <w:b/>
        </w:rPr>
      </w:pPr>
      <w:r>
        <w:rPr>
          <w:b/>
        </w:rPr>
      </w:r>
    </w:p>
    <w:p>
      <w:pPr>
        <w:pStyle w:val="BodyTextIndent"/>
        <w:rPr/>
      </w:pPr>
      <w:r>
        <w:rPr/>
        <w:t>1/</w:t>
        <w:tab/>
        <w:t>IDC number</w:t>
      </w:r>
    </w:p>
    <w:p>
      <w:pPr>
        <w:pStyle w:val="BodyTextIndent"/>
        <w:rPr/>
      </w:pPr>
      <w:r>
        <w:rPr/>
        <w:t>2/</w:t>
        <w:tab/>
        <w:t>Date of preparation of the IDC form.</w:t>
      </w:r>
    </w:p>
    <w:p>
      <w:pPr>
        <w:pStyle w:val="BodyTextIndent"/>
        <w:rPr/>
      </w:pPr>
      <w:r>
        <w:rPr/>
        <w:t>3/</w:t>
        <w:tab/>
        <w:t>Name of person who initiated the IDC.</w:t>
      </w:r>
    </w:p>
    <w:p>
      <w:pPr>
        <w:pStyle w:val="BodyTextIndent"/>
        <w:rPr/>
      </w:pPr>
      <w:r>
        <w:rPr/>
        <w:t>4/</w:t>
        <w:tab/>
        <w:t>Tick which is applicable:</w:t>
      </w:r>
    </w:p>
    <w:p>
      <w:pPr>
        <w:pStyle w:val="BodyTextIndent"/>
        <w:ind w:hanging="564" w:left="1701" w:right="0"/>
        <w:rPr/>
      </w:pPr>
      <w:r>
        <w:rPr/>
        <w:t>a)</w:t>
        <w:tab/>
        <w:t>Serial check; each checker shall forward the IDC form and the document(s) to the checker shown next on the form.</w:t>
      </w:r>
    </w:p>
    <w:p>
      <w:pPr>
        <w:pStyle w:val="BodyTextIndent"/>
        <w:ind w:hanging="564" w:left="1701" w:right="0"/>
        <w:rPr/>
      </w:pPr>
      <w:r>
        <w:rPr/>
        <w:t xml:space="preserve">b) </w:t>
        <w:tab/>
        <w:t>Parallel check; each checker shall receive a copy of the IDC form and the document(s).</w:t>
      </w:r>
    </w:p>
    <w:p>
      <w:pPr>
        <w:pStyle w:val="BodyTextIndent"/>
        <w:rPr/>
      </w:pPr>
      <w:r>
        <w:rPr/>
        <w:t>5/</w:t>
        <w:tab/>
        <w:t>Document number of document subject to IDC.</w:t>
      </w:r>
    </w:p>
    <w:p>
      <w:pPr>
        <w:pStyle w:val="BodyTextIndent"/>
        <w:rPr/>
      </w:pPr>
      <w:r>
        <w:rPr/>
        <w:t>6/</w:t>
        <w:tab/>
        <w:t>Revision of document to be subjected to IDC</w:t>
      </w:r>
    </w:p>
    <w:p>
      <w:pPr>
        <w:pStyle w:val="BodyTextIndent"/>
        <w:rPr/>
      </w:pPr>
      <w:r>
        <w:rPr/>
        <w:t>7/</w:t>
        <w:tab/>
        <w:t>Title of document to be subjected to IDC.</w:t>
      </w:r>
    </w:p>
    <w:p>
      <w:pPr>
        <w:pStyle w:val="BodyTextIndent"/>
        <w:rPr/>
      </w:pPr>
      <w:r>
        <w:rPr/>
        <w:t>8/</w:t>
        <w:tab/>
        <w:t>Name of checker(s).</w:t>
      </w:r>
    </w:p>
    <w:p>
      <w:pPr>
        <w:pStyle w:val="BodyTextIndent"/>
        <w:rPr/>
      </w:pPr>
      <w:r>
        <w:rPr/>
        <w:t>9/</w:t>
        <w:tab/>
        <w:t>Date by which the check has to be completed and returned to the originator.</w:t>
      </w:r>
    </w:p>
    <w:p>
      <w:pPr>
        <w:pStyle w:val="BodyTextIndent"/>
        <w:rPr/>
      </w:pPr>
      <w:r>
        <w:rPr/>
        <w:t>10/</w:t>
        <w:tab/>
        <w:t>Review code on document level</w:t>
      </w:r>
    </w:p>
    <w:p>
      <w:pPr>
        <w:pStyle w:val="BodyTextIndent"/>
        <w:rPr/>
      </w:pPr>
      <w:r>
        <w:rPr/>
        <w:t>11/</w:t>
        <w:tab/>
        <w:t>Signature of checker on completion.</w:t>
      </w:r>
    </w:p>
    <w:p>
      <w:pPr>
        <w:pStyle w:val="BodyTextIndent"/>
        <w:rPr/>
      </w:pPr>
      <w:r>
        <w:rPr/>
        <w:t>12/</w:t>
        <w:tab/>
        <w:t>Comments or reference to comments on document(s) under IDC.</w:t>
      </w:r>
    </w:p>
    <w:p>
      <w:pPr>
        <w:pStyle w:val="BodyTextIndent"/>
        <w:rPr/>
      </w:pPr>
      <w:r>
        <w:rPr/>
      </w:r>
    </w:p>
    <w:p>
      <w:pPr>
        <w:pStyle w:val="Heading1"/>
        <w:ind w:hanging="0" w:left="567"/>
        <w:rPr/>
      </w:pPr>
      <w:r>
        <w:rPr/>
        <w:t>Attachments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of QU-F-26.</w:t>
      </w:r>
    </w:p>
    <w:p>
      <w:pPr>
        <w:pStyle w:val="Normal"/>
        <w:rPr/>
      </w:pPr>
      <w:r>
        <w:rPr/>
      </w:r>
    </w:p>
    <w:tbl>
      <w:tblPr>
        <w:tblW w:w="9436" w:type="dxa"/>
        <w:jc w:val="left"/>
        <w:tblInd w:w="-245" w:type="dxa"/>
        <w:tblLayout w:type="fixed"/>
        <w:tblCellMar>
          <w:top w:w="0" w:type="dxa"/>
          <w:left w:w="119" w:type="dxa"/>
          <w:bottom w:w="0" w:type="dxa"/>
          <w:right w:w="119" w:type="dxa"/>
        </w:tblCellMar>
      </w:tblPr>
      <w:tblGrid>
        <w:gridCol w:w="1701"/>
        <w:gridCol w:w="1591"/>
        <w:gridCol w:w="1866"/>
        <w:gridCol w:w="1316"/>
        <w:gridCol w:w="1275"/>
        <w:gridCol w:w="426"/>
        <w:gridCol w:w="1261"/>
      </w:tblGrid>
      <w:tr>
        <w:trPr>
          <w:trHeight w:val="566" w:hRule="atLeast"/>
          <w:cantSplit w:val="true"/>
        </w:trPr>
        <w:tc>
          <w:tcPr>
            <w:tcW w:w="647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Caption"/>
              <w:tabs>
                <w:tab w:val="clear" w:pos="567"/>
                <w:tab w:val="left" w:pos="-720" w:leader="none"/>
                <w:tab w:val="left" w:pos="0" w:leader="none"/>
                <w:tab w:val="left" w:pos="720" w:leader="none"/>
              </w:tabs>
              <w:suppressAutoHyphens w:val="true"/>
              <w:spacing w:lineRule="exact" w:line="1" w:before="90" w:after="0"/>
              <w:ind w:left="823" w:right="806"/>
              <w:jc w:val="center"/>
              <w:rPr>
                <w:rFonts w:ascii="Arial" w:hAnsi="Arial" w:cs="Arial"/>
                <w:vanish/>
                <w:sz w:val="20"/>
              </w:rPr>
            </w:pPr>
            <w:r>
              <w:rPr>
                <w:rFonts w:cs="Arial" w:ascii="Arial" w:hAnsi="Arial"/>
                <w:vanish/>
                <w:sz w:val="20"/>
              </w:rPr>
              <w:fldChar w:fldCharType="begin"/>
            </w:r>
            <w:r>
              <w:rPr>
                <w:sz w:val="20"/>
                <w:vanish/>
                <w:rFonts w:cs="Arial" w:ascii="Arial" w:hAnsi="Arial"/>
              </w:rPr>
              <w:instrText xml:space="preserve"> SEQ _endnote \* ARABIC </w:instrText>
            </w:r>
            <w:r>
              <w:rPr>
                <w:sz w:val="20"/>
                <w:vanish/>
                <w:rFonts w:cs="Arial" w:ascii="Arial" w:hAnsi="Arial"/>
              </w:rPr>
              <w:fldChar w:fldCharType="separate"/>
            </w:r>
            <w:r>
              <w:rPr>
                <w:sz w:val="20"/>
                <w:vanish/>
                <w:rFonts w:cs="Arial" w:ascii="Arial" w:hAnsi="Arial"/>
              </w:rPr>
              <w:t>1</w:t>
            </w:r>
            <w:r>
              <w:rPr>
                <w:sz w:val="20"/>
                <w:vanish/>
                <w:rFonts w:cs="Arial" w:ascii="Arial" w:hAnsi="Arial"/>
              </w:rPr>
              <w:fldChar w:fldCharType="end"/>
            </w:r>
          </w:p>
          <w:p>
            <w:pPr>
              <w:pStyle w:val="Normal"/>
              <w:tabs>
                <w:tab w:val="clear" w:pos="567"/>
                <w:tab w:val="center" w:pos="1805" w:leader="none"/>
              </w:tabs>
              <w:suppressAutoHyphens w:val="true"/>
              <w:jc w:val="center"/>
              <w:rPr>
                <w:rFonts w:ascii="Arial" w:hAnsi="Arial" w:cs="Arial"/>
                <w:vanish/>
                <w:sz w:val="20"/>
              </w:rPr>
            </w:pPr>
            <w:r>
              <w:rPr>
                <w:rFonts w:cs="Arial"/>
                <w:vanish/>
                <w:sz w:val="20"/>
              </w:rPr>
            </w:r>
          </w:p>
          <w:p>
            <w:pPr>
              <w:pStyle w:val="Normal"/>
              <w:tabs>
                <w:tab w:val="clear" w:pos="567"/>
                <w:tab w:val="center" w:pos="1805" w:leader="none"/>
              </w:tabs>
              <w:suppressAutoHyphens w:val="true"/>
              <w:rPr/>
            </w:pPr>
            <w:r>
              <w:rPr/>
              <w:t>TITLE PROJECT</w:t>
              <w:tab/>
              <w:t xml:space="preserve"> [if applicable]: </w:t>
            </w:r>
          </w:p>
          <w:p>
            <w:pPr>
              <w:pStyle w:val="Normal"/>
              <w:tabs>
                <w:tab w:val="clear" w:pos="567"/>
                <w:tab w:val="left" w:pos="-720" w:leader="none"/>
              </w:tabs>
              <w:suppressAutoHyphens w:val="true"/>
              <w:spacing w:before="0" w:after="54"/>
              <w:jc w:val="center"/>
              <w:rPr/>
            </w:pPr>
            <w:r>
              <w:rPr/>
            </w:r>
          </w:p>
        </w:tc>
        <w:tc>
          <w:tcPr>
            <w:tcW w:w="29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103" w:leader="none"/>
                <w:tab w:val="left" w:pos="2160" w:leader="none"/>
                <w:tab w:val="left" w:pos="26192" w:leader="none"/>
              </w:tabs>
              <w:suppressAutoHyphens w:val="true"/>
              <w:spacing w:before="90" w:after="0"/>
              <w:ind w:hanging="1474" w:left="1474" w:right="0"/>
              <w:rPr/>
            </w:pPr>
            <w:r>
              <w:rPr/>
              <w:t>IDC no.</w:t>
              <w:tab/>
              <w:tab/>
              <w:t>: [1]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clear" w:pos="567"/>
                <w:tab w:val="left" w:pos="739" w:leader="none"/>
                <w:tab w:val="left" w:pos="1103" w:leader="none"/>
                <w:tab w:val="center" w:pos="1483" w:leader="none"/>
                <w:tab w:val="left" w:pos="26529" w:leader="none"/>
              </w:tabs>
              <w:suppressAutoHyphens w:val="true"/>
              <w:spacing w:before="0" w:after="54"/>
              <w:ind w:hanging="1474" w:left="1474" w:right="0"/>
              <w:rPr/>
            </w:pPr>
            <w:r>
              <w:rPr/>
              <w:t>Date</w:t>
              <w:tab/>
              <w:tab/>
              <w:t>: [2]</w:t>
            </w:r>
          </w:p>
        </w:tc>
      </w:tr>
      <w:tr>
        <w:trPr/>
        <w:tc>
          <w:tcPr>
            <w:tcW w:w="94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5E5E5" w:val="clear"/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center" w:pos="4982" w:leader="none"/>
              </w:tabs>
              <w:suppressAutoHyphens w:val="true"/>
              <w:spacing w:before="90" w:after="54"/>
              <w:rPr>
                <w:b/>
              </w:rPr>
            </w:pPr>
            <w:r>
              <w:rPr>
                <w:b/>
              </w:rPr>
              <w:tab/>
              <w:t>INTER-DISCIPLINE CHECK</w:t>
            </w:r>
          </w:p>
        </w:tc>
      </w:tr>
      <w:tr>
        <w:trPr/>
        <w:tc>
          <w:tcPr>
            <w:tcW w:w="774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Requested by:  [3]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0" w:after="54"/>
              <w:rPr/>
            </w:pPr>
            <w:r>
              <w:rPr/>
            </w:r>
          </w:p>
        </w:tc>
        <w:tc>
          <w:tcPr>
            <w:tcW w:w="16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0" w:after="54"/>
              <w:ind w:left="9" w:right="0"/>
              <w:rPr/>
            </w:pPr>
            <w:r>
              <w:rPr/>
              <w:t>[4]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3" w:leader="none"/>
                <w:tab w:val="left" w:pos="1475" w:leader="none"/>
                <w:tab w:val="left" w:pos="2160" w:leader="none"/>
              </w:tabs>
              <w:suppressAutoHyphens w:val="true"/>
              <w:spacing w:before="0" w:after="54"/>
              <w:ind w:left="9" w:right="0"/>
              <w:rPr/>
            </w:pPr>
            <w:r>
              <w:rPr>
                <w:sz w:val="18"/>
              </w:rPr>
              <w:t>Parallel check</w:t>
            </w:r>
            <w:r>
              <w:rPr/>
              <w:t xml:space="preserve"> </w:t>
            </w:r>
            <w:r>
              <w:fldChar w:fldCharType="begin">
                <w:ffData>
                  <w:name w:val="Unnamed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Unnamed"/>
            <w:bookmarkStart w:id="1" w:name="Unnamed"/>
            <w:bookmarkEnd w:id="1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0" w:after="54"/>
              <w:ind w:left="9" w:right="0"/>
              <w:rPr/>
            </w:pPr>
            <w:r>
              <w:rPr>
                <w:sz w:val="18"/>
              </w:rPr>
              <w:t>Serial check</w:t>
            </w:r>
            <w:r>
              <w:rPr/>
              <w:t xml:space="preserve">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" w:name="Check1"/>
            <w:bookmarkStart w:id="3" w:name="Check1"/>
            <w:bookmarkEnd w:id="3"/>
            <w:r/>
            <w:r>
              <w:rPr/>
              <w:fldChar w:fldCharType="end"/>
            </w: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Doc. No.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Rev. No.</w:t>
            </w:r>
          </w:p>
        </w:tc>
        <w:tc>
          <w:tcPr>
            <w:tcW w:w="488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Document Title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ind w:left="7" w:right="0"/>
              <w:rPr/>
            </w:pPr>
            <w:r>
              <w:rPr/>
              <w:t>Review Box*</w:t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[5]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[6]</w:t>
            </w:r>
          </w:p>
        </w:tc>
        <w:tc>
          <w:tcPr>
            <w:tcW w:w="488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[7]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[10]</w:t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88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88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88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88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88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88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>
          <w:trHeight w:val="230" w:hRule="atLeast"/>
          <w:cantSplit w:val="true"/>
        </w:trPr>
        <w:tc>
          <w:tcPr>
            <w:tcW w:w="94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tcMar>
              <w:left w:w="120" w:type="dxa"/>
              <w:right w:w="120" w:type="dxa"/>
            </w:tcMar>
            <w:vAlign w:val="center"/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jc w:val="center"/>
              <w:rPr/>
            </w:pPr>
            <w:r>
              <w:rPr/>
              <w:t>Interfaced Party(ies)</w:t>
            </w:r>
          </w:p>
        </w:tc>
      </w:tr>
      <w:tr>
        <w:trPr/>
        <w:tc>
          <w:tcPr>
            <w:tcW w:w="51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54"/>
              <w:rPr/>
            </w:pPr>
            <w:r>
              <w:rPr/>
              <w:t>[8]</w:t>
            </w:r>
          </w:p>
        </w:tc>
        <w:tc>
          <w:tcPr>
            <w:tcW w:w="42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51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2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51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2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51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2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51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42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</w:tr>
      <w:tr>
        <w:trPr/>
        <w:tc>
          <w:tcPr>
            <w:tcW w:w="51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0"/>
              <w:rPr/>
            </w:pPr>
            <w:r>
              <w:rPr/>
              <w:t>* Review Definitions (to be used in the review box)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0"/>
              <w:rPr/>
            </w:pPr>
            <w:r>
              <w:rPr/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80" w:after="0"/>
              <w:rPr/>
            </w:pPr>
            <w:r>
              <w:rPr/>
              <w:t xml:space="preserve">RNC </w:t>
              <w:tab/>
              <w:t xml:space="preserve">= </w:t>
              <w:tab/>
              <w:t>Reviewed, No Comments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31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80" w:after="0"/>
              <w:rPr/>
            </w:pPr>
            <w:r>
              <w:rPr/>
              <w:t xml:space="preserve">RWC </w:t>
              <w:tab/>
              <w:t>=</w:t>
              <w:tab/>
              <w:t>Reviewed With Comments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80" w:after="60"/>
              <w:rPr/>
            </w:pPr>
            <w:r>
              <w:rPr/>
              <w:t>RRJ</w:t>
              <w:tab/>
              <w:t>=</w:t>
              <w:tab/>
              <w:t>Reviewed, Rejected</w:t>
            </w:r>
          </w:p>
        </w:tc>
        <w:tc>
          <w:tcPr>
            <w:tcW w:w="42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0"/>
              <w:rPr/>
            </w:pPr>
            <w:r>
              <w:rPr/>
              <w:t>Signature : [11]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0"/>
              <w:rPr/>
            </w:pPr>
            <w:r>
              <w:rPr/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0"/>
              <w:rPr/>
            </w:pPr>
            <w:r>
              <w:rPr/>
              <w:t>Name</w:t>
              <w:tab/>
              <w:t>:</w:t>
              <w:tab/>
              <w:tab/>
              <w:tab/>
              <w:tab/>
              <w:t>(in capitals)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0"/>
              <w:rPr/>
            </w:pPr>
            <w:r>
              <w:rPr/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60"/>
              <w:rPr/>
            </w:pPr>
            <w:r>
              <w:rPr/>
              <w:t>Date:</w:t>
            </w:r>
          </w:p>
        </w:tc>
      </w:tr>
      <w:tr>
        <w:trPr/>
        <w:tc>
          <w:tcPr>
            <w:tcW w:w="94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90" w:after="0"/>
              <w:rPr/>
            </w:pPr>
            <w:r>
              <w:rPr/>
              <w:t>Note(s): [12]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0" w:after="54"/>
              <w:rPr/>
            </w:pPr>
            <w:r>
              <w:rPr/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0" w:after="54"/>
              <w:rPr/>
            </w:pPr>
            <w:r>
              <w:rPr/>
            </w:r>
          </w:p>
        </w:tc>
      </w:tr>
      <w:tr>
        <w:trPr/>
        <w:tc>
          <w:tcPr>
            <w:tcW w:w="94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</w:tcPr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napToGrid w:val="false"/>
              <w:rPr/>
            </w:pPr>
            <w:r>
              <w:rPr/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rPr/>
            </w:pPr>
            <w:r>
              <w:rPr/>
              <w:t xml:space="preserve">Please return this IDC form plus relevant document(s) to:  </w:t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clear" w:pos="567"/>
                <w:tab w:val="left" w:pos="-1440" w:leader="none"/>
                <w:tab w:val="left" w:pos="-720" w:leader="none"/>
                <w:tab w:val="left" w:pos="0" w:leader="none"/>
                <w:tab w:val="left" w:pos="720" w:leader="none"/>
                <w:tab w:val="left" w:pos="1256" w:leader="none"/>
                <w:tab w:val="left" w:pos="1475" w:leader="none"/>
                <w:tab w:val="left" w:pos="2160" w:leader="none"/>
              </w:tabs>
              <w:suppressAutoHyphens w:val="true"/>
              <w:spacing w:before="0" w:after="54"/>
              <w:rPr/>
            </w:pPr>
            <w:r>
              <w:rPr/>
              <w:t>no later than   :  [9]</w:t>
            </w:r>
          </w:p>
        </w:tc>
      </w:tr>
    </w:tbl>
    <w:p>
      <w:pPr>
        <w:pStyle w:val="Normal"/>
        <w:tabs>
          <w:tab w:val="clear" w:pos="567"/>
          <w:tab w:val="right" w:pos="10206" w:leader="none"/>
        </w:tabs>
        <w:suppressAutoHyphens w:val="true"/>
        <w:rPr>
          <w:sz w:val="2"/>
        </w:rPr>
      </w:pPr>
      <w:r>
        <w:rPr>
          <w:sz w:val="2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985" w:right="1417" w:gutter="0" w:header="851" w:top="3119" w:footer="1067" w:bottom="153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BodyTextIndent"/>
        <w:ind w:left="0" w:right="0"/>
        <w:rPr/>
      </w:pPr>
      <w:r>
        <w:rPr/>
      </w:r>
    </w:p>
    <w:sectPr>
      <w:type w:val="continuous"/>
      <w:pgSz w:w="11906" w:h="16838"/>
      <w:pgMar w:left="1985" w:right="1417" w:gutter="0" w:header="851" w:top="3119" w:footer="1067" w:bottom="1531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</w:tabs>
      <w:ind w:left="-567" w:right="-567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/mnt/data/phase1/work/SHANFARI_PHASE_1_ORIGINAL_46_DOCS/QUALITY/QU-W-07-Work-Instruction-Inter-Discipline-Check-IDC.DOC</w:t>
    </w:r>
    <w:r>
      <w:rPr>
        <w:sz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left"/>
      <w:tblInd w:w="-45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35"/>
      <w:gridCol w:w="3969"/>
      <w:gridCol w:w="2835"/>
    </w:tblGrid>
    <w:tr>
      <w:trPr>
        <w:trHeight w:val="1701" w:hRule="exact"/>
      </w:trPr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spacing w:before="280" w:after="0"/>
            <w:ind w:left="-108" w:right="0"/>
            <w:jc w:val="center"/>
            <w:rPr/>
          </w:pPr>
          <w:r>
            <w:rPr/>
            <w:drawing>
              <wp:inline distT="0" distB="0" distL="0" distR="0">
                <wp:extent cx="500000" cy="500000"/>
                <wp:effectExtent l="0" t="0" r="0" b="0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4" t="-132" r="-24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tabs>
              <w:tab w:val="clear" w:pos="4320"/>
              <w:tab w:val="clear" w:pos="8640"/>
            </w:tabs>
            <w:rPr/>
          </w:pPr>
          <w:r>
            <w:rPr/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COMPANY MANAGEMENT SYSTEM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Part 2 – Primary Process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</w:rPr>
          </w:pPr>
          <w:r>
            <w:rPr>
              <w:b/>
              <w:sz w:val="22"/>
            </w:rPr>
            <w:t xml:space="preserve">Work instruction </w:t>
          </w:r>
        </w:p>
        <w:p>
          <w:pPr>
            <w:pStyle w:val="Normal"/>
            <w:spacing w:before="120" w:after="0"/>
            <w:ind w:left="-108" w:right="-62"/>
            <w:jc w:val="center"/>
            <w:rPr/>
          </w:pPr>
          <w:r>
            <w:rPr/>
            <w:t>Inter Discipline Check</w:t>
          </w:r>
        </w:p>
        <w:p>
          <w:pPr>
            <w:pStyle w:val="Header"/>
            <w:ind w:left="-108" w:right="0"/>
            <w:rPr/>
          </w:pPr>
          <w:r>
            <w:rPr/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Doc. No.</w:t>
          </w:r>
          <w:r>
            <w:rPr>
              <w:b/>
            </w:rPr>
            <w:tab/>
            <w:t>: QU-W-07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Rev.</w:t>
            <w:tab/>
            <w:t>: 00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Date</w:t>
            <w:tab/>
            <w:t>: 28 Feb 2000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Author</w:t>
            <w:tab/>
            <w:t>: LST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Page</w:t>
            <w:tab/>
            <w:t>:</w:t>
            <w:tab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Normal"/>
      <w:ind w:left="0" w:right="0"/>
      <w:rPr>
        <w:lang w:val="en-US" w:eastAsia="en-US"/>
      </w:rPr>
    </w:pPr>
    <w:r>
      <w:rPr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7">
              <wp:simplePos x="0" y="0"/>
              <wp:positionH relativeFrom="column">
                <wp:posOffset>-379095</wp:posOffset>
              </wp:positionH>
              <wp:positionV relativeFrom="paragraph">
                <wp:posOffset>-1905</wp:posOffset>
              </wp:positionV>
              <wp:extent cx="6138545" cy="8214995"/>
              <wp:effectExtent l="5080" t="0" r="0" b="4445"/>
              <wp:wrapNone/>
              <wp:docPr id="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720" cy="8214840"/>
                        <a:chOff x="0" y="0"/>
                        <a:chExt cx="6138720" cy="8214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29000" y="432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4040" y="8214480"/>
                          <a:ext cx="61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9.85pt;margin-top:-0.15pt;width:483.3pt;height:646.8pt" coordorigin="-597,-3" coordsize="9666,12936">
              <v:line id="shape_0" from="-597,-3" to="-597,12926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9055,4" to="9055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-575,12933" to="9069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v:group>
          </w:pict>
        </mc:Fallback>
      </mc:AlternateConten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0" w:left="567" w:right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left" w:pos="567" w:leader="none"/>
      </w:tabs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left" w:pos="567" w:leader="none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left" w:pos="567" w:leader="none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567"/>
        <w:tab w:val="left" w:pos="851" w:leader="none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567"/>
        <w:tab w:val="left" w:pos="851" w:leader="none"/>
      </w:tabs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567"/>
        <w:tab w:val="left" w:pos="1701" w:leader="none"/>
      </w:tabs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WW8Num3z0">
    <w:name w:val="WW8Num3z0"/>
    <w:qFormat/>
    <w:rPr>
      <w:rFonts w:ascii="Symbol" w:hAnsi="Symbol" w:cs="Symbol"/>
      <w:color w:val="auto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color w:val="auto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Symbol" w:hAnsi="Symbol" w:cs="Symbol"/>
      <w:color w:val="auto"/>
    </w:rPr>
  </w:style>
  <w:style w:type="character" w:styleId="WW8Num9z0">
    <w:name w:val="WW8Num9z0"/>
    <w:qFormat/>
    <w:rPr>
      <w:rFonts w:ascii="Symbol" w:hAnsi="Symbol" w:cs="Symbol"/>
      <w:color w:val="auto"/>
    </w:rPr>
  </w:style>
  <w:style w:type="character" w:styleId="WW8Num10z0">
    <w:name w:val="WW8Num10z0"/>
    <w:qFormat/>
    <w:rPr>
      <w:rFonts w:ascii="Symbol" w:hAnsi="Symbol" w:cs="Symbol"/>
      <w:color w:val="auto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  <w:color w:val="auto"/>
    </w:rPr>
  </w:style>
  <w:style w:type="character" w:styleId="WW8Num14z0">
    <w:name w:val="WW8Num14z0"/>
    <w:qFormat/>
    <w:rPr>
      <w:rFonts w:ascii="Symbol" w:hAnsi="Symbol" w:cs="Symbol"/>
      <w:color w:val="auto"/>
    </w:rPr>
  </w:style>
  <w:style w:type="character" w:styleId="WW8Num15z0">
    <w:name w:val="WW8Num15z0"/>
    <w:qFormat/>
    <w:rPr>
      <w:rFonts w:ascii="Symbol" w:hAnsi="Symbol" w:cs="Symbol"/>
      <w:color w:val="auto"/>
    </w:rPr>
  </w:style>
  <w:style w:type="character" w:styleId="WW8Num16z0">
    <w:name w:val="WW8Num16z0"/>
    <w:qFormat/>
    <w:rPr>
      <w:rFonts w:ascii="Symbol" w:hAnsi="Symbol" w:cs="Symbol"/>
      <w:color w:val="auto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  <w:color w:val="auto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color w:val="auto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St26z0">
    <w:name w:val="WW8NumSt26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ind w:hanging="0" w:left="0" w:right="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widowControl w:val="false"/>
      <w:ind w:hanging="0" w:left="0" w:right="0"/>
    </w:pPr>
    <w:rPr>
      <w:rFonts w:ascii="Courier New" w:hAnsi="Courier New" w:cs="Courier New"/>
      <w:sz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TOC2">
    <w:name w:val="toc 2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1">
    <w:name w:val="toc 1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3">
    <w:name w:val="toc 3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4">
    <w:name w:val="toc 4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5">
    <w:name w:val="toc 5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6">
    <w:name w:val="toc 6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7">
    <w:name w:val="toc 7"/>
    <w:basedOn w:val="Normal"/>
    <w:next w:val="Normal"/>
    <w:pPr>
      <w:tabs>
        <w:tab w:val="clear" w:pos="567"/>
        <w:tab w:val="left" w:pos="1418" w:leader="none"/>
        <w:tab w:val="right" w:pos="8505" w:leader="dot"/>
      </w:tabs>
    </w:pPr>
    <w:rPr/>
  </w:style>
  <w:style w:type="paragraph" w:styleId="TOC8">
    <w:name w:val="toc 8"/>
    <w:basedOn w:val="Normal"/>
    <w:next w:val="Normal"/>
    <w:pPr>
      <w:tabs>
        <w:tab w:val="clear" w:pos="567"/>
        <w:tab w:val="left" w:pos="1701" w:leader="none"/>
        <w:tab w:val="right" w:pos="8505" w:leader="dot"/>
      </w:tabs>
    </w:pPr>
    <w:rPr/>
  </w:style>
  <w:style w:type="paragraph" w:styleId="TOC9">
    <w:name w:val="toc 9"/>
    <w:basedOn w:val="Normal"/>
    <w:next w:val="Normal"/>
    <w:pPr>
      <w:tabs>
        <w:tab w:val="clear" w:pos="567"/>
        <w:tab w:val="left" w:pos="1985" w:leader="none"/>
        <w:tab w:val="right" w:pos="8505" w:leader="dot"/>
      </w:tabs>
    </w:pPr>
    <w:rPr/>
  </w:style>
  <w:style w:type="paragraph" w:styleId="BodyTextIndent">
    <w:name w:val="Body Text Indent"/>
    <w:basedOn w:val="Normal"/>
    <w:pPr>
      <w:suppressAutoHyphens w:val="true"/>
      <w:ind w:hanging="0" w:left="550" w:right="0"/>
    </w:pPr>
    <w:rPr/>
  </w:style>
  <w:style w:type="paragraph" w:styleId="BodyTextIndent2">
    <w:name w:val="Body Text Indent 2"/>
    <w:basedOn w:val="Normal"/>
    <w:qFormat/>
    <w:pPr>
      <w:tabs>
        <w:tab w:val="clear" w:pos="567"/>
        <w:tab w:val="left" w:pos="927" w:leader="none"/>
      </w:tabs>
      <w:ind w:hanging="360" w:left="0" w:right="0"/>
    </w:pPr>
    <w:rPr/>
  </w:style>
  <w:style w:type="paragraph" w:styleId="BodyTextIndent3">
    <w:name w:val="Body Text Indent 3"/>
    <w:basedOn w:val="Normal"/>
    <w:qFormat/>
    <w:pPr>
      <w:ind w:hanging="1418" w:left="1985" w:righ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2002-03-05T10:53:00Z</dcterms:created>
  <dc:creator>rtonnema</dc:creator>
  <dc:description/>
  <dc:language>en-US</dc:language>
  <cp:lastModifiedBy>jbyrne</cp:lastModifiedBy>
  <cp:lastPrinted>2000-03-20T16:18:00Z</cp:lastPrinted>
  <dcterms:modified xsi:type="dcterms:W3CDTF">2003-12-05T13:50:00Z</dcterms:modified>
  <cp:revision>6</cp:revision>
  <dc:subject/>
  <dc:title>Work Instruction Inter discipline Check [IDC]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LST</vt:lpwstr>
  </property>
  <property fmtid="{D5CDD505-2E9C-101B-9397-08002B2CF9AE}" pid="3" name="Date">
    <vt:lpwstr/>
  </property>
  <property fmtid="{D5CDD505-2E9C-101B-9397-08002B2CF9AE}" pid="4" name="Department">
    <vt:lpwstr>QA/QC</vt:lpwstr>
  </property>
  <property fmtid="{D5CDD505-2E9C-101B-9397-08002B2CF9AE}" pid="5" name="Dept">
    <vt:lpwstr/>
  </property>
  <property fmtid="{D5CDD505-2E9C-101B-9397-08002B2CF9AE}" pid="6" name="Doc Owner">
    <vt:lpwstr>QA/QC</vt:lpwstr>
  </property>
  <property fmtid="{D5CDD505-2E9C-101B-9397-08002B2CF9AE}" pid="7" name="Doc type">
    <vt:lpwstr>Work Instruction</vt:lpwstr>
  </property>
  <property fmtid="{D5CDD505-2E9C-101B-9397-08002B2CF9AE}" pid="8" name="Document ID">
    <vt:lpwstr>QU-W-07</vt:lpwstr>
  </property>
  <property fmtid="{D5CDD505-2E9C-101B-9397-08002B2CF9AE}" pid="9" name="Gen">
    <vt:lpwstr/>
  </property>
  <property fmtid="{D5CDD505-2E9C-101B-9397-08002B2CF9AE}" pid="10" name="LAS">
    <vt:lpwstr/>
  </property>
  <property fmtid="{D5CDD505-2E9C-101B-9397-08002B2CF9AE}" pid="11" name="Last rev">
    <vt:lpwstr>00</vt:lpwstr>
  </property>
  <property fmtid="{D5CDD505-2E9C-101B-9397-08002B2CF9AE}" pid="12" name="MBD">
    <vt:lpwstr/>
  </property>
  <property fmtid="{D5CDD505-2E9C-101B-9397-08002B2CF9AE}" pid="13" name="Order">
    <vt:lpwstr>72500.0000000000</vt:lpwstr>
  </property>
  <property fmtid="{D5CDD505-2E9C-101B-9397-08002B2CF9AE}" pid="14" name="TN">
    <vt:lpwstr>TN</vt:lpwstr>
  </property>
  <property fmtid="{D5CDD505-2E9C-101B-9397-08002B2CF9AE}" pid="15" name="WE">
    <vt:lpwstr>WE</vt:lpwstr>
  </property>
  <property fmtid="{D5CDD505-2E9C-101B-9397-08002B2CF9AE}" pid="16" name="WP">
    <vt:lpwstr>WP</vt:lpwstr>
  </property>
</Properties>
</file>