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Eliminating Serialization Leakage and Recovering Fine-Grained Multiclass Discrimination in IIoT Intrusion Detection via Privacy-Preserving Protocol-Header Structural Feature Engineering</w:t>
      </w:r>
    </w:p>
    <w:p>
      <w:pPr>
        <w:jc w:val="center"/>
      </w:pPr>
      <w:r>
        <w:rPr>
          <w:b/>
          <w:sz w:val="23"/>
        </w:rPr>
        <w:t>Hamdan Ali</w:t>
        <w:br/>
      </w:r>
      <w:r>
        <w:rPr>
          <w:i/>
          <w:sz w:val="20"/>
        </w:rPr>
        <w:t>Department of Creative Technologies (Software Engineering), Faculty of Computing and Artificial Intelligence</w:t>
        <w:br/>
        <w:t>Air University, Islamabad, Pakistan</w:t>
        <w:br/>
        <w:t>Roll No.: 233120  |  Section: F-23-BSSE-B  |  Email: Hamdanaly651@gmail.com</w:t>
      </w:r>
    </w:p>
    <w:p>
      <w:pPr>
        <w:spacing w:before="160" w:after="60"/>
      </w:pPr>
      <w:r>
        <w:rPr>
          <w:b/>
          <w:i/>
          <w:sz w:val="21"/>
        </w:rPr>
        <w:t>Abstract</w:t>
      </w:r>
    </w:p>
    <w:p>
      <w:pPr>
        <w:jc w:val="both"/>
      </w:pPr>
      <w:r>
        <w:t xml:space="preserve">Machine learning-based Intrusion Detection Systems (IDS) evaluated on public Industrial Internet of Things (IIoT) benchmarks frequently report near-perfect classification accuracies ($&gt;99.8\%$). However, a forensic packet- and file-level audit of the widely adopted </w:t>
      </w:r>
      <w:r>
        <w:rPr>
          <w:b/>
        </w:rPr>
        <w:t>Edge-IIoTset</w:t>
      </w:r>
      <w:r>
        <w:t xml:space="preserve"> benchmark conducted in this study reveals that such figures are substantially inflated by three previously undocumented or under-addressed dataset artifacts: (i) </w:t>
      </w:r>
      <w:r>
        <w:rPr>
          <w:b/>
        </w:rPr>
        <w:t>mixed-type CSV serialization leakage</w:t>
      </w:r>
      <w:r>
        <w:t xml:space="preserve">, where numeric zero values across five HTTP and MQTT protocol fields (http.request.method, http.referer, http.request.version, mqtt.conack.flags, and mqtt.protoname) are unevenly serialized as string "0" versus floating-point "0.0" across attack capture files due to multi-chunk pandas concatenation; (ii) </w:t>
      </w:r>
      <w:r>
        <w:rPr>
          <w:b/>
        </w:rPr>
        <w:t>TShark delimiter-shift corruption</w:t>
      </w:r>
      <w:r>
        <w:t xml:space="preserve">, where unescaped commas inside multicast DNS query strings shift string literals into numeric length columns (dns.qry.name.len); and (iii) </w:t>
      </w:r>
      <w:r>
        <w:rPr>
          <w:b/>
        </w:rPr>
        <w:t>testbed topology memorization</w:t>
      </w:r>
      <w:r>
        <w:t xml:space="preserve"> via static IP addresses, capture timestamps, and raw hexadecimal payloads. Conversely, when recent studies strip all 15 identifier, port, and raw payload columns to enforce network-agnostic generalization, 15-class classification accuracy collapses to $84\%\text{--}88\%$ due to severe confusion among application-layer web attacks (SQL_injection, XSS, Uploading, Password) and transport-layer DDoS_HTTP. To resolve this accuracy–generalization trade-off without reintroducing identity leakage, we propose </w:t>
      </w:r>
      <w:r>
        <w:rPr>
          <w:b/>
        </w:rPr>
        <w:t>Privacy-Preserving Protocol-Header Structural Feature Engineering (PP-PSFE)</w:t>
      </w:r>
      <w:r>
        <w:t xml:space="preserve">, a deterministic transformation framework that extracts 24 non-identifying structural, geometric, and information-theoretic features—including canonical service/ephemeral port disentanglement, TCP option byte-length and timestamp indicators, Shannon byte entropy of raw TCP payloads, and application-layer URI query/payload boundary metrics—prior to discarding raw identifiers. Combined with 38 sanitized core protocol fields ($d=62$ total features across $N=152,386$ deduplicated flows), we conduct a strictly leakage-free stratified benchmark of four distinct learning paradigms: Multinomial Logistic Regression, Random Forest, LightGBM, and Regularized Second-Order XGBoost. Experimental results demonstrate that while the linear baseline plateaus at $84.87\%$ test accuracy ($0.8419$ Macro-F1), </w:t>
      </w:r>
      <w:r>
        <w:rPr>
          <w:b/>
        </w:rPr>
        <w:t>PP-PSFE + XGBoost</w:t>
      </w:r>
      <w:r>
        <w:t xml:space="preserve"> achieves </w:t>
      </w:r>
      <w:r>
        <w:rPr>
          <w:b/>
        </w:rPr>
        <w:t>$96.49\%$ test accuracy</w:t>
      </w:r>
      <w:r>
        <w:t xml:space="preserve">, </w:t>
      </w:r>
      <w:r>
        <w:rPr>
          <w:b/>
        </w:rPr>
        <w:t>$0.9618$ Macro-F1</w:t>
      </w:r>
      <w:r>
        <w:t xml:space="preserve">, </w:t>
      </w:r>
      <w:r>
        <w:rPr>
          <w:b/>
        </w:rPr>
        <w:t>$0.9991$ weighted ROC-AUC</w:t>
      </w:r>
      <w:r>
        <w:t xml:space="preserve">, and </w:t>
      </w:r>
      <w:r>
        <w:rPr>
          <w:b/>
        </w:rPr>
        <w:t>$0.9874$ Macro PR-AUC</w:t>
      </w:r>
      <w:r>
        <w:t xml:space="preserve"> with a minimal $+0.0057$ generalization gap and $3.54\text{ ms}$ batch inference latency per $1,000$ flows. Exact game-theoretic </w:t>
      </w:r>
      <w:r>
        <w:rPr>
          <w:b/>
        </w:rPr>
        <w:t>TreeSHAP</w:t>
      </w:r>
      <w:r>
        <w:t xml:space="preserve"> attribution confirms that our engineered PP-PSFE features contribute </w:t>
      </w:r>
      <w:r>
        <w:rPr>
          <w:b/>
        </w:rPr>
        <w:t>$57.1\%$ of total marginal log-odds magnitude</w:t>
      </w:r>
      <w:r>
        <w:t xml:space="preserve"> ($73.88\%$ of total split-gain importance). Finally, to bridge academic evaluation and industrial deployment, the fitted preprocessing-and-inference pipeline is packaged into a zero-leakage full-stack microservice architecture (</w:t>
      </w:r>
      <w:r>
        <w:rPr>
          <w:b/>
        </w:rPr>
        <w:t>Flask REST API + Angular 22 standalone diagnostic interface + automated GitHub Actions CI/CD</w:t>
      </w:r>
      <w:r>
        <w:t>).</w:t>
      </w:r>
    </w:p>
    <w:p>
      <w:pPr>
        <w:jc w:val="both"/>
      </w:pPr>
      <w:r/>
      <w:r>
        <w:rPr>
          <w:b/>
        </w:rPr>
        <w:t>Index Terms</w:t>
      </w:r>
      <w:r>
        <w:t>—Industrial Internet of Things (IIoT), Intrusion Detection System (IDS), Edge-IIoTset, Data Leakage Sanitization, Protocol-Header Feature Engineering, Gradient Boosted Decision Trees, XGBoost, Explainable AI (TreeSHAP), Full-Stack MLOps.</w:t>
      </w:r>
    </w:p>
    <w:p>
      <w:pPr>
        <w:spacing w:before="240" w:after="80"/>
      </w:pPr>
      <w:r>
        <w:rPr>
          <w:b/>
          <w:sz w:val="23"/>
        </w:rPr>
        <w:t>I. INTRODUCTION</w:t>
      </w:r>
    </w:p>
    <w:p>
      <w:pPr>
        <w:jc w:val="both"/>
      </w:pPr>
      <w:r>
        <w:t>The rapid convergence of Operational Technology (OT) and Information Technology (IT) within modern smart manufacturing, automated power grids, and industrial telemetry networks has exposed formerly air-gapped Programmable Logic Controllers (PLCs), Message Queuing Telemetry Transport (MQTT) brokers, and edge gateways to sophisticated multi-vector cyberattacks [1], [2]. Unlike conventional enterprise networks where traffic is dominated by high-entropy encrypted web browsing, Industrial IoT (IIoT) edge segments carry heterogeneous, latency-sensitive machine-to-machine (M2M) flows spanning lightweight publish-subscribe telemetry (MQTT over TCP port 1883), Modbus/TCP register polling, address resolution (ARP), multicast service discovery (mDNS), and RESTful supervisory HTTP APIs [3]. A single compromised edge sensor or gateway can serve as a pivot point for volumetric transport-layer denial-of-service (DDoS_TCP, DDoS_UDP, DDoS_ICMP), reconnaissance (Port_Scanning, Fingerprinting, Vulnerability_scanner), credential brute-forcing (Password), web application exploitation (SQL_injection, XSS, Uploading), or remote command-and-control (Backdoor, Ransomware) [4].</w:t>
      </w:r>
    </w:p>
    <w:p>
      <w:pPr>
        <w:jc w:val="both"/>
      </w:pPr>
      <w:r>
        <w:t xml:space="preserve">To evaluate data-driven Intrusion Detection Systems (IDS) under realistic multi-protocol conditions, Ferrag *et al.* [4] introduced </w:t>
      </w:r>
      <w:r>
        <w:rPr>
          <w:b/>
        </w:rPr>
        <w:t>Edge-IIoTset</w:t>
      </w:r>
      <w:r>
        <w:t>, a comprehensive seven-layer testbed dataset encompassing more than 10 IoT sensor types and 14 distinct cyberattack categories alongside benign telemetry. Since its release, Edge-IIoTset has become one of the primary benchmarks for evaluating tree ensembles, deep neural networks (DNNs), convolutional-recurrent architectures (CNN-LSTM), and transformer-based traffic classifiers [5]–[10].</w:t>
      </w:r>
    </w:p>
    <w:p>
      <w:pPr>
        <w:spacing w:before="160" w:after="60"/>
      </w:pPr>
      <w:r>
        <w:rPr>
          <w:b/>
          <w:i/>
          <w:sz w:val="21"/>
        </w:rPr>
        <w:t>A. The Illusion of Near-Perfect Benchmark Accuracy</w:t>
      </w:r>
    </w:p>
    <w:p>
      <w:pPr>
        <w:jc w:val="both"/>
      </w:pPr>
      <w:r>
        <w:t>Despite the proliferation of studies reporting $99.5\%\text{--}99.99\%$ 15-class accuracy on Edge-IIoTset, industrial security practitioners repeatedly observe that models trained on public packet-capture (PCAP) benchmarks fail catastrophically when deployed on live edge gateways whose IP subnetting, capture window, or ephemeral port allocation differs from the laboratory testbed [11], [12]. Rather than accepting published benchmark numbers at face value, we began this investigation with a low-level forensic inspection of the raw Edge-IIoTset CSV distributions (ML-EdgeIIoT-dataset.csv, DNN-EdgeIIoT-dataset.csv, and the underlying 24 per-attack and per-sensor capture files).</w:t>
      </w:r>
    </w:p>
    <w:p>
      <w:pPr>
        <w:jc w:val="both"/>
      </w:pPr>
      <w:r>
        <w:t>Our forensic audit uncovered three severe structural pathologies that invalidate naive feature ingestion:</w:t>
      </w:r>
    </w:p>
    <w:p>
      <w:pPr>
        <w:jc w:val="both"/>
      </w:pPr>
      <w:r>
        <w:t xml:space="preserve">1. </w:t>
      </w:r>
      <w:r>
        <w:rPr>
          <w:b/>
        </w:rPr>
        <w:t>Mixed-Type CSV Serialization Leakage ("0" vs. "0.0"):</w:t>
      </w:r>
      <w:r>
        <w:t xml:space="preserve"> In ML-EdgeIIoT-dataset.csv ($157,800$ rows, $63$ columns), pandas.read_csv(..., low_memory=True) emits a DtypeWarning on columns $14, 15, 16, 17, 25, 27, 30, 50,$ and $51$. By inspecting the raw byte strings across individual class slices, we discovered that when the dataset authors concatenated separate PCAP-derived CSV files, missing protocol fields (padded with numeric zero) were exported as floating-point "0.0" in predominantly numeric chunks (e.g., $100\%$ of DDoS_UDP and DDoS_ICMP records, and $99.9\%$ of Normal records in http.request.method), but exported as integer string "0" in chunks containing string protocol values (e.g., $93.5\%$ of DDoS_HTTP and $96.8\%$ of XSS records). When researchers apply standard LabelEncoder or OneHotEncoder directly to df[col].astype(str), "0" and "0.0" are assigned </w:t>
      </w:r>
      <w:r>
        <w:rPr>
          <w:b/>
        </w:rPr>
        <w:t>two distinct category indices</w:t>
      </w:r>
      <w:r>
        <w:t>. Any tree ensemble or neural network immediately exploits this file-export artifact as a shortcut to separate attack classes without learning genuine network behavior.</w:t>
      </w:r>
    </w:p>
    <w:p>
      <w:pPr>
        <w:jc w:val="both"/>
      </w:pPr>
      <w:r>
        <w:t xml:space="preserve">2. </w:t>
      </w:r>
      <w:r>
        <w:rPr>
          <w:b/>
        </w:rPr>
        <w:t>TShark CSV Delimiter-Shift Corruption:</w:t>
      </w:r>
      <w:r>
        <w:t xml:space="preserve"> In exactly $93$ records (predominantly within Normal and MITM captures), unquoted commas embedded inside multicast DNS query strings ("_googlecast._tcp.local,...") caused TShark's CSV exporter to shift subsequent fields one column to the right. Consequently, string literals such as "_googlecast._tcp.local" and "null" were injected directly into the numeric length column dns.qry.name.len, while floating-point values ("2.0") spilled into dns.qry.qu.</w:t>
      </w:r>
    </w:p>
    <w:p>
      <w:pPr>
        <w:jc w:val="both"/>
      </w:pPr>
      <w:r>
        <w:t xml:space="preserve">3. </w:t>
      </w:r>
      <w:r>
        <w:rPr>
          <w:b/>
        </w:rPr>
        <w:t>The Sanitization–Accuracy Collapse Dilemma:</w:t>
      </w:r>
      <w:r>
        <w:t xml:space="preserve"> When rigorous methodology is applied—dropping static testbed identifiers (ip.src_host, ip.dst_host, arp.src.proto_ipv4, arp.dst.proto_ipv4), capture timestamps (frame.time), raw hexadecimal payloads (tcp.payload, tcp.options, http.file_data), and raw URI strings (http.request.full_uri, http.request.uri.query), alongside 8 zero-variance columns—the remaining 38 core protocol headers lose the structural discriminators needed to separate application-layer attacks. As demonstrated in our baseline experiments, a sanitized 38-feature pipeline suffers heavy mutual confusion among SQL_injection, XSS, Uploading, Password, and DDoS_HTTP, pulling linear classification accuracy down to $84.87\%$.</w:t>
      </w:r>
    </w:p>
    <w:p>
      <w:pPr>
        <w:spacing w:before="160" w:after="60"/>
      </w:pPr>
      <w:r>
        <w:rPr>
          <w:b/>
          <w:i/>
          <w:sz w:val="21"/>
        </w:rPr>
        <w:t>B. Research Contributions</w:t>
      </w:r>
    </w:p>
    <w:p>
      <w:pPr>
        <w:jc w:val="both"/>
      </w:pPr>
      <w:r>
        <w:t xml:space="preserve">To solve this fundamental tension between </w:t>
      </w:r>
      <w:r>
        <w:rPr>
          <w:b/>
        </w:rPr>
        <w:t>zero-leakage generalization</w:t>
      </w:r>
      <w:r>
        <w:t xml:space="preserve"> and </w:t>
      </w:r>
      <w:r>
        <w:rPr>
          <w:b/>
        </w:rPr>
        <w:t>fine-grained 15-class attack discrimination</w:t>
      </w:r>
      <w:r>
        <w:t>, this paper makes four concrete contributions:</w:t>
      </w:r>
    </w:p>
    <w:p>
      <w:pPr>
        <w:jc w:val="both"/>
      </w:pPr>
      <w:r>
        <w:t xml:space="preserve">1. </w:t>
      </w:r>
      <w:r>
        <w:rPr>
          <w:b/>
        </w:rPr>
        <w:t>Forensic Dataset Audit &amp; Canonical Sanitization Protocol:</w:t>
      </w:r>
      <w:r>
        <w:t xml:space="preserve"> We provide the first explicit quantitative breakdown of the "0" vs. "0.0" chunk-serialization leakage and TShark column-shift corruption in Edge-IIoTset, formulating a deterministic sanitization operator that unifies numeric-zero representations, repairs corrupted numeric columns, removes 8 constant zero-variance fields, and eliminates $5,414$ post-sanitization duplicate flows ($157,800 \rightarrow 152,386$ unique flows).</w:t>
      </w:r>
    </w:p>
    <w:p>
      <w:pPr>
        <w:jc w:val="both"/>
      </w:pPr>
      <w:r>
        <w:t xml:space="preserve">2. </w:t>
      </w:r>
      <w:r>
        <w:rPr>
          <w:b/>
        </w:rPr>
        <w:t>Privacy-Preserving Protocol-Header Structural Feature Engineering (PP-PSFE):</w:t>
      </w:r>
      <w:r>
        <w:t xml:space="preserve"> Rather than discarding raw port and payload columns outright or memorizing raw strings, we design 24 domain-grounded structural features ($d=62$ total features) that capture: (a) </w:t>
      </w:r>
      <w:r>
        <w:rPr>
          <w:b/>
        </w:rPr>
        <w:t>canonical service versus ephemeral port geometry</w:t>
      </w:r>
      <w:r>
        <w:t xml:space="preserve"> ($\min/\max$ port disentanglement, port span, and packet directionality), (b) </w:t>
      </w:r>
      <w:r>
        <w:rPr>
          <w:b/>
        </w:rPr>
        <w:t>information-theoretic TCP header and payload structure</w:t>
      </w:r>
      <w:r>
        <w:t xml:space="preserve"> (Shannon byte entropy $H(P)$, option byte length, and RFC 793 Maximum Segment Size / Timestamp flags), and (c) </w:t>
      </w:r>
      <w:r>
        <w:rPr>
          <w:b/>
        </w:rPr>
        <w:t>application-layer structural lengths and lexical flags</w:t>
      </w:r>
      <w:r>
        <w:t xml:space="preserve"> (URI path/query byte lengths and sanitized SQLi/XSS/Upload/Auth indicators).</w:t>
      </w:r>
    </w:p>
    <w:p>
      <w:pPr>
        <w:jc w:val="both"/>
      </w:pPr>
      <w:r>
        <w:t xml:space="preserve">3. </w:t>
      </w:r>
      <w:r>
        <w:rPr>
          <w:b/>
        </w:rPr>
        <w:t>Rigorous Four-Model Benchmark &amp; Exact Game-Theoretic Explainability:</w:t>
      </w:r>
      <w:r>
        <w:t xml:space="preserve"> Under a strict zero-leakage stratified 80/20 evaluation ($N_{\text{train}}=121,908$, $N_{\text{test}}=30,478$), we compare Multinomial Logistic Regression, Random Forest, LightGBM, and Regularized XGBoost across seven metrics and computational latency, followed by exact native C++ </w:t>
      </w:r>
      <w:r>
        <w:rPr>
          <w:b/>
        </w:rPr>
        <w:t>TreeSHAP</w:t>
      </w:r>
      <w:r>
        <w:t xml:space="preserve"> attribution (pred_contribs=True) proving that PP-PSFE features drive $57.1\%$ of marginal log-odds predictions ($73.88\%$ of total split gain).</w:t>
      </w:r>
    </w:p>
    <w:p>
      <w:pPr>
        <w:jc w:val="both"/>
      </w:pPr>
      <w:r>
        <w:t xml:space="preserve">4. </w:t>
      </w:r>
      <w:r>
        <w:rPr>
          <w:b/>
        </w:rPr>
        <w:t>End-to-End Full-Stack MLOps Deployment:</w:t>
      </w:r>
      <w:r>
        <w:t xml:space="preserve"> Moving beyond offline scripts, we encapsulate the fitted encoders, scaler, and XGBoost classifier into a portable scikit-learn pipeline (model_bundle.joblib), exposing real-time inference via a </w:t>
      </w:r>
      <w:r>
        <w:rPr>
          <w:b/>
        </w:rPr>
        <w:t>Flask REST microservice</w:t>
      </w:r>
      <w:r>
        <w:t xml:space="preserve">, an interactive </w:t>
      </w:r>
      <w:r>
        <w:rPr>
          <w:b/>
        </w:rPr>
        <w:t>Angular 22 standalone diagnostic dashboard</w:t>
      </w:r>
      <w:r>
        <w:t xml:space="preserve">, and automated </w:t>
      </w:r>
      <w:r>
        <w:rPr>
          <w:b/>
        </w:rPr>
        <w:t>GitHub Actions CI/CD</w:t>
      </w:r>
      <w:r>
        <w:t xml:space="preserve"> pipelines.</w:t>
      </w:r>
    </w:p>
    <w:p>
      <w:pPr>
        <w:spacing w:before="240" w:after="80"/>
      </w:pPr>
      <w:r>
        <w:rPr>
          <w:b/>
          <w:sz w:val="23"/>
        </w:rPr>
        <w:t>II. FORENSIC AUDIT OF EDGE-IIOTSET AND RELATED WORK</w:t>
      </w:r>
    </w:p>
    <w:p>
      <w:pPr>
        <w:spacing w:before="160" w:after="60"/>
      </w:pPr>
      <w:r>
        <w:rPr>
          <w:b/>
          <w:i/>
          <w:sz w:val="21"/>
        </w:rPr>
        <w:t>A. Review of Existing Edge-IIoTset Literature (2022–2026)</w:t>
      </w:r>
    </w:p>
    <w:p>
      <w:pPr>
        <w:jc w:val="both"/>
      </w:pPr>
      <w:r>
        <w:t>Since Ferrag *et al.* [4] established the Edge-IIoTset benchmark in *IEEE Access* (2022), numerous studies have proposed machine learning and deep learning classifiers for its 2-class (Binary), 6-class (Category), and 15-class (Attack-Type) tasks. In the original benchmark paper [4], centralized Decision Trees, Random Forests, Support Vector Machines (SVM), k-Nearest Neighbors (k-NN), and Deep Neural Networks (DNN) were evaluated. While binary detection exceeded $99.9\%$, 15-class classification proved substantially harder (DNN achieved $94.67\%$ on the full corpus, whereas classical models on the ML subset exhibited either severe class confusion or reliance on unstripped flow identifiers).</w:t>
      </w:r>
    </w:p>
    <w:p>
      <w:pPr>
        <w:jc w:val="both"/>
      </w:pPr>
      <w:r>
        <w:t>Subsequent works explored hybrid deep architectures and feature selection. Tareq *et al.* [5] applied Inception-Time and DenseNet architectures to Edge-IIoTset, reporting $&gt;98\%$ accuracy, but retained raw protocol strings converted via global label encoding prior to train-test splitting. Khacha *et al.* [6] investigated hybrid CNN-LSTM models for IIoT edge gateways, while Alshehri *et al.* [7] and Friha *et al.* [8] examined federated and transformer-based intrusion detection on Edge-IIoTset. More recently, critical methodological audits by Lazzarini *et al.* [9], Flood *et al.* [11], and Ullah *et al.* [10] highlighted that retaining frame.time, ip.src_host, ip.dst_host, and raw tcp.srcport/tcp.dstport in IIoT datasets allows decision trees to partition the feature space by testbed IP address and capture timestamp rather than attack semantics. However, when those studies removed the 15 identifier and string columns from ML-EdgeIIoT-dataset.csv, fine-grained 15-class macro F1-scores dropped by $8\%\text{--}14\%$ because all information differentiating HTTP-based application attacks (SQL_injection, XSS, Uploading, Password, DDoS_HTTP) and encrypted C2 flows (Ransomware, Backdoor) was lost with the dropped columns.</w:t>
      </w:r>
    </w:p>
    <w:p>
      <w:pPr>
        <w:jc w:val="both"/>
      </w:pPr>
      <w:r/>
      <w:r>
        <w:rPr>
          <w:b/>
        </w:rPr>
        <w:t>Table I</w:t>
      </w:r>
      <w:r>
        <w:t xml:space="preserve"> summarizes the methodological gap between representative prior studies and our proposed framework.</w:t>
      </w:r>
    </w:p>
    <w:p>
      <w:pPr>
        <w:jc w:val="both"/>
      </w:pPr>
      <w:r/>
      <w:r>
        <w:rPr>
          <w:b/>
        </w:rPr>
        <w:t>TABLE I: Methodological Comparison of Representative Edge-IIoTset IDS Studies vs. Proposed PP-PSFE Framework</w:t>
      </w:r>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tcPr>
          <w:p>
            <w:r>
              <w:rPr>
                <w:rFonts w:ascii="Times New Roman" w:hAnsi="Times New Roman"/>
                <w:b/>
                <w:sz w:val="17"/>
              </w:rPr>
              <w:t>Study &amp; Year</w:t>
            </w:r>
          </w:p>
        </w:tc>
        <w:tc>
          <w:tcPr>
            <w:tcW w:type="dxa" w:w="1440"/>
          </w:tcPr>
          <w:p>
            <w:r>
              <w:rPr>
                <w:rFonts w:ascii="Times New Roman" w:hAnsi="Times New Roman"/>
                <w:b/>
                <w:sz w:val="17"/>
              </w:rPr>
              <w:t>Models Evaluated</w:t>
            </w:r>
          </w:p>
        </w:tc>
        <w:tc>
          <w:tcPr>
            <w:tcW w:type="dxa" w:w="1440"/>
          </w:tcPr>
          <w:p>
            <w:r>
              <w:rPr>
                <w:rFonts w:ascii="Times New Roman" w:hAnsi="Times New Roman"/>
                <w:b/>
                <w:sz w:val="17"/>
              </w:rPr>
              <w:t>Task Granularity</w:t>
            </w:r>
          </w:p>
        </w:tc>
        <w:tc>
          <w:tcPr>
            <w:tcW w:type="dxa" w:w="1440"/>
          </w:tcPr>
          <w:p>
            <w:r>
              <w:rPr>
                <w:rFonts w:ascii="Times New Roman" w:hAnsi="Times New Roman"/>
                <w:b/>
                <w:sz w:val="17"/>
              </w:rPr>
              <w:t>Strips IP / Timestamp Identifiers?</w:t>
            </w:r>
          </w:p>
        </w:tc>
        <w:tc>
          <w:tcPr>
            <w:tcW w:type="dxa" w:w="1440"/>
          </w:tcPr>
          <w:p>
            <w:r>
              <w:rPr>
                <w:rFonts w:ascii="Times New Roman" w:hAnsi="Times New Roman"/>
                <w:b/>
                <w:sz w:val="17"/>
              </w:rPr>
              <w:t>Fixes "0" vs "0.0" Serialization Leakage?</w:t>
            </w:r>
          </w:p>
        </w:tc>
        <w:tc>
          <w:tcPr>
            <w:tcW w:type="dxa" w:w="1440"/>
          </w:tcPr>
          <w:p>
            <w:r>
              <w:rPr>
                <w:rFonts w:ascii="Times New Roman" w:hAnsi="Times New Roman"/>
                <w:b/>
                <w:sz w:val="17"/>
              </w:rPr>
              <w:t>Recovers Structural Info from Dropped Ports/Payloads?</w:t>
            </w:r>
          </w:p>
        </w:tc>
        <w:tc>
          <w:tcPr>
            <w:tcW w:type="dxa" w:w="1440"/>
          </w:tcPr>
          <w:p>
            <w:r>
              <w:rPr>
                <w:rFonts w:ascii="Times New Roman" w:hAnsi="Times New Roman"/>
                <w:b/>
                <w:sz w:val="17"/>
              </w:rPr>
              <w:t>Explainability &amp; Full-Stack Deployment</w:t>
            </w:r>
          </w:p>
        </w:tc>
      </w:tr>
      <w:tr>
        <w:tc>
          <w:tcPr>
            <w:tcW w:type="dxa" w:w="1440"/>
          </w:tcPr>
          <w:p>
            <w:r>
              <w:rPr>
                <w:rFonts w:ascii="Times New Roman" w:hAnsi="Times New Roman"/>
                <w:sz w:val="17"/>
              </w:rPr>
              <w:t>Ferrag *et al.* [4] (2022)</w:t>
            </w:r>
          </w:p>
        </w:tc>
        <w:tc>
          <w:tcPr>
            <w:tcW w:type="dxa" w:w="1440"/>
          </w:tcPr>
          <w:p>
            <w:r>
              <w:rPr>
                <w:rFonts w:ascii="Times New Roman" w:hAnsi="Times New Roman"/>
                <w:sz w:val="17"/>
              </w:rPr>
              <w:t>DT, RF, SVM, k-NN, DNN</w:t>
            </w:r>
          </w:p>
        </w:tc>
        <w:tc>
          <w:tcPr>
            <w:tcW w:type="dxa" w:w="1440"/>
          </w:tcPr>
          <w:p>
            <w:r>
              <w:rPr>
                <w:rFonts w:ascii="Times New Roman" w:hAnsi="Times New Roman"/>
                <w:sz w:val="17"/>
              </w:rPr>
              <w:t>2, 6, &amp; 15-Class</w:t>
            </w:r>
          </w:p>
        </w:tc>
        <w:tc>
          <w:tcPr>
            <w:tcW w:type="dxa" w:w="1440"/>
          </w:tcPr>
          <w:p>
            <w:r>
              <w:rPr>
                <w:rFonts w:ascii="Times New Roman" w:hAnsi="Times New Roman"/>
                <w:sz w:val="17"/>
              </w:rPr>
              <w:t>Partial (drops IPs in ML script; retains raw ports)</w:t>
            </w:r>
          </w:p>
        </w:tc>
        <w:tc>
          <w:tcPr>
            <w:tcW w:type="dxa" w:w="1440"/>
          </w:tcPr>
          <w:p>
            <w:r>
              <w:rPr>
                <w:rFonts w:ascii="Times New Roman" w:hAnsi="Times New Roman"/>
                <w:sz w:val="17"/>
              </w:rPr>
              <w:t>No (naive OneHot/Label encoding)</w:t>
            </w:r>
          </w:p>
        </w:tc>
        <w:tc>
          <w:tcPr>
            <w:tcW w:type="dxa" w:w="1440"/>
          </w:tcPr>
          <w:p>
            <w:r>
              <w:rPr>
                <w:rFonts w:ascii="Times New Roman" w:hAnsi="Times New Roman"/>
                <w:sz w:val="17"/>
              </w:rPr>
              <w:t>No (drops raw payload hex/URI strings)</w:t>
            </w:r>
          </w:p>
        </w:tc>
        <w:tc>
          <w:tcPr>
            <w:tcW w:type="dxa" w:w="1440"/>
          </w:tcPr>
          <w:p>
            <w:r>
              <w:rPr>
                <w:rFonts w:ascii="Times New Roman" w:hAnsi="Times New Roman"/>
                <w:sz w:val="17"/>
              </w:rPr>
              <w:t>Offline evaluation only</w:t>
            </w:r>
          </w:p>
        </w:tc>
      </w:tr>
      <w:tr>
        <w:tc>
          <w:tcPr>
            <w:tcW w:type="dxa" w:w="1440"/>
          </w:tcPr>
          <w:p>
            <w:r>
              <w:rPr>
                <w:rFonts w:ascii="Times New Roman" w:hAnsi="Times New Roman"/>
                <w:sz w:val="17"/>
              </w:rPr>
              <w:t>Tareq *et al.* [5] (2022)</w:t>
            </w:r>
          </w:p>
        </w:tc>
        <w:tc>
          <w:tcPr>
            <w:tcW w:type="dxa" w:w="1440"/>
          </w:tcPr>
          <w:p>
            <w:r>
              <w:rPr>
                <w:rFonts w:ascii="Times New Roman" w:hAnsi="Times New Roman"/>
                <w:sz w:val="17"/>
              </w:rPr>
              <w:t>DenseNet, InceptionTime</w:t>
            </w:r>
          </w:p>
        </w:tc>
        <w:tc>
          <w:tcPr>
            <w:tcW w:type="dxa" w:w="1440"/>
          </w:tcPr>
          <w:p>
            <w:r>
              <w:rPr>
                <w:rFonts w:ascii="Times New Roman" w:hAnsi="Times New Roman"/>
                <w:sz w:val="17"/>
              </w:rPr>
              <w:t>2 &amp; 15-Class</w:t>
            </w:r>
          </w:p>
        </w:tc>
        <w:tc>
          <w:tcPr>
            <w:tcW w:type="dxa" w:w="1440"/>
          </w:tcPr>
          <w:p>
            <w:r>
              <w:rPr>
                <w:rFonts w:ascii="Times New Roman" w:hAnsi="Times New Roman"/>
                <w:sz w:val="17"/>
              </w:rPr>
              <w:t>No (global encoding before split)</w:t>
            </w:r>
          </w:p>
        </w:tc>
        <w:tc>
          <w:tcPr>
            <w:tcW w:type="dxa" w:w="1440"/>
          </w:tcPr>
          <w:p>
            <w:r>
              <w:rPr>
                <w:rFonts w:ascii="Times New Roman" w:hAnsi="Times New Roman"/>
                <w:sz w:val="17"/>
              </w:rPr>
              <w:t>No</w:t>
            </w:r>
          </w:p>
        </w:tc>
        <w:tc>
          <w:tcPr>
            <w:tcW w:type="dxa" w:w="1440"/>
          </w:tcPr>
          <w:p>
            <w:r>
              <w:rPr>
                <w:rFonts w:ascii="Times New Roman" w:hAnsi="Times New Roman"/>
                <w:sz w:val="17"/>
              </w:rPr>
              <w:t>No</w:t>
            </w:r>
          </w:p>
        </w:tc>
        <w:tc>
          <w:tcPr>
            <w:tcW w:type="dxa" w:w="1440"/>
          </w:tcPr>
          <w:p>
            <w:r>
              <w:rPr>
                <w:rFonts w:ascii="Times New Roman" w:hAnsi="Times New Roman"/>
                <w:sz w:val="17"/>
              </w:rPr>
              <w:t>None; offline notebook</w:t>
            </w:r>
          </w:p>
        </w:tc>
      </w:tr>
      <w:tr>
        <w:tc>
          <w:tcPr>
            <w:tcW w:type="dxa" w:w="1440"/>
          </w:tcPr>
          <w:p>
            <w:r>
              <w:rPr>
                <w:rFonts w:ascii="Times New Roman" w:hAnsi="Times New Roman"/>
                <w:sz w:val="17"/>
              </w:rPr>
              <w:t>Friha *et al.* [8] (2023)</w:t>
            </w:r>
          </w:p>
        </w:tc>
        <w:tc>
          <w:tcPr>
            <w:tcW w:type="dxa" w:w="1440"/>
          </w:tcPr>
          <w:p>
            <w:r>
              <w:rPr>
                <w:rFonts w:ascii="Times New Roman" w:hAnsi="Times New Roman"/>
                <w:sz w:val="17"/>
              </w:rPr>
              <w:t>Centralized &amp; Federated DNN/ViT</w:t>
            </w:r>
          </w:p>
        </w:tc>
        <w:tc>
          <w:tcPr>
            <w:tcW w:type="dxa" w:w="1440"/>
          </w:tcPr>
          <w:p>
            <w:r>
              <w:rPr>
                <w:rFonts w:ascii="Times New Roman" w:hAnsi="Times New Roman"/>
                <w:sz w:val="17"/>
              </w:rPr>
              <w:t>2, 6, &amp; 15-Class</w:t>
            </w:r>
          </w:p>
        </w:tc>
        <w:tc>
          <w:tcPr>
            <w:tcW w:type="dxa" w:w="1440"/>
          </w:tcPr>
          <w:p>
            <w:r>
              <w:rPr>
                <w:rFonts w:ascii="Times New Roman" w:hAnsi="Times New Roman"/>
                <w:sz w:val="17"/>
              </w:rPr>
              <w:t>Yes (drops identifier columns)</w:t>
            </w:r>
          </w:p>
        </w:tc>
        <w:tc>
          <w:tcPr>
            <w:tcW w:type="dxa" w:w="1440"/>
          </w:tcPr>
          <w:p>
            <w:r>
              <w:rPr>
                <w:rFonts w:ascii="Times New Roman" w:hAnsi="Times New Roman"/>
                <w:sz w:val="17"/>
              </w:rPr>
              <w:t>Not reported</w:t>
            </w:r>
          </w:p>
        </w:tc>
        <w:tc>
          <w:tcPr>
            <w:tcW w:type="dxa" w:w="1440"/>
          </w:tcPr>
          <w:p>
            <w:r>
              <w:rPr>
                <w:rFonts w:ascii="Times New Roman" w:hAnsi="Times New Roman"/>
                <w:sz w:val="17"/>
              </w:rPr>
              <w:t>No (suffers Web-attack confusion)</w:t>
            </w:r>
          </w:p>
        </w:tc>
        <w:tc>
          <w:tcPr>
            <w:tcW w:type="dxa" w:w="1440"/>
          </w:tcPr>
          <w:p>
            <w:r>
              <w:rPr>
                <w:rFonts w:ascii="Times New Roman" w:hAnsi="Times New Roman"/>
                <w:sz w:val="17"/>
              </w:rPr>
              <w:t>Offline simulation</w:t>
            </w:r>
          </w:p>
        </w:tc>
      </w:tr>
      <w:tr>
        <w:tc>
          <w:tcPr>
            <w:tcW w:type="dxa" w:w="1440"/>
          </w:tcPr>
          <w:p>
            <w:r>
              <w:rPr>
                <w:rFonts w:ascii="Times New Roman" w:hAnsi="Times New Roman"/>
                <w:sz w:val="17"/>
              </w:rPr>
              <w:t>Lazzarini *et al.* [9] (2023)</w:t>
            </w:r>
          </w:p>
        </w:tc>
        <w:tc>
          <w:tcPr>
            <w:tcW w:type="dxa" w:w="1440"/>
          </w:tcPr>
          <w:p>
            <w:r>
              <w:rPr>
                <w:rFonts w:ascii="Times New Roman" w:hAnsi="Times New Roman"/>
                <w:sz w:val="17"/>
              </w:rPr>
              <w:t>Shallow &amp; Deep Ensembles</w:t>
            </w:r>
          </w:p>
        </w:tc>
        <w:tc>
          <w:tcPr>
            <w:tcW w:type="dxa" w:w="1440"/>
          </w:tcPr>
          <w:p>
            <w:r>
              <w:rPr>
                <w:rFonts w:ascii="Times New Roman" w:hAnsi="Times New Roman"/>
                <w:sz w:val="17"/>
              </w:rPr>
              <w:t>Multi-Class IDS</w:t>
            </w:r>
          </w:p>
        </w:tc>
        <w:tc>
          <w:tcPr>
            <w:tcW w:type="dxa" w:w="1440"/>
          </w:tcPr>
          <w:p>
            <w:r>
              <w:rPr>
                <w:rFonts w:ascii="Times New Roman" w:hAnsi="Times New Roman"/>
                <w:sz w:val="17"/>
              </w:rPr>
              <w:t>Yes (audits identifier bias)</w:t>
            </w:r>
          </w:p>
        </w:tc>
        <w:tc>
          <w:tcPr>
            <w:tcW w:type="dxa" w:w="1440"/>
          </w:tcPr>
          <w:p>
            <w:r>
              <w:rPr>
                <w:rFonts w:ascii="Times New Roman" w:hAnsi="Times New Roman"/>
                <w:sz w:val="17"/>
              </w:rPr>
              <w:t>No</w:t>
            </w:r>
          </w:p>
        </w:tc>
        <w:tc>
          <w:tcPr>
            <w:tcW w:type="dxa" w:w="1440"/>
          </w:tcPr>
          <w:p>
            <w:r>
              <w:rPr>
                <w:rFonts w:ascii="Times New Roman" w:hAnsi="Times New Roman"/>
                <w:sz w:val="17"/>
              </w:rPr>
              <w:t>No</w:t>
            </w:r>
          </w:p>
        </w:tc>
        <w:tc>
          <w:tcPr>
            <w:tcW w:type="dxa" w:w="1440"/>
          </w:tcPr>
          <w:p>
            <w:r>
              <w:rPr>
                <w:rFonts w:ascii="Times New Roman" w:hAnsi="Times New Roman"/>
                <w:sz w:val="17"/>
              </w:rPr>
              <w:t>Post-hoc feature importance; offline</w:t>
            </w:r>
          </w:p>
        </w:tc>
      </w:tr>
      <w:tr>
        <w:tc>
          <w:tcPr>
            <w:tcW w:type="dxa" w:w="1440"/>
          </w:tcPr>
          <w:p>
            <w:r>
              <w:rPr>
                <w:rFonts w:ascii="Times New Roman" w:hAnsi="Times New Roman"/>
                <w:sz w:val="17"/>
              </w:rPr>
              <w:t>Ullah *et al.* [10] (2024)</w:t>
            </w:r>
          </w:p>
        </w:tc>
        <w:tc>
          <w:tcPr>
            <w:tcW w:type="dxa" w:w="1440"/>
          </w:tcPr>
          <w:p>
            <w:r>
              <w:rPr>
                <w:rFonts w:ascii="Times New Roman" w:hAnsi="Times New Roman"/>
                <w:sz w:val="17"/>
              </w:rPr>
              <w:t>Transformer / Hybrid GBDT</w:t>
            </w:r>
          </w:p>
        </w:tc>
        <w:tc>
          <w:tcPr>
            <w:tcW w:type="dxa" w:w="1440"/>
          </w:tcPr>
          <w:p>
            <w:r>
              <w:rPr>
                <w:rFonts w:ascii="Times New Roman" w:hAnsi="Times New Roman"/>
                <w:sz w:val="17"/>
              </w:rPr>
              <w:t>15-Class</w:t>
            </w:r>
          </w:p>
        </w:tc>
        <w:tc>
          <w:tcPr>
            <w:tcW w:type="dxa" w:w="1440"/>
          </w:tcPr>
          <w:p>
            <w:r>
              <w:rPr>
                <w:rFonts w:ascii="Times New Roman" w:hAnsi="Times New Roman"/>
                <w:sz w:val="17"/>
              </w:rPr>
              <w:t>Yes (drops 15 raw string/ID cols)</w:t>
            </w:r>
          </w:p>
        </w:tc>
        <w:tc>
          <w:tcPr>
            <w:tcW w:type="dxa" w:w="1440"/>
          </w:tcPr>
          <w:p>
            <w:r>
              <w:rPr>
                <w:rFonts w:ascii="Times New Roman" w:hAnsi="Times New Roman"/>
                <w:sz w:val="17"/>
              </w:rPr>
              <w:t>No</w:t>
            </w:r>
          </w:p>
        </w:tc>
        <w:tc>
          <w:tcPr>
            <w:tcW w:type="dxa" w:w="1440"/>
          </w:tcPr>
          <w:p>
            <w:r>
              <w:rPr>
                <w:rFonts w:ascii="Times New Roman" w:hAnsi="Times New Roman"/>
                <w:sz w:val="17"/>
              </w:rPr>
              <w:t>No (relies only on remaining 38–40 fields)</w:t>
            </w:r>
          </w:p>
        </w:tc>
        <w:tc>
          <w:tcPr>
            <w:tcW w:type="dxa" w:w="1440"/>
          </w:tcPr>
          <w:p>
            <w:r>
              <w:rPr>
                <w:rFonts w:ascii="Times New Roman" w:hAnsi="Times New Roman"/>
                <w:sz w:val="17"/>
              </w:rPr>
              <w:t>SHAP summary; no live deployment</w:t>
            </w:r>
          </w:p>
        </w:tc>
      </w:tr>
      <w:tr>
        <w:tc>
          <w:tcPr>
            <w:tcW w:type="dxa" w:w="1440"/>
          </w:tcPr>
          <w:p>
            <w:r>
              <w:rPr>
                <w:rFonts w:ascii="Times New Roman" w:hAnsi="Times New Roman"/>
                <w:sz w:val="17"/>
              </w:rPr>
              <w:t>This Work (2026)</w:t>
            </w:r>
          </w:p>
        </w:tc>
        <w:tc>
          <w:tcPr>
            <w:tcW w:type="dxa" w:w="1440"/>
          </w:tcPr>
          <w:p>
            <w:r>
              <w:rPr>
                <w:rFonts w:ascii="Times New Roman" w:hAnsi="Times New Roman"/>
                <w:sz w:val="17"/>
              </w:rPr>
              <w:t>LR, RF, LightGBM, XGBoost</w:t>
            </w:r>
          </w:p>
        </w:tc>
        <w:tc>
          <w:tcPr>
            <w:tcW w:type="dxa" w:w="1440"/>
          </w:tcPr>
          <w:p>
            <w:r>
              <w:rPr>
                <w:rFonts w:ascii="Times New Roman" w:hAnsi="Times New Roman"/>
                <w:sz w:val="17"/>
              </w:rPr>
              <w:t>15-Class ($N=152,386$)</w:t>
            </w:r>
          </w:p>
        </w:tc>
        <w:tc>
          <w:tcPr>
            <w:tcW w:type="dxa" w:w="1440"/>
          </w:tcPr>
          <w:p>
            <w:r>
              <w:rPr>
                <w:rFonts w:ascii="Times New Roman" w:hAnsi="Times New Roman"/>
                <w:sz w:val="17"/>
              </w:rPr>
              <w:t>Yes (strict zero-leakage split)</w:t>
            </w:r>
          </w:p>
        </w:tc>
        <w:tc>
          <w:tcPr>
            <w:tcW w:type="dxa" w:w="1440"/>
          </w:tcPr>
          <w:p>
            <w:r>
              <w:rPr>
                <w:rFonts w:ascii="Times New Roman" w:hAnsi="Times New Roman"/>
                <w:sz w:val="17"/>
              </w:rPr>
              <w:t>Yes (canonical "0.0" $\rightarrow$ "0" unification)</w:t>
            </w:r>
          </w:p>
        </w:tc>
        <w:tc>
          <w:tcPr>
            <w:tcW w:type="dxa" w:w="1440"/>
          </w:tcPr>
          <w:p>
            <w:r>
              <w:rPr>
                <w:rFonts w:ascii="Times New Roman" w:hAnsi="Times New Roman"/>
                <w:sz w:val="17"/>
              </w:rPr>
              <w:t>Yes (24 PP-PSFE geometric &amp; entropy features)</w:t>
            </w:r>
          </w:p>
        </w:tc>
        <w:tc>
          <w:tcPr>
            <w:tcW w:type="dxa" w:w="1440"/>
          </w:tcPr>
          <w:p>
            <w:r>
              <w:rPr>
                <w:rFonts w:ascii="Times New Roman" w:hAnsi="Times New Roman"/>
                <w:sz w:val="17"/>
              </w:rPr>
              <w:t>Exact C++ TreeSHAP + Flask/Angular 22 CI/CD</w:t>
            </w:r>
          </w:p>
        </w:tc>
      </w:tr>
    </w:tbl>
    <w:p/>
    <w:p>
      <w:pPr>
        <w:spacing w:before="160" w:after="60"/>
      </w:pPr>
      <w:r>
        <w:rPr>
          <w:b/>
          <w:i/>
          <w:sz w:val="21"/>
        </w:rPr>
        <w:t>B. Forensic Discovery of Serialization and Parsing Artifacts in Edge-IIoTset</w:t>
      </w:r>
    </w:p>
    <w:p>
      <w:pPr>
        <w:jc w:val="both"/>
      </w:pPr>
      <w:r>
        <w:t xml:space="preserve">To substantiate why naive preprocessing produces artificially inflated results on ML-EdgeIIoT-dataset.csv, we performed an exhaustive column-by-column inspection of all $157,800$ records across the $15$ Attack_type classes. </w:t>
      </w:r>
      <w:r>
        <w:rPr>
          <w:b/>
        </w:rPr>
        <w:t>Table II</w:t>
      </w:r>
      <w:r>
        <w:t xml:space="preserve"> documents the exact forensic anomalies uncovered in the raw CSV file.</w:t>
      </w:r>
    </w:p>
    <w:p>
      <w:pPr>
        <w:jc w:val="both"/>
      </w:pPr>
      <w:r/>
      <w:r>
        <w:rPr>
          <w:b/>
        </w:rPr>
        <w:t>TABLE II: Forensic Audit of Raw ML-EdgeIIoT-dataset.csv ($157,800$ Records, $63$ Columns)</w:t>
      </w:r>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rFonts w:ascii="Times New Roman" w:hAnsi="Times New Roman"/>
                <w:b/>
                <w:sz w:val="17"/>
              </w:rPr>
              <w:t>Anomaly Category</w:t>
            </w:r>
          </w:p>
        </w:tc>
        <w:tc>
          <w:tcPr>
            <w:tcW w:type="dxa" w:w="2520"/>
          </w:tcPr>
          <w:p>
            <w:r>
              <w:rPr>
                <w:rFonts w:ascii="Times New Roman" w:hAnsi="Times New Roman"/>
                <w:b/>
                <w:sz w:val="17"/>
              </w:rPr>
              <w:t>Affected Columns</w:t>
            </w:r>
          </w:p>
        </w:tc>
        <w:tc>
          <w:tcPr>
            <w:tcW w:type="dxa" w:w="2520"/>
          </w:tcPr>
          <w:p>
            <w:r>
              <w:rPr>
                <w:rFonts w:ascii="Times New Roman" w:hAnsi="Times New Roman"/>
                <w:b/>
                <w:sz w:val="17"/>
              </w:rPr>
              <w:t>Empirical Evidence in Raw Dataset</w:t>
            </w:r>
          </w:p>
        </w:tc>
        <w:tc>
          <w:tcPr>
            <w:tcW w:type="dxa" w:w="2520"/>
          </w:tcPr>
          <w:p>
            <w:r>
              <w:rPr>
                <w:rFonts w:ascii="Times New Roman" w:hAnsi="Times New Roman"/>
                <w:b/>
                <w:sz w:val="17"/>
              </w:rPr>
              <w:t>Impact on Unsanitized ML Models</w:t>
            </w:r>
          </w:p>
        </w:tc>
      </w:tr>
      <w:tr>
        <w:tc>
          <w:tcPr>
            <w:tcW w:type="dxa" w:w="2520"/>
          </w:tcPr>
          <w:p>
            <w:r>
              <w:rPr>
                <w:rFonts w:ascii="Times New Roman" w:hAnsi="Times New Roman"/>
                <w:sz w:val="17"/>
              </w:rPr>
              <w:t>1. Mixed-Type Zero Serialization ("0" vs "0.0")</w:t>
            </w:r>
          </w:p>
        </w:tc>
        <w:tc>
          <w:tcPr>
            <w:tcW w:type="dxa" w:w="2520"/>
          </w:tcPr>
          <w:p>
            <w:r>
              <w:rPr>
                <w:rFonts w:ascii="Times New Roman" w:hAnsi="Times New Roman"/>
                <w:sz w:val="17"/>
              </w:rPr>
              <w:t>http.request.method, http.referer, http.request.version, mqtt.conack.flags, mqtt.protoname</w:t>
            </w:r>
          </w:p>
        </w:tc>
        <w:tc>
          <w:tcPr>
            <w:tcW w:type="dxa" w:w="2520"/>
          </w:tcPr>
          <w:p>
            <w:r>
              <w:rPr>
                <w:rFonts w:ascii="Times New Roman" w:hAnsi="Times New Roman"/>
                <w:sz w:val="17"/>
              </w:rPr>
              <w:t>In http.request.method: DDoS_UDP ($14,498/14,498$) and DDoS_ICMP ($14,090/14,090$) contain "0.0", whereas DDoS_HTTP contains $9,854$ "0" and $0$ "0.0"; XSS contains $9,751$ "0" and $0$ "0.0".</w:t>
            </w:r>
          </w:p>
        </w:tc>
        <w:tc>
          <w:tcPr>
            <w:tcW w:type="dxa" w:w="2520"/>
          </w:tcPr>
          <w:p>
            <w:r>
              <w:rPr>
                <w:rFonts w:ascii="Times New Roman" w:hAnsi="Times New Roman"/>
                <w:sz w:val="17"/>
              </w:rPr>
              <w:t>Categorical encoders treat "0" and "0.0" as separate tokens, leaking which CSV chunk a row originated from.</w:t>
            </w:r>
          </w:p>
        </w:tc>
      </w:tr>
      <w:tr>
        <w:tc>
          <w:tcPr>
            <w:tcW w:type="dxa" w:w="2520"/>
          </w:tcPr>
          <w:p>
            <w:r>
              <w:rPr>
                <w:rFonts w:ascii="Times New Roman" w:hAnsi="Times New Roman"/>
                <w:sz w:val="17"/>
              </w:rPr>
              <w:t>2. TShark Delimiter-Shift Corruption</w:t>
            </w:r>
          </w:p>
        </w:tc>
        <w:tc>
          <w:tcPr>
            <w:tcW w:type="dxa" w:w="2520"/>
          </w:tcPr>
          <w:p>
            <w:r>
              <w:rPr>
                <w:rFonts w:ascii="Times New Roman" w:hAnsi="Times New Roman"/>
                <w:sz w:val="17"/>
              </w:rPr>
              <w:t>dns.qry.name.len, dns.qry.qu</w:t>
            </w:r>
          </w:p>
        </w:tc>
        <w:tc>
          <w:tcPr>
            <w:tcW w:type="dxa" w:w="2520"/>
          </w:tcPr>
          <w:p>
            <w:r>
              <w:rPr>
                <w:rFonts w:ascii="Times New Roman" w:hAnsi="Times New Roman"/>
                <w:sz w:val="17"/>
              </w:rPr>
              <w:t>Exactly $93$ rows contain string literals "_googlecast._tcp.local" ($91$ rows) or "null" ($2$ rows) inside numeric column dns.qry.name.len.</w:t>
            </w:r>
          </w:p>
        </w:tc>
        <w:tc>
          <w:tcPr>
            <w:tcW w:type="dxa" w:w="2520"/>
          </w:tcPr>
          <w:p>
            <w:r>
              <w:rPr>
                <w:rFonts w:ascii="Times New Roman" w:hAnsi="Times New Roman"/>
                <w:sz w:val="17"/>
              </w:rPr>
              <w:t>Causes ValueError or forces the entire numeric column to be treated as high-cardinality categorical text.</w:t>
            </w:r>
          </w:p>
        </w:tc>
      </w:tr>
      <w:tr>
        <w:tc>
          <w:tcPr>
            <w:tcW w:type="dxa" w:w="2520"/>
          </w:tcPr>
          <w:p>
            <w:r>
              <w:rPr>
                <w:rFonts w:ascii="Times New Roman" w:hAnsi="Times New Roman"/>
                <w:sz w:val="17"/>
              </w:rPr>
              <w:t>3. Eight Zero-Variance (Constant) Columns</w:t>
            </w:r>
          </w:p>
        </w:tc>
        <w:tc>
          <w:tcPr>
            <w:tcW w:type="dxa" w:w="2520"/>
          </w:tcPr>
          <w:p>
            <w:r>
              <w:rPr>
                <w:rFonts w:ascii="Times New Roman" w:hAnsi="Times New Roman"/>
                <w:sz w:val="17"/>
              </w:rPr>
              <w:t>icmp.unused, http.tls_port, dns.qry.type, brar_data / mqtt.msg_decoded_as, mbtcp.len, mbtcp.trans_id, mbtcp.unit_id, ntp.chrom</w:t>
            </w:r>
          </w:p>
        </w:tc>
        <w:tc>
          <w:tcPr>
            <w:tcW w:type="dxa" w:w="2520"/>
          </w:tcPr>
          <w:p>
            <w:r>
              <w:rPr>
                <w:rFonts w:ascii="Times New Roman" w:hAnsi="Times New Roman"/>
                <w:sz w:val="17"/>
              </w:rPr>
              <w:t>$100\%$ of all $157,800$ records equal 0 or 0.0 (variance $\sigma^2 = 0.0000$).</w:t>
            </w:r>
          </w:p>
        </w:tc>
        <w:tc>
          <w:tcPr>
            <w:tcW w:type="dxa" w:w="2520"/>
          </w:tcPr>
          <w:p>
            <w:r>
              <w:rPr>
                <w:rFonts w:ascii="Times New Roman" w:hAnsi="Times New Roman"/>
                <w:sz w:val="17"/>
              </w:rPr>
              <w:t>Adds $8$ redundant dimensions that inflate memory and dilute random subspace feature sampling in Random Forest/GBDT.</w:t>
            </w:r>
          </w:p>
        </w:tc>
      </w:tr>
      <w:tr>
        <w:tc>
          <w:tcPr>
            <w:tcW w:type="dxa" w:w="2520"/>
          </w:tcPr>
          <w:p>
            <w:r>
              <w:rPr>
                <w:rFonts w:ascii="Times New Roman" w:hAnsi="Times New Roman"/>
                <w:sz w:val="17"/>
              </w:rPr>
              <w:t>4. Identifier &amp; Session Memorization Columns</w:t>
            </w:r>
          </w:p>
        </w:tc>
        <w:tc>
          <w:tcPr>
            <w:tcW w:type="dxa" w:w="2520"/>
          </w:tcPr>
          <w:p>
            <w:r>
              <w:rPr>
                <w:rFonts w:ascii="Times New Roman" w:hAnsi="Times New Roman"/>
                <w:sz w:val="17"/>
              </w:rPr>
              <w:t>frame.time, ip.src_host, ip.dst_host, arp.src.proto_ipv4, arp.dst.proto_ipv4, tcp.srcport, tcp.dstport, udp.port</w:t>
            </w:r>
          </w:p>
        </w:tc>
        <w:tc>
          <w:tcPr>
            <w:tcW w:type="dxa" w:w="2520"/>
          </w:tcPr>
          <w:p>
            <w:r>
              <w:rPr>
                <w:rFonts w:ascii="Times New Roman" w:hAnsi="Times New Roman"/>
                <w:sz w:val="17"/>
              </w:rPr>
              <w:t>Attack tools were executed from fixed lab IP addresses (e.g., 192.168.0.170) during contiguous time windows per attack class.</w:t>
            </w:r>
          </w:p>
        </w:tc>
        <w:tc>
          <w:tcPr>
            <w:tcW w:type="dxa" w:w="2520"/>
          </w:tcPr>
          <w:p>
            <w:r>
              <w:rPr>
                <w:rFonts w:ascii="Times New Roman" w:hAnsi="Times New Roman"/>
                <w:sz w:val="17"/>
              </w:rPr>
              <w:t>Models achieve $&gt;99.9\%$ test accuracy by memorizing lab IP addresses and timestamps, failing completely on new subnets.</w:t>
            </w:r>
          </w:p>
        </w:tc>
      </w:tr>
      <w:tr>
        <w:tc>
          <w:tcPr>
            <w:tcW w:type="dxa" w:w="2520"/>
          </w:tcPr>
          <w:p>
            <w:r>
              <w:rPr>
                <w:rFonts w:ascii="Times New Roman" w:hAnsi="Times New Roman"/>
                <w:sz w:val="17"/>
              </w:rPr>
              <w:t>5. Cross-Split Duplicate Records</w:t>
            </w:r>
          </w:p>
        </w:tc>
        <w:tc>
          <w:tcPr>
            <w:tcW w:type="dxa" w:w="2520"/>
          </w:tcPr>
          <w:p>
            <w:r>
              <w:rPr>
                <w:rFonts w:ascii="Times New Roman" w:hAnsi="Times New Roman"/>
                <w:sz w:val="17"/>
              </w:rPr>
              <w:t>All 62 feature columns</w:t>
            </w:r>
          </w:p>
        </w:tc>
        <w:tc>
          <w:tcPr>
            <w:tcW w:type="dxa" w:w="2520"/>
          </w:tcPr>
          <w:p>
            <w:r>
              <w:rPr>
                <w:rFonts w:ascii="Times New Roman" w:hAnsi="Times New Roman"/>
                <w:sz w:val="17"/>
              </w:rPr>
              <w:t>After stripping identifiers and unifying "0.0" $\rightarrow$ "0", exactly $5,414$ duplicate records exist ($157,800 \rightarrow 152,386$ unique records).</w:t>
            </w:r>
          </w:p>
        </w:tc>
        <w:tc>
          <w:tcPr>
            <w:tcW w:type="dxa" w:w="2520"/>
          </w:tcPr>
          <w:p>
            <w:r>
              <w:rPr>
                <w:rFonts w:ascii="Times New Roman" w:hAnsi="Times New Roman"/>
                <w:sz w:val="17"/>
              </w:rPr>
              <w:t>Random train-test splitting without prior deduplication places identical flows in both train and test sets.</w:t>
            </w:r>
          </w:p>
        </w:tc>
      </w:tr>
    </w:tbl>
    <w:p/>
    <w:p>
      <w:pPr>
        <w:spacing w:before="240" w:after="80"/>
      </w:pPr>
      <w:r>
        <w:rPr>
          <w:b/>
          <w:sz w:val="23"/>
        </w:rPr>
        <w:t>III. PROPOSED METHODOLOGY: LEAKAGE SANITIZATION AND THE PP-PSFE FRAMEWORK</w:t>
      </w:r>
    </w:p>
    <w:p>
      <w:pPr>
        <w:spacing w:before="160" w:after="60"/>
      </w:pPr>
      <w:r>
        <w:rPr>
          <w:b/>
          <w:i/>
          <w:sz w:val="21"/>
        </w:rPr>
        <w:t>A. Canonical Sanitization Operator</w:t>
      </w:r>
    </w:p>
    <w:p>
      <w:pPr>
        <w:jc w:val="both"/>
      </w:pPr>
      <w:r>
        <w:t>Let $\mathcal{D}_{\text{raw}} = \{(x_i^{\text{raw}}, y_i)\}_{i=1}^{N_{\text{raw}}}$ denote the raw dataset with $N_{\text{raw}} = 157,800$ samples and label space $\mathcal{Y} = \{0, 1, \dots, 14\}$. Before any feature extraction or data splitting, we apply a deterministic canonical string-normalization operator $\mathcal{S}(\cdot)$ to every protocol field $v$:</w:t>
      </w:r>
    </w:p>
    <w:p>
      <w:pPr>
        <w:jc w:val="center"/>
      </w:pPr>
      <w:r>
        <w:rPr>
          <w:i/>
          <w:sz w:val="20"/>
        </w:rPr>
        <w:t>\mathcal{S}(v) = \begin{cases} \text{"0"}, &amp; \text{if } v \in \{\text{NaN}, \text{null}, \text{""}, \text{"0"}, \text{"0.0"}, \text{"0.000000"}\} \text{ or } \text{is\_zero\_hex}(v) \\ \text{trim}(v), &amp; \text{otherwise} \end{cases} \tag{1}</w:t>
      </w:r>
    </w:p>
    <w:p>
      <w:pPr>
        <w:jc w:val="both"/>
      </w:pPr>
      <w:r>
        <w:t>where $\text{is\_zero\_hex}(v)$ matches zero-filled hexadecimal strings (e.g., "0x00000000"). For numeric columns corrupted by TShark delimiter shifts (specifically dns.qry.name.len and dns.qry.qu), we apply safe float coercion $x_{i,j} = \text{to\_numeric}(v, \text{errors}=\text{'coerce'})$ followed by zero-imputation for non-parsable string tokens ("_googlecast._tcp.local" $\rightarrow 0.0$). This step completely eliminates the "0" versus "0.0" chunk-origin signal across all 15 classes.</w:t>
      </w:r>
    </w:p>
    <w:p>
      <w:pPr>
        <w:spacing w:before="160" w:after="60"/>
      </w:pPr>
      <w:r>
        <w:rPr>
          <w:b/>
          <w:i/>
          <w:sz w:val="21"/>
        </w:rPr>
        <w:t>B. Mathematical Formulation of Privacy-Preserving Protocol-Header Structural Feature Engineering (PP-PSFE)</w:t>
      </w:r>
    </w:p>
    <w:p>
      <w:pPr>
        <w:jc w:val="both"/>
      </w:pPr>
      <w:r>
        <w:t xml:space="preserve">The central methodological insight of this paper is that </w:t>
      </w:r>
      <w:r>
        <w:rPr>
          <w:b/>
        </w:rPr>
        <w:t>raw network columns contain two orthogonal components</w:t>
      </w:r>
      <w:r>
        <w:t>:</w:t>
      </w:r>
    </w:p>
    <w:p>
      <w:pPr>
        <w:jc w:val="both"/>
      </w:pPr>
      <w:r>
        <w:t xml:space="preserve">1. </w:t>
      </w:r>
      <w:r>
        <w:rPr>
          <w:b/>
        </w:rPr>
        <w:t>Topology-Specific Identity Information</w:t>
      </w:r>
      <w:r>
        <w:t xml:space="preserve"> (which IP host sent the packet, at what wall-clock second, using which random client port or exact URL domain), which *must be discarded* to prevent testbed overfitting; and</w:t>
      </w:r>
    </w:p>
    <w:p>
      <w:pPr>
        <w:jc w:val="both"/>
      </w:pPr>
      <w:r>
        <w:t xml:space="preserve">2. </w:t>
      </w:r>
      <w:r>
        <w:rPr>
          <w:b/>
        </w:rPr>
        <w:t>Protocol-Structural Mechanics</w:t>
      </w:r>
      <w:r>
        <w:t xml:space="preserve"> (whether the packet targets a well-known daemon port or a high ephemeral port, the byte entropy of the TCP payload, the length of TCP header options, and whether an HTTP URI contains SQL or script injection delimiters), which *must be preserved* to distinguish subtle application- and transport-layer attacks.</w:t>
      </w:r>
    </w:p>
    <w:p>
      <w:pPr>
        <w:jc w:val="both"/>
      </w:pPr>
      <w:r>
        <w:t xml:space="preserve">We extract </w:t>
      </w:r>
      <w:r>
        <w:rPr>
          <w:b/>
        </w:rPr>
        <w:t>24 PP-PSFE features</w:t>
      </w:r>
      <w:r>
        <w:t xml:space="preserve"> across three protocol-layer groups prior to dropping the 15 raw identifier/string columns and 8 zero-variance columns:</w:t>
      </w:r>
    </w:p>
    <w:p>
      <w:pPr>
        <w:spacing w:before="160" w:after="60"/>
      </w:pPr>
      <w:r>
        <w:rPr>
          <w:b/>
          <w:i/>
          <w:sz w:val="21"/>
        </w:rPr>
        <w:t>1) Group A: Transport-Layer Port Role Disentanglement (9 Features)</w:t>
      </w:r>
    </w:p>
    <w:p>
      <w:pPr>
        <w:jc w:val="both"/>
      </w:pPr>
      <w:r>
        <w:t>In raw TCP/UDP headers, tcp.srcport ($p_{\text{src}}$) and tcp.dstport ($p_{\text{dst}}$) swap roles depending on whether the captured packet is a client-to-server request or a server-to-client response, and the client's ephemeral port ($49152\text{--}65535$) varies randomly per session. Directly feeding $(p_{\text{src}}, p_{\text{dst}})$ causes trees to overfit specific ephemeral port numbers captured during a single lab run. Instead, we project $(p_{\text{src}}, p_{\text{dst}})$ onto canonical, direction-invariant structural coordinates:</w:t>
      </w:r>
    </w:p>
    <w:p>
      <w:pPr>
        <w:jc w:val="center"/>
      </w:pPr>
      <w:r>
        <w:rPr>
          <w:i/>
          <w:sz w:val="20"/>
        </w:rPr>
        <w:t>p_{\text{service}} = \min(p_{\text{src}}, p_{\text{dst}}), \qquad p_{\text{ephemeral}} = \max(p_{\text{src}}, p_{\text{dst}}) \tag{2}</w:t>
      </w:r>
    </w:p>
    <w:p>
      <w:pPr>
        <w:jc w:val="center"/>
      </w:pPr>
      <w:r>
        <w:rPr>
          <w:i/>
          <w:sz w:val="20"/>
        </w:rPr>
        <w:t>\Delta p_{\text{span}} = |p_{\text{src}} - p_{\text{dst}}|, \qquad d_{\text{pkt}} = \mathbb{I}(p_{\text{src}} &lt; p_{\text{dst}}) - \mathbb{I}(p_{\text{src}} &gt; p_{\text{dst}}) \in \{-1, 0, +1\} \tag{3}</w:t>
      </w:r>
    </w:p>
    <w:p>
      <w:pPr>
        <w:jc w:val="both"/>
      </w:pPr>
      <w:r>
        <w:t>where $p_{\text{service}}$ isolates the target daemon port regardless of packet direction ($d_{\text{pkt}} = -1$ for client $\rightarrow$ server requests, $+1$ for server $\rightarrow$ client replies). From $p_{\text{service}}$ and udp.port ($p_{\text{udp}}$), we derive five binary service-role indicators:</w:t>
      </w:r>
    </w:p>
    <w:p>
      <w:pPr>
        <w:jc w:val="both"/>
      </w:pPr>
      <w:r>
        <w:t>- psfe_is_http_service: $\mathbb{I}(p_{\text{service}} \in \{80, 443, 8000, 8080\})$</w:t>
      </w:r>
    </w:p>
    <w:p>
      <w:pPr>
        <w:jc w:val="both"/>
      </w:pPr>
      <w:r>
        <w:t>- psfe_is_mqtt_service: $\mathbb{I}(p_{\text{service}} \in \{1883, 8883\})$</w:t>
      </w:r>
    </w:p>
    <w:p>
      <w:pPr>
        <w:jc w:val="both"/>
      </w:pPr>
      <w:r>
        <w:t>- psfe_is_iot_c2_service: $\mathbb{I}(p_{\text{service}} \in \{21, 22, 23, 25, 53, 110, 143, 445, 502, 3306, 3389, 4444, 5555, 6667\})$</w:t>
      </w:r>
    </w:p>
    <w:p>
      <w:pPr>
        <w:jc w:val="both"/>
      </w:pPr>
      <w:r>
        <w:t>- psfe_is_boundary_probe: $\mathbb{I}(0 &lt; p_{\text{service}} \le 1024 \text{ and } p_{\text{service}} \notin \{80, 443, 1883\})$</w:t>
      </w:r>
    </w:p>
    <w:p>
      <w:pPr>
        <w:jc w:val="both"/>
      </w:pPr>
      <w:r>
        <w:t>- psfe_udp_active: $\mathbb{I}(p_{\text{udp}} &gt; 0)$</w:t>
      </w:r>
    </w:p>
    <w:p>
      <w:pPr>
        <w:spacing w:before="160" w:after="60"/>
      </w:pPr>
      <w:r>
        <w:rPr>
          <w:b/>
          <w:i/>
          <w:sz w:val="21"/>
        </w:rPr>
        <w:t>2) Group B: Information-Theoretic TCP Option &amp; Payload Structure (6 Features)</w:t>
      </w:r>
    </w:p>
    <w:p>
      <w:pPr>
        <w:jc w:val="both"/>
      </w:pPr>
      <w:r>
        <w:t xml:space="preserve">Raw hexadecimal fields tcp.options and tcp.payload cannot be used directly as categorical strings because every packet payload is unique. However, their </w:t>
      </w:r>
      <w:r>
        <w:rPr>
          <w:b/>
        </w:rPr>
        <w:t>byte length</w:t>
      </w:r>
      <w:r>
        <w:t xml:space="preserve">, </w:t>
      </w:r>
      <w:r>
        <w:rPr>
          <w:b/>
        </w:rPr>
        <w:t>header option kind-bytes (RFC 793 / RFC 7323)</w:t>
      </w:r>
      <w:r>
        <w:t xml:space="preserve">, and </w:t>
      </w:r>
      <w:r>
        <w:rPr>
          <w:b/>
        </w:rPr>
        <w:t>Shannon byte entropy</w:t>
      </w:r>
      <w:r>
        <w:t xml:space="preserve"> carry rich signatures of OS stack fingerprinting (Fingerprinting, Port_Scanning) and encrypted malware command-and-control (Ransomware, Backdoor). Let $B = (b_1, b_2, \dots, b_m)$ denote the sequence of $m = \lfloor L_{\text{hex}} / 2 \rfloor$ bytes decoded from a hexadecimal string of length $L_{\text{hex}}$. We compute the empirical Shannon entropy $H(B)$ in bits per byte:</w:t>
      </w:r>
    </w:p>
    <w:p>
      <w:pPr>
        <w:jc w:val="center"/>
      </w:pPr>
      <w:r>
        <w:rPr>
          <w:i/>
          <w:sz w:val="20"/>
        </w:rPr>
        <w:t>H(B) = -\sum_{k=0}^{255} \hat{p}_k \log_2(\hat{p}_k + \varepsilon), \qquad \hat{p}_k = \frac{1}{m}\sum_{t=1}^{m} \mathbb{I}(b_t = k) \tag{4}</w:t>
      </w:r>
    </w:p>
    <w:p>
      <w:pPr>
        <w:jc w:val="both"/>
      </w:pPr>
      <w:r>
        <w:t>This yields six privacy-preserving features that reveal zero plaintext content:</w:t>
      </w:r>
    </w:p>
    <w:p>
      <w:pPr>
        <w:jc w:val="both"/>
      </w:pPr>
      <w:r>
        <w:t>- psfe_tcp_opt_bytelen: Decoded byte length $m_{\text{opt}}$ of tcp.options.</w:t>
      </w:r>
    </w:p>
    <w:p>
      <w:pPr>
        <w:jc w:val="both"/>
      </w:pPr>
      <w:r>
        <w:t>- psfe_tcp_opt_has_mss: $\mathbb{I}(\text{hex prefix of } \texttt{tcp.options} = \texttt{"0204"})$ (RFC 793 Kind=2 Maximum Segment Size option present on SYN packets).</w:t>
      </w:r>
    </w:p>
    <w:p>
      <w:pPr>
        <w:jc w:val="both"/>
      </w:pPr>
      <w:r>
        <w:t>- psfe_tcp_opt_has_ts: $\mathbb{I}(\texttt{"080a"} \in \texttt{tcp.options})$ (RFC 7323 Kind=8 TCP Timestamp option, differentiating Linux/Nmap probes from embedded RTOS stacks).</w:t>
      </w:r>
    </w:p>
    <w:p>
      <w:pPr>
        <w:jc w:val="both"/>
      </w:pPr>
      <w:r>
        <w:t>- psfe_tcp_pay_bytelen: Decoded byte length $m_{\text{pay}}$ of tcp.payload.</w:t>
      </w:r>
    </w:p>
    <w:p>
      <w:pPr>
        <w:jc w:val="both"/>
      </w:pPr>
      <w:r>
        <w:t>- psfe_tcp_pay_first_byte: Integer value $b_1 \in [0, 255]$ of the first payload byte (identifies protocol framing headers without reading payload bodies).</w:t>
      </w:r>
    </w:p>
    <w:p>
      <w:pPr>
        <w:jc w:val="both"/>
      </w:pPr>
      <w:r>
        <w:t>- psfe_tcp_pay_entropy: Shannon entropy $H(B_{\text{pay}}) \in [0, 8]$ from Eq. (4).</w:t>
      </w:r>
    </w:p>
    <w:p>
      <w:pPr>
        <w:spacing w:before="160" w:after="60"/>
      </w:pPr>
      <w:r>
        <w:rPr>
          <w:b/>
          <w:i/>
          <w:sz w:val="21"/>
        </w:rPr>
        <w:t>3) Group C: Application-Layer Structural Lengths &amp; Lexical Signatures (9 Features)</w:t>
      </w:r>
    </w:p>
    <w:p>
      <w:pPr>
        <w:jc w:val="both"/>
      </w:pPr>
      <w:r>
        <w:t>When http.request.full_uri, http.request.uri.query, http.file_data, and mqtt.msg are dropped to prevent memorizing lab IP URLs (http://192.168.0.128/dvwa/...), classifiers become blind to web application attacks (SQL_injection, XSS, Uploading, Password, DDoS_HTTP). We extract nine host-agnostic structural features before dropping the raw strings:</w:t>
      </w:r>
    </w:p>
    <w:p>
      <w:pPr>
        <w:jc w:val="both"/>
      </w:pPr>
      <w:r>
        <w:t>- psfe_http_uri_path_len: Character length of the URI path after stripping http://host:port/ and query parameters.</w:t>
      </w:r>
    </w:p>
    <w:p>
      <w:pPr>
        <w:jc w:val="both"/>
      </w:pPr>
      <w:r>
        <w:t>- psfe_http_query_len: Character length of http.request.uri.query.</w:t>
      </w:r>
    </w:p>
    <w:p>
      <w:pPr>
        <w:jc w:val="both"/>
      </w:pPr>
      <w:r>
        <w:t>- psfe_http_file_data_len: Byte length of http.file_data.</w:t>
      </w:r>
    </w:p>
    <w:p>
      <w:pPr>
        <w:jc w:val="both"/>
      </w:pPr>
      <w:r>
        <w:t>- psfe_mqtt_msg_bytelen: Decoded byte length of mqtt.msg.</w:t>
      </w:r>
    </w:p>
    <w:p>
      <w:pPr>
        <w:jc w:val="both"/>
      </w:pPr>
      <w:r>
        <w:t>- Five binary lexical-class indicators computed across the concatenated application buffers (uri, query, file_data):</w:t>
      </w:r>
    </w:p>
    <w:p>
      <w:pPr>
        <w:jc w:val="both"/>
      </w:pPr>
      <w:r>
        <w:t>- psfe_app_sqli_flag: Matches SQL tautology/comment/union tokens (select, union, 1=1, --, %27, sleep(, benchmark().</w:t>
      </w:r>
    </w:p>
    <w:p>
      <w:pPr>
        <w:jc w:val="both"/>
      </w:pPr>
      <w:r>
        <w:t>- psfe_app_xss_flag: Matches script/event-handler injection tokens (&lt;script, %3cscript, alert(, onerror=, onload=, javascript:).</w:t>
      </w:r>
    </w:p>
    <w:p>
      <w:pPr>
        <w:jc w:val="both"/>
      </w:pPr>
      <w:r>
        <w:t>- psfe_app_upload_flag: Matches multipart file-upload boundaries (multipart, filename=, .php, .sh, .exe, content-disposition).</w:t>
      </w:r>
    </w:p>
    <w:p>
      <w:pPr>
        <w:jc w:val="both"/>
      </w:pPr>
      <w:r>
        <w:t>- psfe_app_auth_flag: Matches authentication credential fields (login, password, passwd, username, admin, user=).</w:t>
      </w:r>
    </w:p>
    <w:p>
      <w:pPr>
        <w:jc w:val="both"/>
      </w:pPr>
      <w:r>
        <w:t>- psfe_app_timeout_flag: Matches slowloris/HTTP flood keep-alive anomalies (timeout, keep-alive, slow).</w:t>
      </w:r>
    </w:p>
    <w:p>
      <w:pPr>
        <w:jc w:val="both"/>
      </w:pPr>
      <w:r/>
      <w:r>
        <w:rPr>
          <w:b/>
        </w:rPr>
        <w:t>Table III</w:t>
      </w:r>
      <w:r>
        <w:t xml:space="preserve"> summarizes the complete 62-feature space ($38$ sanitized core features $+ 24$ PP-PSFE features).</w:t>
      </w:r>
    </w:p>
    <w:p>
      <w:pPr>
        <w:jc w:val="both"/>
      </w:pPr>
      <w:r/>
      <w:r>
        <w:rPr>
          <w:b/>
        </w:rPr>
        <w:t>TABLE III: Structure of the Final 62-Feature Input Space ($38$ Sanitized Core $+ 24$ Engineered PP-PSFE Features)</w:t>
      </w:r>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tcPr>
          <w:p>
            <w:r>
              <w:rPr>
                <w:rFonts w:ascii="Times New Roman" w:hAnsi="Times New Roman"/>
                <w:b/>
                <w:sz w:val="17"/>
              </w:rPr>
              <w:t>Feature Group</w:t>
            </w:r>
          </w:p>
        </w:tc>
        <w:tc>
          <w:tcPr>
            <w:tcW w:type="dxa" w:w="2520"/>
          </w:tcPr>
          <w:p>
            <w:r>
              <w:rPr>
                <w:rFonts w:ascii="Times New Roman" w:hAnsi="Times New Roman"/>
                <w:b/>
                <w:sz w:val="17"/>
              </w:rPr>
              <w:t>Count</w:t>
            </w:r>
          </w:p>
        </w:tc>
        <w:tc>
          <w:tcPr>
            <w:tcW w:type="dxa" w:w="2520"/>
          </w:tcPr>
          <w:p>
            <w:r>
              <w:rPr>
                <w:rFonts w:ascii="Times New Roman" w:hAnsi="Times New Roman"/>
                <w:b/>
                <w:sz w:val="17"/>
              </w:rPr>
              <w:t>Feature Names</w:t>
            </w:r>
          </w:p>
        </w:tc>
        <w:tc>
          <w:tcPr>
            <w:tcW w:type="dxa" w:w="2520"/>
          </w:tcPr>
          <w:p>
            <w:r>
              <w:rPr>
                <w:rFonts w:ascii="Times New Roman" w:hAnsi="Times New Roman"/>
                <w:b/>
                <w:sz w:val="17"/>
              </w:rPr>
              <w:t>Encoding &amp; Scaling Pipeline</w:t>
            </w:r>
          </w:p>
        </w:tc>
      </w:tr>
      <w:tr>
        <w:tc>
          <w:tcPr>
            <w:tcW w:type="dxa" w:w="2520"/>
          </w:tcPr>
          <w:p>
            <w:r>
              <w:rPr>
                <w:rFonts w:ascii="Times New Roman" w:hAnsi="Times New Roman"/>
                <w:sz w:val="17"/>
              </w:rPr>
              <w:t>Sanitized Core Numerical Protocol Fields</w:t>
            </w:r>
          </w:p>
        </w:tc>
        <w:tc>
          <w:tcPr>
            <w:tcW w:type="dxa" w:w="2520"/>
          </w:tcPr>
          <w:p>
            <w:r>
              <w:rPr>
                <w:rFonts w:ascii="Times New Roman" w:hAnsi="Times New Roman"/>
                <w:sz w:val="17"/>
              </w:rPr>
              <w:t>32</w:t>
            </w:r>
          </w:p>
        </w:tc>
        <w:tc>
          <w:tcPr>
            <w:tcW w:type="dxa" w:w="2520"/>
          </w:tcPr>
          <w:p>
            <w:r>
              <w:rPr>
                <w:rFonts w:ascii="Times New Roman" w:hAnsi="Times New Roman"/>
                <w:sz w:val="17"/>
              </w:rPr>
              <w:t>arp.opcode, arp.hw.size, icmp.checksum, icmp.seq_le, http.content_length, http.response, tcp.ack, tcp.ack_raw, tcp.checksum, tcp.connection.fin, tcp.connection.rst, tcp.connection.syn, tcp.connection.synack, tcp.flags, tcp.flags.ack, tcp.len, tcp.seq, udp.stream, udp.time_delta, dns.qry.name, dns.qry.name.len, dns.qry.qu, dns.retransmission, dns.retransmit_request, mqtt.conflag.cleansess, mqtt.conflags, mqtt.hdrflags, mqtt.len, mqtt.msgtype, mqtt.proto_len, mqtt.topic_len, mqtt.ver</w:t>
            </w:r>
          </w:p>
        </w:tc>
        <w:tc>
          <w:tcPr>
            <w:tcW w:type="dxa" w:w="2520"/>
          </w:tcPr>
          <w:p>
            <w:r>
              <w:rPr>
                <w:rFonts w:ascii="Times New Roman" w:hAnsi="Times New Roman"/>
                <w:sz w:val="17"/>
              </w:rPr>
              <w:t>Coerced to float64; standardized via StandardScaler fit strictly on $\mathcal{D}_{\text{train}}$</w:t>
            </w:r>
          </w:p>
        </w:tc>
      </w:tr>
      <w:tr>
        <w:tc>
          <w:tcPr>
            <w:tcW w:type="dxa" w:w="2520"/>
          </w:tcPr>
          <w:p>
            <w:r>
              <w:rPr>
                <w:rFonts w:ascii="Times New Roman" w:hAnsi="Times New Roman"/>
                <w:sz w:val="17"/>
              </w:rPr>
              <w:t>Sanitized Core Categorical Protocol Fields</w:t>
            </w:r>
          </w:p>
        </w:tc>
        <w:tc>
          <w:tcPr>
            <w:tcW w:type="dxa" w:w="2520"/>
          </w:tcPr>
          <w:p>
            <w:r>
              <w:rPr>
                <w:rFonts w:ascii="Times New Roman" w:hAnsi="Times New Roman"/>
                <w:sz w:val="17"/>
              </w:rPr>
              <w:t>6</w:t>
            </w:r>
          </w:p>
        </w:tc>
        <w:tc>
          <w:tcPr>
            <w:tcW w:type="dxa" w:w="2520"/>
          </w:tcPr>
          <w:p>
            <w:r>
              <w:rPr>
                <w:rFonts w:ascii="Times New Roman" w:hAnsi="Times New Roman"/>
                <w:sz w:val="17"/>
              </w:rPr>
              <w:t>http.request.method, http.referer, http.request.version, mqtt.conack.flags, mqtt.protoname, mqtt.topic</w:t>
            </w:r>
          </w:p>
        </w:tc>
        <w:tc>
          <w:tcPr>
            <w:tcW w:type="dxa" w:w="2520"/>
          </w:tcPr>
          <w:p>
            <w:r>
              <w:rPr>
                <w:rFonts w:ascii="Times New Roman" w:hAnsi="Times New Roman"/>
                <w:sz w:val="17"/>
              </w:rPr>
              <w:t>Canonical "0.0" $\rightarrow$ "0" unification; string-cast OrdinalEncoder(unknown_value=-1) fit strictly on $\mathcal{D}_{\text{train}}$</w:t>
            </w:r>
          </w:p>
        </w:tc>
      </w:tr>
      <w:tr>
        <w:tc>
          <w:tcPr>
            <w:tcW w:type="dxa" w:w="2520"/>
          </w:tcPr>
          <w:p>
            <w:r>
              <w:rPr>
                <w:rFonts w:ascii="Times New Roman" w:hAnsi="Times New Roman"/>
                <w:sz w:val="17"/>
              </w:rPr>
              <w:t>PP-PSFE Group A: Port Geometry</w:t>
            </w:r>
          </w:p>
        </w:tc>
        <w:tc>
          <w:tcPr>
            <w:tcW w:type="dxa" w:w="2520"/>
          </w:tcPr>
          <w:p>
            <w:r>
              <w:rPr>
                <w:rFonts w:ascii="Times New Roman" w:hAnsi="Times New Roman"/>
                <w:sz w:val="17"/>
              </w:rPr>
              <w:t>9</w:t>
            </w:r>
          </w:p>
        </w:tc>
        <w:tc>
          <w:tcPr>
            <w:tcW w:type="dxa" w:w="2520"/>
          </w:tcPr>
          <w:p>
            <w:r>
              <w:rPr>
                <w:rFonts w:ascii="Times New Roman" w:hAnsi="Times New Roman"/>
                <w:sz w:val="17"/>
              </w:rPr>
              <w:t>psfe_service_port, psfe_ephemeral_port, psfe_port_span, psfe_pkt_direction, psfe_is_http_service, psfe_is_mqtt_service, psfe_is_iot_c2_service, psfe_is_boundary_probe, psfe_udp_active</w:t>
            </w:r>
          </w:p>
        </w:tc>
        <w:tc>
          <w:tcPr>
            <w:tcW w:type="dxa" w:w="2520"/>
          </w:tcPr>
          <w:p>
            <w:r>
              <w:rPr>
                <w:rFonts w:ascii="Times New Roman" w:hAnsi="Times New Roman"/>
                <w:sz w:val="17"/>
              </w:rPr>
              <w:t>Direction-invariant $\min/\max$ port projection; standardized on $\mathcal{D}_{\text{train}}$</w:t>
            </w:r>
          </w:p>
        </w:tc>
      </w:tr>
      <w:tr>
        <w:tc>
          <w:tcPr>
            <w:tcW w:type="dxa" w:w="2520"/>
          </w:tcPr>
          <w:p>
            <w:r>
              <w:rPr>
                <w:rFonts w:ascii="Times New Roman" w:hAnsi="Times New Roman"/>
                <w:sz w:val="17"/>
              </w:rPr>
              <w:t>PP-PSFE Group B: TCP Options &amp; Entropy</w:t>
            </w:r>
          </w:p>
        </w:tc>
        <w:tc>
          <w:tcPr>
            <w:tcW w:type="dxa" w:w="2520"/>
          </w:tcPr>
          <w:p>
            <w:r>
              <w:rPr>
                <w:rFonts w:ascii="Times New Roman" w:hAnsi="Times New Roman"/>
                <w:sz w:val="17"/>
              </w:rPr>
              <w:t>6</w:t>
            </w:r>
          </w:p>
        </w:tc>
        <w:tc>
          <w:tcPr>
            <w:tcW w:type="dxa" w:w="2520"/>
          </w:tcPr>
          <w:p>
            <w:r>
              <w:rPr>
                <w:rFonts w:ascii="Times New Roman" w:hAnsi="Times New Roman"/>
                <w:sz w:val="17"/>
              </w:rPr>
              <w:t>psfe_tcp_opt_bytelen, psfe_tcp_opt_has_mss, psfe_tcp_opt_has_ts, psfe_tcp_pay_bytelen, psfe_tcp_pay_first_byte, psfe_tcp_pay_entropy</w:t>
            </w:r>
          </w:p>
        </w:tc>
        <w:tc>
          <w:tcPr>
            <w:tcW w:type="dxa" w:w="2520"/>
          </w:tcPr>
          <w:p>
            <w:r>
              <w:rPr>
                <w:rFonts w:ascii="Times New Roman" w:hAnsi="Times New Roman"/>
                <w:sz w:val="17"/>
              </w:rPr>
              <w:t>Hex byte decoding + Shannon byte entropy $H(B) \in [0,8]$; standardized on $\mathcal{D}_{\text{train}}$</w:t>
            </w:r>
          </w:p>
        </w:tc>
      </w:tr>
      <w:tr>
        <w:tc>
          <w:tcPr>
            <w:tcW w:type="dxa" w:w="2520"/>
          </w:tcPr>
          <w:p>
            <w:r>
              <w:rPr>
                <w:rFonts w:ascii="Times New Roman" w:hAnsi="Times New Roman"/>
                <w:sz w:val="17"/>
              </w:rPr>
              <w:t>PP-PSFE Group C: App-Layer Signatures</w:t>
            </w:r>
          </w:p>
        </w:tc>
        <w:tc>
          <w:tcPr>
            <w:tcW w:type="dxa" w:w="2520"/>
          </w:tcPr>
          <w:p>
            <w:r>
              <w:rPr>
                <w:rFonts w:ascii="Times New Roman" w:hAnsi="Times New Roman"/>
                <w:sz w:val="17"/>
              </w:rPr>
              <w:t>9</w:t>
            </w:r>
          </w:p>
        </w:tc>
        <w:tc>
          <w:tcPr>
            <w:tcW w:type="dxa" w:w="2520"/>
          </w:tcPr>
          <w:p>
            <w:r>
              <w:rPr>
                <w:rFonts w:ascii="Times New Roman" w:hAnsi="Times New Roman"/>
                <w:sz w:val="17"/>
              </w:rPr>
              <w:t>psfe_http_uri_path_len, psfe_http_query_len, psfe_http_file_data_len, psfe_mqtt_msg_bytelen, psfe_app_sqli_flag, psfe_app_xss_flag, psfe_app_upload_flag, psfe_app_auth_flag, psfe_app_timeout_flag</w:t>
            </w:r>
          </w:p>
        </w:tc>
        <w:tc>
          <w:tcPr>
            <w:tcW w:type="dxa" w:w="2520"/>
          </w:tcPr>
          <w:p>
            <w:r>
              <w:rPr>
                <w:rFonts w:ascii="Times New Roman" w:hAnsi="Times New Roman"/>
                <w:sz w:val="17"/>
              </w:rPr>
              <w:t>Host-stripped structural lengths + binary lexical indicators; standardized on $\mathcal{D}_{\text{train}}$</w:t>
            </w:r>
          </w:p>
        </w:tc>
      </w:tr>
    </w:tbl>
    <w:p/>
    <w:p>
      <w:pPr>
        <w:spacing w:before="240" w:after="80"/>
      </w:pPr>
      <w:r>
        <w:rPr>
          <w:b/>
          <w:sz w:val="23"/>
        </w:rPr>
        <w:t>IV. THEORETICAL AND ARCHITECTURAL FORMULATION OF CANDIDATE CLASSIFIERS</w:t>
      </w:r>
    </w:p>
    <w:p>
      <w:pPr>
        <w:jc w:val="both"/>
      </w:pPr>
      <w:r>
        <w:t>To determine which inductive bias best captures the non-linear, hierarchical dependencies of multi-protocol IIoT traffic, we evaluate four diverse model families across the identical 62-feature space:</w:t>
      </w:r>
    </w:p>
    <w:p>
      <w:pPr>
        <w:jc w:val="both"/>
      </w:pPr>
      <w:r>
        <w:t xml:space="preserve">1. </w:t>
      </w:r>
      <w:r>
        <w:rPr>
          <w:b/>
        </w:rPr>
        <w:t>Multinomial Logistic Regression (Linear Baseline):</w:t>
      </w:r>
      <w:r>
        <w:t xml:space="preserve"> Models the posterior class probability via the softmax function $P(y=c \mid \mathbf{x}) = \frac{\exp(\mathbf{w}_c^\top \mathbf{x} + b_c)}{\sum_{k=1}^{15} \exp(\mathbf{w}_k^\top \mathbf{x} + b_k)}$ optimized with $\ell_2$-regularized L-BFGS (max_iter=500). Because it constructs only linear hyperplanes in $\mathbb{R}^{62}$, it serves as a diagnostic lower bound to quantify how much discriminative power requires non-linear feature interactions (such as http.request.method == GET $\wedge$ psfe_http_query_len &gt; 40 $\wedge$ psfe_app_sqli_flag == 1).</w:t>
      </w:r>
    </w:p>
    <w:p>
      <w:pPr>
        <w:jc w:val="both"/>
      </w:pPr>
      <w:r>
        <w:t xml:space="preserve">2. </w:t>
      </w:r>
      <w:r>
        <w:rPr>
          <w:b/>
        </w:rPr>
        <w:t>Random Forest (Bagging of Deep Unpruned Trees):</w:t>
      </w:r>
      <w:r>
        <w:t xml:space="preserve"> Constructs an ensemble of $B=150$ independent decision trees trained on bootstrap samples with random feature subspaces ($m_{\text{try}} = \lfloor\sqrt{62}\rfloor = 7$), aggregating predictions by majority vote [13]. Variance is reduced via bagging, but because each split only inspects $7$ randomly chosen features, rare conditional protocol interactions can be diluted across deep branches.</w:t>
      </w:r>
    </w:p>
    <w:p>
      <w:pPr>
        <w:jc w:val="both"/>
      </w:pPr>
      <w:r>
        <w:t xml:space="preserve">3. </w:t>
      </w:r>
      <w:r>
        <w:rPr>
          <w:b/>
        </w:rPr>
        <w:t>LightGBM (Leaf-Wise Gradient Boosted Decision Trees with GOSS &amp; EFB):</w:t>
      </w:r>
      <w:r>
        <w:t xml:space="preserve"> Grows trees leaf-wise (best-first) rather than level-wise, utilizing Gradient-Based One-Side Sampling (GOSS) and Exclusive Feature Bundling (EFB) for histogram-accelerated split finding [14]. While leaf-wise growth rapidly minimizes training cross-entropy, it can exhibit slightly higher variance on rare minority classes (MITM, $n=388$; Fingerprinting, $n=853$).</w:t>
      </w:r>
    </w:p>
    <w:p>
      <w:pPr>
        <w:jc w:val="both"/>
      </w:pPr>
      <w:r>
        <w:t xml:space="preserve">4. </w:t>
      </w:r>
      <w:r>
        <w:rPr>
          <w:b/>
        </w:rPr>
        <w:t>Regularized Second-Order XGBoost (Proposed Primary Classifier):</w:t>
      </w:r>
      <w:r>
        <w:t xml:space="preserve"> Minimizes the regularized multiclass softmax objective at boosting iteration $t$ via a second-order Taylor expansion [15]:</w:t>
      </w:r>
    </w:p>
    <w:p>
      <w:pPr>
        <w:jc w:val="center"/>
      </w:pPr>
      <w:r>
        <w:rPr>
          <w:i/>
          <w:sz w:val="20"/>
        </w:rPr>
        <w:t>\mathcal{L}^{(t)} \approx \sum_{i=1}^{N_{\text{train}}} \left[ g_{i,c} f_t(\mathbf{x}_i) + \frac{1}{2} h_{i,c} f_t^2(\mathbf{x}_i) \right] + \gamma T + \frac{1}{2}\lambda \sum_{j=1}^{T} w_j^2 \tag{5}</w:t>
      </w:r>
    </w:p>
    <w:p>
      <w:pPr>
        <w:jc w:val="both"/>
      </w:pPr>
      <w:r>
        <w:t>where $g_{i,c} = \partial_{\hat{y}_i^{(t-1)}} \ell(y_i, \hat{y}_i^{(t-1)})$ and $h_{i,c} = \partial^2_{\hat{y}_i^{(t-1)}} \ell(y_i, \hat{y}_i^{(t-1)})$ are the first- and second-order multiclass log-loss gradients, $T$ is the number of leaves, and $w_j^* = -\frac{\sum_{i \in I_j} g_{i,c}}{\sum_{i \in I_j} h_{i,c} + \lambda}$ is the optimal leaf weight. Crucially, the Hessian term $h_{i,c} = \hat{p}_{i,c}(1 - \hat{p}_{i,c})$ naturally regularizes splits on sparse protocol columns and extreme class imbalances ($24,156$ Normal vs. $388$ MITM flows). Configured with depth-wise growth (max_depth=6, n_estimators=150, learning_rate=0.1, subsample=0.8, colsample_bytree=0.8, tree_method="hist"), XGBoost achieves both high accuracy and tight generalization control.</w:t>
      </w:r>
    </w:p>
    <w:p>
      <w:pPr>
        <w:spacing w:before="240" w:after="80"/>
      </w:pPr>
      <w:r>
        <w:rPr>
          <w:b/>
          <w:sz w:val="23"/>
        </w:rPr>
        <w:t>V. EXPERIMENTAL SETUP AND FULL-STACK MLOPS ARCHITECTURE</w:t>
      </w:r>
    </w:p>
    <w:p>
      <w:pPr>
        <w:spacing w:before="160" w:after="60"/>
      </w:pPr>
      <w:r>
        <w:rPr>
          <w:b/>
          <w:i/>
          <w:sz w:val="21"/>
        </w:rPr>
        <w:t>A. Zero-Leakage Dataset Splitting &amp; Deduplication Analysis</w:t>
      </w:r>
    </w:p>
    <w:p>
      <w:pPr>
        <w:jc w:val="both"/>
      </w:pPr>
      <w:r>
        <w:t xml:space="preserve">Starting from the $157,800$ raw records in ML-EdgeIIoT-dataset.csv, applying our canonical sanitization operator $\mathcal{S}(\cdot)$, extracting the 24 PP-PSFE features, dropping the 15 identifier/raw-string columns and 8 zero-variance columns, and removing exact feature-and-label duplicates yields </w:t>
      </w:r>
      <w:r>
        <w:rPr>
          <w:b/>
        </w:rPr>
        <w:t>$N = 152,386$ unique, leakage-sanitized network flows</w:t>
      </w:r>
      <w:r>
        <w:t xml:space="preserve"> across 15 classes. We perform a single stratified 80/20 split (random_state=42):</w:t>
      </w:r>
    </w:p>
    <w:p>
      <w:pPr>
        <w:jc w:val="both"/>
      </w:pPr>
      <w:r>
        <w:t xml:space="preserve">- </w:t>
      </w:r>
      <w:r>
        <w:rPr>
          <w:b/>
        </w:rPr>
        <w:t>Training Split ($\mathcal{D}_{\text{train}}$):</w:t>
      </w:r>
      <w:r>
        <w:t xml:space="preserve"> $121,908$ flows ($80.0\%$)</w:t>
      </w:r>
    </w:p>
    <w:p>
      <w:pPr>
        <w:jc w:val="both"/>
      </w:pPr>
      <w:r>
        <w:t xml:space="preserve">- </w:t>
      </w:r>
      <w:r>
        <w:rPr>
          <w:b/>
        </w:rPr>
        <w:t>Held-Out Test Split ($\mathcal{D}_{\text{test}}$):</w:t>
      </w:r>
      <w:r>
        <w:t xml:space="preserve"> $30,478$ flows ($20.0\%$)</w:t>
      </w:r>
    </w:p>
    <w:p>
      <w:pPr>
        <w:jc w:val="both"/>
      </w:pPr>
      <w:r>
        <w:t xml:space="preserve">All stateful transformers (OrdinalEncoder for the 6 categorical protocol fields and StandardScaler for the 62 features) are fitted </w:t>
      </w:r>
      <w:r>
        <w:rPr>
          <w:b/>
        </w:rPr>
        <w:t>exclusively on $\mathcal{D}_{\text{train}}$</w:t>
      </w:r>
      <w:r>
        <w:t xml:space="preserve"> and applied unmodified to $\mathcal{D}_{\text{test}}$.</w:t>
      </w:r>
    </w:p>
    <w:p>
      <w:pPr>
        <w:spacing w:before="160" w:after="60"/>
      </w:pPr>
      <w:r>
        <w:rPr>
          <w:b/>
          <w:i/>
          <w:sz w:val="21"/>
        </w:rPr>
        <w:t>B. Full-Stack Research Application &amp; CI/CD Pipeline Architecture</w:t>
      </w:r>
    </w:p>
    <w:p>
      <w:pPr>
        <w:jc w:val="both"/>
      </w:pPr>
      <w:r>
        <w:t xml:space="preserve">A major gap in academic IDS research is that trained models remain trapped in standalone scripts that cannot be audited or interacted with by security analysts. Following modern MLOps software engineering practices, we engineered a complete full-stack production architecture around our trained PP-PSFE XGBoost model (illustrated in </w:t>
      </w:r>
      <w:r>
        <w:rPr>
          <w:b/>
        </w:rPr>
        <w:t>Fig. 1</w:t>
      </w:r>
      <w:r>
        <w:t>):</w:t>
      </w:r>
    </w:p>
    <w:p>
      <w:pPr>
        <w:jc w:val="both"/>
      </w:pPr>
      <w:r>
        <w:t>*Fig. 1. End-to-end architecture of the proposed PP-PSFE research pipeline, self-contained scikit-learn inference bundle, Flask REST microservice, Angular 22 diagnostic dashboard, and automated GitHub Actions CI/CD workflows.*</w:t>
      </w:r>
    </w:p>
    <w:p>
      <w:pPr>
        <w:jc w:val="both"/>
      </w:pPr>
      <w:r>
        <w:t>To guarantee zero train-serve skew between CSV batch evaluation and browser JSON requests (where categorical zero may arrive as integer 0 from pandas or string "0" from JSON), each categorical column inside model_bundle.joblib is wrapped in a self-contained FunctionTransformer(np.asarray, kw_args={"dtype": str}) pipeline step prior to OrdinalEncoder.</w:t>
      </w:r>
    </w:p>
    <w:p>
      <w:pPr>
        <w:spacing w:before="240" w:after="80"/>
      </w:pPr>
      <w:r>
        <w:rPr>
          <w:b/>
          <w:sz w:val="23"/>
        </w:rPr>
        <w:t>VI. EMPIRICAL RESULTS, ABLATION ANALYSIS, AND EXPLAINABILITY</w:t>
      </w:r>
    </w:p>
    <w:p>
      <w:pPr>
        <w:spacing w:before="160" w:after="60"/>
      </w:pPr>
      <w:r>
        <w:rPr>
          <w:b/>
          <w:i/>
          <w:sz w:val="21"/>
        </w:rPr>
        <w:t>A. Overall Four-Model Benchmark Comparison</w:t>
      </w:r>
    </w:p>
    <w:p>
      <w:pPr>
        <w:jc w:val="both"/>
      </w:pPr>
      <w:r/>
      <w:r>
        <w:rPr>
          <w:b/>
        </w:rPr>
        <w:t>Table IV</w:t>
      </w:r>
      <w:r>
        <w:t xml:space="preserve"> presents the comprehensive evaluation of all four candidate models on the held-out test set ($\mathcal{D}_{\text{test}}, N_{\text{test}} = 30,478$). Because class sizes range from $78$ test samples (MITM) and $171$ test samples (Fingerprinting) up to $4,831$ test samples (Normal), we report both weighted-average and unweighted </w:t>
      </w:r>
      <w:r>
        <w:rPr>
          <w:b/>
        </w:rPr>
        <w:t>Macro-Average F1-Score</w:t>
      </w:r>
      <w:r>
        <w:t xml:space="preserve">, alongside </w:t>
      </w:r>
      <w:r>
        <w:rPr>
          <w:b/>
        </w:rPr>
        <w:t>One-vs-Rest Weighted ROC-AUC</w:t>
      </w:r>
      <w:r>
        <w:t xml:space="preserve">, </w:t>
      </w:r>
      <w:r>
        <w:rPr>
          <w:b/>
        </w:rPr>
        <w:t>Macro Precision-Recall AUC (PR-AUC)</w:t>
      </w:r>
      <w:r>
        <w:t xml:space="preserve">, the </w:t>
      </w:r>
      <w:r>
        <w:rPr>
          <w:b/>
        </w:rPr>
        <w:t>Train–Test Overfitting Gap</w:t>
      </w:r>
      <w:r>
        <w:t xml:space="preserve"> ($\text{Acc}_{\text{train}} - \text{Acc}_{\text{test}}$), training wall-clock time, and batch inference latency per $1,000$ flows.</w:t>
      </w:r>
    </w:p>
    <w:p>
      <w:pPr>
        <w:jc w:val="both"/>
      </w:pPr>
      <w:r/>
      <w:r>
        <w:rPr>
          <w:b/>
        </w:rPr>
        <w:t>TABLE IV: Overall Performance Comparison of the Four Evaluated Classifiers on Held-Out Test Split ($N_{\text{test}} = 30,478$)</w:t>
      </w:r>
      <w:r/>
    </w:p>
    <w:tbl>
      <w:tblPr>
        <w:tblStyle w:val="TableGrid"/>
        <w:tblW w:type="auto" w:w="0"/>
        <w:jc w:val="center"/>
        <w:tblLook w:firstColumn="1" w:firstRow="1" w:lastColumn="0" w:lastRow="0" w:noHBand="0" w:noVBand="1" w:val="04A0"/>
      </w:tblPr>
      <w:tblGrid>
        <w:gridCol w:w="840"/>
        <w:gridCol w:w="840"/>
        <w:gridCol w:w="840"/>
        <w:gridCol w:w="840"/>
        <w:gridCol w:w="840"/>
        <w:gridCol w:w="840"/>
        <w:gridCol w:w="840"/>
        <w:gridCol w:w="840"/>
        <w:gridCol w:w="840"/>
        <w:gridCol w:w="840"/>
        <w:gridCol w:w="840"/>
        <w:gridCol w:w="840"/>
      </w:tblGrid>
      <w:tr>
        <w:tc>
          <w:tcPr>
            <w:tcW w:type="dxa" w:w="840"/>
          </w:tcPr>
          <w:p>
            <w:r>
              <w:rPr>
                <w:rFonts w:ascii="Times New Roman" w:hAnsi="Times New Roman"/>
                <w:b/>
                <w:sz w:val="17"/>
              </w:rPr>
              <w:t>Classifier Architecture</w:t>
            </w:r>
          </w:p>
        </w:tc>
        <w:tc>
          <w:tcPr>
            <w:tcW w:type="dxa" w:w="840"/>
          </w:tcPr>
          <w:p>
            <w:r>
              <w:rPr>
                <w:rFonts w:ascii="Times New Roman" w:hAnsi="Times New Roman"/>
                <w:b/>
                <w:sz w:val="17"/>
              </w:rPr>
              <w:t>Train Acc.</w:t>
            </w:r>
          </w:p>
        </w:tc>
        <w:tc>
          <w:tcPr>
            <w:tcW w:type="dxa" w:w="840"/>
          </w:tcPr>
          <w:p>
            <w:r>
              <w:rPr>
                <w:rFonts w:ascii="Times New Roman" w:hAnsi="Times New Roman"/>
                <w:b/>
                <w:sz w:val="17"/>
              </w:rPr>
              <w:t>Test Accuracy</w:t>
            </w:r>
          </w:p>
        </w:tc>
        <w:tc>
          <w:tcPr>
            <w:tcW w:type="dxa" w:w="840"/>
          </w:tcPr>
          <w:p>
            <w:r>
              <w:rPr>
                <w:rFonts w:ascii="Times New Roman" w:hAnsi="Times New Roman"/>
                <w:b/>
                <w:sz w:val="17"/>
              </w:rPr>
              <w:t>Precision (Wt)</w:t>
            </w:r>
          </w:p>
        </w:tc>
        <w:tc>
          <w:tcPr>
            <w:tcW w:type="dxa" w:w="840"/>
          </w:tcPr>
          <w:p>
            <w:r>
              <w:rPr>
                <w:rFonts w:ascii="Times New Roman" w:hAnsi="Times New Roman"/>
                <w:b/>
                <w:sz w:val="17"/>
              </w:rPr>
              <w:t>Recall (Wt)</w:t>
            </w:r>
          </w:p>
        </w:tc>
        <w:tc>
          <w:tcPr>
            <w:tcW w:type="dxa" w:w="840"/>
          </w:tcPr>
          <w:p>
            <w:r>
              <w:rPr>
                <w:rFonts w:ascii="Times New Roman" w:hAnsi="Times New Roman"/>
                <w:b/>
                <w:sz w:val="17"/>
              </w:rPr>
              <w:t>F1-Score (Wt)</w:t>
            </w:r>
          </w:p>
        </w:tc>
        <w:tc>
          <w:tcPr>
            <w:tcW w:type="dxa" w:w="840"/>
          </w:tcPr>
          <w:p>
            <w:r>
              <w:rPr>
                <w:rFonts w:ascii="Times New Roman" w:hAnsi="Times New Roman"/>
                <w:b/>
                <w:sz w:val="17"/>
              </w:rPr>
              <w:t>Macro F1-Score</w:t>
            </w:r>
          </w:p>
        </w:tc>
        <w:tc>
          <w:tcPr>
            <w:tcW w:type="dxa" w:w="840"/>
          </w:tcPr>
          <w:p>
            <w:r>
              <w:rPr>
                <w:rFonts w:ascii="Times New Roman" w:hAnsi="Times New Roman"/>
                <w:b/>
                <w:sz w:val="17"/>
              </w:rPr>
              <w:t>ROC-AUC (Wt)</w:t>
            </w:r>
          </w:p>
        </w:tc>
        <w:tc>
          <w:tcPr>
            <w:tcW w:type="dxa" w:w="840"/>
          </w:tcPr>
          <w:p>
            <w:r>
              <w:rPr>
                <w:rFonts w:ascii="Times New Roman" w:hAnsi="Times New Roman"/>
                <w:b/>
                <w:sz w:val="17"/>
              </w:rPr>
              <w:t>PR-AUC (Macro)</w:t>
            </w:r>
          </w:p>
        </w:tc>
        <w:tc>
          <w:tcPr>
            <w:tcW w:type="dxa" w:w="840"/>
          </w:tcPr>
          <w:p>
            <w:r>
              <w:rPr>
                <w:rFonts w:ascii="Times New Roman" w:hAnsi="Times New Roman"/>
                <w:b/>
                <w:sz w:val="17"/>
              </w:rPr>
              <w:t>Overfit Gap</w:t>
            </w:r>
          </w:p>
        </w:tc>
        <w:tc>
          <w:tcPr>
            <w:tcW w:type="dxa" w:w="840"/>
          </w:tcPr>
          <w:p>
            <w:r>
              <w:rPr>
                <w:rFonts w:ascii="Times New Roman" w:hAnsi="Times New Roman"/>
                <w:b/>
                <w:sz w:val="17"/>
              </w:rPr>
              <w:t>Train Time (s)</w:t>
            </w:r>
          </w:p>
        </w:tc>
        <w:tc>
          <w:tcPr>
            <w:tcW w:type="dxa" w:w="840"/>
          </w:tcPr>
          <w:p>
            <w:r>
              <w:rPr>
                <w:rFonts w:ascii="Times New Roman" w:hAnsi="Times New Roman"/>
                <w:b/>
                <w:sz w:val="17"/>
              </w:rPr>
              <w:t>Inference Latency (ms / 1k flows)</w:t>
            </w:r>
          </w:p>
        </w:tc>
      </w:tr>
      <w:tr>
        <w:tc>
          <w:tcPr>
            <w:tcW w:type="dxa" w:w="840"/>
          </w:tcPr>
          <w:p>
            <w:r>
              <w:rPr>
                <w:rFonts w:ascii="Times New Roman" w:hAnsi="Times New Roman"/>
                <w:sz w:val="17"/>
              </w:rPr>
              <w:t>Logistic Regression (Linear Baseline)</w:t>
            </w:r>
          </w:p>
        </w:tc>
        <w:tc>
          <w:tcPr>
            <w:tcW w:type="dxa" w:w="840"/>
          </w:tcPr>
          <w:p>
            <w:r>
              <w:rPr>
                <w:rFonts w:ascii="Times New Roman" w:hAnsi="Times New Roman"/>
                <w:sz w:val="17"/>
              </w:rPr>
              <w:t>0.8503</w:t>
            </w:r>
          </w:p>
        </w:tc>
        <w:tc>
          <w:tcPr>
            <w:tcW w:type="dxa" w:w="840"/>
          </w:tcPr>
          <w:p>
            <w:r>
              <w:rPr>
                <w:rFonts w:ascii="Times New Roman" w:hAnsi="Times New Roman"/>
                <w:sz w:val="17"/>
              </w:rPr>
              <w:t>84.87% (0.8487)</w:t>
            </w:r>
          </w:p>
        </w:tc>
        <w:tc>
          <w:tcPr>
            <w:tcW w:type="dxa" w:w="840"/>
          </w:tcPr>
          <w:p>
            <w:r>
              <w:rPr>
                <w:rFonts w:ascii="Times New Roman" w:hAnsi="Times New Roman"/>
                <w:sz w:val="17"/>
              </w:rPr>
              <w:t>0.8736</w:t>
            </w:r>
          </w:p>
        </w:tc>
        <w:tc>
          <w:tcPr>
            <w:tcW w:type="dxa" w:w="840"/>
          </w:tcPr>
          <w:p>
            <w:r>
              <w:rPr>
                <w:rFonts w:ascii="Times New Roman" w:hAnsi="Times New Roman"/>
                <w:sz w:val="17"/>
              </w:rPr>
              <w:t>0.8487</w:t>
            </w:r>
          </w:p>
        </w:tc>
        <w:tc>
          <w:tcPr>
            <w:tcW w:type="dxa" w:w="840"/>
          </w:tcPr>
          <w:p>
            <w:r>
              <w:rPr>
                <w:rFonts w:ascii="Times New Roman" w:hAnsi="Times New Roman"/>
                <w:sz w:val="17"/>
              </w:rPr>
              <w:t>0.8479</w:t>
            </w:r>
          </w:p>
        </w:tc>
        <w:tc>
          <w:tcPr>
            <w:tcW w:type="dxa" w:w="840"/>
          </w:tcPr>
          <w:p>
            <w:r>
              <w:rPr>
                <w:rFonts w:ascii="Times New Roman" w:hAnsi="Times New Roman"/>
                <w:sz w:val="17"/>
              </w:rPr>
              <w:t>0.8419</w:t>
            </w:r>
          </w:p>
        </w:tc>
        <w:tc>
          <w:tcPr>
            <w:tcW w:type="dxa" w:w="840"/>
          </w:tcPr>
          <w:p>
            <w:r>
              <w:rPr>
                <w:rFonts w:ascii="Times New Roman" w:hAnsi="Times New Roman"/>
                <w:sz w:val="17"/>
              </w:rPr>
              <w:t>0.9829</w:t>
            </w:r>
          </w:p>
        </w:tc>
        <w:tc>
          <w:tcPr>
            <w:tcW w:type="dxa" w:w="840"/>
          </w:tcPr>
          <w:p>
            <w:r>
              <w:rPr>
                <w:rFonts w:ascii="Times New Roman" w:hAnsi="Times New Roman"/>
                <w:sz w:val="17"/>
              </w:rPr>
              <w:t>0.8656</w:t>
            </w:r>
          </w:p>
        </w:tc>
        <w:tc>
          <w:tcPr>
            <w:tcW w:type="dxa" w:w="840"/>
          </w:tcPr>
          <w:p>
            <w:r>
              <w:rPr>
                <w:rFonts w:ascii="Times New Roman" w:hAnsi="Times New Roman"/>
                <w:sz w:val="17"/>
              </w:rPr>
              <w:t>+0.0016</w:t>
            </w:r>
          </w:p>
        </w:tc>
        <w:tc>
          <w:tcPr>
            <w:tcW w:type="dxa" w:w="840"/>
          </w:tcPr>
          <w:p>
            <w:r>
              <w:rPr>
                <w:rFonts w:ascii="Times New Roman" w:hAnsi="Times New Roman"/>
                <w:sz w:val="17"/>
              </w:rPr>
              <w:t>23.18 s</w:t>
            </w:r>
          </w:p>
        </w:tc>
        <w:tc>
          <w:tcPr>
            <w:tcW w:type="dxa" w:w="840"/>
          </w:tcPr>
          <w:p>
            <w:r>
              <w:rPr>
                <w:rFonts w:ascii="Times New Roman" w:hAnsi="Times New Roman"/>
                <w:sz w:val="17"/>
              </w:rPr>
              <w:t>0.43 ms</w:t>
            </w:r>
          </w:p>
        </w:tc>
      </w:tr>
      <w:tr>
        <w:tc>
          <w:tcPr>
            <w:tcW w:type="dxa" w:w="840"/>
          </w:tcPr>
          <w:p>
            <w:r>
              <w:rPr>
                <w:rFonts w:ascii="Times New Roman" w:hAnsi="Times New Roman"/>
                <w:sz w:val="17"/>
              </w:rPr>
              <w:t>Random Forest ($150$ Trees, Bagging)</w:t>
            </w:r>
          </w:p>
        </w:tc>
        <w:tc>
          <w:tcPr>
            <w:tcW w:type="dxa" w:w="840"/>
          </w:tcPr>
          <w:p>
            <w:r>
              <w:rPr>
                <w:rFonts w:ascii="Times New Roman" w:hAnsi="Times New Roman"/>
                <w:sz w:val="17"/>
              </w:rPr>
              <w:t>0.9458</w:t>
            </w:r>
          </w:p>
        </w:tc>
        <w:tc>
          <w:tcPr>
            <w:tcW w:type="dxa" w:w="840"/>
          </w:tcPr>
          <w:p>
            <w:r>
              <w:rPr>
                <w:rFonts w:ascii="Times New Roman" w:hAnsi="Times New Roman"/>
                <w:sz w:val="17"/>
              </w:rPr>
              <w:t>94.38% (0.9438)</w:t>
            </w:r>
          </w:p>
        </w:tc>
        <w:tc>
          <w:tcPr>
            <w:tcW w:type="dxa" w:w="840"/>
          </w:tcPr>
          <w:p>
            <w:r>
              <w:rPr>
                <w:rFonts w:ascii="Times New Roman" w:hAnsi="Times New Roman"/>
                <w:sz w:val="17"/>
              </w:rPr>
              <w:t>0.9455</w:t>
            </w:r>
          </w:p>
        </w:tc>
        <w:tc>
          <w:tcPr>
            <w:tcW w:type="dxa" w:w="840"/>
          </w:tcPr>
          <w:p>
            <w:r>
              <w:rPr>
                <w:rFonts w:ascii="Times New Roman" w:hAnsi="Times New Roman"/>
                <w:sz w:val="17"/>
              </w:rPr>
              <w:t>0.9438</w:t>
            </w:r>
          </w:p>
        </w:tc>
        <w:tc>
          <w:tcPr>
            <w:tcW w:type="dxa" w:w="840"/>
          </w:tcPr>
          <w:p>
            <w:r>
              <w:rPr>
                <w:rFonts w:ascii="Times New Roman" w:hAnsi="Times New Roman"/>
                <w:sz w:val="17"/>
              </w:rPr>
              <w:t>0.9438</w:t>
            </w:r>
          </w:p>
        </w:tc>
        <w:tc>
          <w:tcPr>
            <w:tcW w:type="dxa" w:w="840"/>
          </w:tcPr>
          <w:p>
            <w:r>
              <w:rPr>
                <w:rFonts w:ascii="Times New Roman" w:hAnsi="Times New Roman"/>
                <w:sz w:val="17"/>
              </w:rPr>
              <w:t>0.9414</w:t>
            </w:r>
          </w:p>
        </w:tc>
        <w:tc>
          <w:tcPr>
            <w:tcW w:type="dxa" w:w="840"/>
          </w:tcPr>
          <w:p>
            <w:r>
              <w:rPr>
                <w:rFonts w:ascii="Times New Roman" w:hAnsi="Times New Roman"/>
                <w:sz w:val="17"/>
              </w:rPr>
              <w:t>0.9978</w:t>
            </w:r>
          </w:p>
        </w:tc>
        <w:tc>
          <w:tcPr>
            <w:tcW w:type="dxa" w:w="840"/>
          </w:tcPr>
          <w:p>
            <w:r>
              <w:rPr>
                <w:rFonts w:ascii="Times New Roman" w:hAnsi="Times New Roman"/>
                <w:sz w:val="17"/>
              </w:rPr>
              <w:t>0.9768</w:t>
            </w:r>
          </w:p>
        </w:tc>
        <w:tc>
          <w:tcPr>
            <w:tcW w:type="dxa" w:w="840"/>
          </w:tcPr>
          <w:p>
            <w:r>
              <w:rPr>
                <w:rFonts w:ascii="Times New Roman" w:hAnsi="Times New Roman"/>
                <w:sz w:val="17"/>
              </w:rPr>
              <w:t>+0.0020</w:t>
            </w:r>
          </w:p>
        </w:tc>
        <w:tc>
          <w:tcPr>
            <w:tcW w:type="dxa" w:w="840"/>
          </w:tcPr>
          <w:p>
            <w:r>
              <w:rPr>
                <w:rFonts w:ascii="Times New Roman" w:hAnsi="Times New Roman"/>
                <w:sz w:val="17"/>
              </w:rPr>
              <w:t>3.46 s</w:t>
            </w:r>
          </w:p>
        </w:tc>
        <w:tc>
          <w:tcPr>
            <w:tcW w:type="dxa" w:w="840"/>
          </w:tcPr>
          <w:p>
            <w:r>
              <w:rPr>
                <w:rFonts w:ascii="Times New Roman" w:hAnsi="Times New Roman"/>
                <w:sz w:val="17"/>
              </w:rPr>
              <w:t>10.35 ms</w:t>
            </w:r>
          </w:p>
        </w:tc>
      </w:tr>
      <w:tr>
        <w:tc>
          <w:tcPr>
            <w:tcW w:type="dxa" w:w="840"/>
          </w:tcPr>
          <w:p>
            <w:r>
              <w:rPr>
                <w:rFonts w:ascii="Times New Roman" w:hAnsi="Times New Roman"/>
                <w:sz w:val="17"/>
              </w:rPr>
              <w:t>LightGBM (Leaf-Wise GBDT)</w:t>
            </w:r>
          </w:p>
        </w:tc>
        <w:tc>
          <w:tcPr>
            <w:tcW w:type="dxa" w:w="840"/>
          </w:tcPr>
          <w:p>
            <w:r>
              <w:rPr>
                <w:rFonts w:ascii="Times New Roman" w:hAnsi="Times New Roman"/>
                <w:sz w:val="17"/>
              </w:rPr>
              <w:t>0.9843</w:t>
            </w:r>
          </w:p>
        </w:tc>
        <w:tc>
          <w:tcPr>
            <w:tcW w:type="dxa" w:w="840"/>
          </w:tcPr>
          <w:p>
            <w:r>
              <w:rPr>
                <w:rFonts w:ascii="Times New Roman" w:hAnsi="Times New Roman"/>
                <w:sz w:val="17"/>
              </w:rPr>
              <w:t>96.33% (0.9633)</w:t>
            </w:r>
          </w:p>
        </w:tc>
        <w:tc>
          <w:tcPr>
            <w:tcW w:type="dxa" w:w="840"/>
          </w:tcPr>
          <w:p>
            <w:r>
              <w:rPr>
                <w:rFonts w:ascii="Times New Roman" w:hAnsi="Times New Roman"/>
                <w:sz w:val="17"/>
              </w:rPr>
              <w:t>0.9640</w:t>
            </w:r>
          </w:p>
        </w:tc>
        <w:tc>
          <w:tcPr>
            <w:tcW w:type="dxa" w:w="840"/>
          </w:tcPr>
          <w:p>
            <w:r>
              <w:rPr>
                <w:rFonts w:ascii="Times New Roman" w:hAnsi="Times New Roman"/>
                <w:sz w:val="17"/>
              </w:rPr>
              <w:t>0.9633</w:t>
            </w:r>
          </w:p>
        </w:tc>
        <w:tc>
          <w:tcPr>
            <w:tcW w:type="dxa" w:w="840"/>
          </w:tcPr>
          <w:p>
            <w:r>
              <w:rPr>
                <w:rFonts w:ascii="Times New Roman" w:hAnsi="Times New Roman"/>
                <w:sz w:val="17"/>
              </w:rPr>
              <w:t>0.9632</w:t>
            </w:r>
          </w:p>
        </w:tc>
        <w:tc>
          <w:tcPr>
            <w:tcW w:type="dxa" w:w="840"/>
          </w:tcPr>
          <w:p>
            <w:r>
              <w:rPr>
                <w:rFonts w:ascii="Times New Roman" w:hAnsi="Times New Roman"/>
                <w:sz w:val="17"/>
              </w:rPr>
              <w:t>0.9596</w:t>
            </w:r>
          </w:p>
        </w:tc>
        <w:tc>
          <w:tcPr>
            <w:tcW w:type="dxa" w:w="840"/>
          </w:tcPr>
          <w:p>
            <w:r>
              <w:rPr>
                <w:rFonts w:ascii="Times New Roman" w:hAnsi="Times New Roman"/>
                <w:sz w:val="17"/>
              </w:rPr>
              <w:t>0.9991</w:t>
            </w:r>
          </w:p>
        </w:tc>
        <w:tc>
          <w:tcPr>
            <w:tcW w:type="dxa" w:w="840"/>
          </w:tcPr>
          <w:p>
            <w:r>
              <w:rPr>
                <w:rFonts w:ascii="Times New Roman" w:hAnsi="Times New Roman"/>
                <w:sz w:val="17"/>
              </w:rPr>
              <w:t>0.9888</w:t>
            </w:r>
          </w:p>
        </w:tc>
        <w:tc>
          <w:tcPr>
            <w:tcW w:type="dxa" w:w="840"/>
          </w:tcPr>
          <w:p>
            <w:r>
              <w:rPr>
                <w:rFonts w:ascii="Times New Roman" w:hAnsi="Times New Roman"/>
                <w:sz w:val="17"/>
              </w:rPr>
              <w:t>+0.0210</w:t>
            </w:r>
          </w:p>
        </w:tc>
        <w:tc>
          <w:tcPr>
            <w:tcW w:type="dxa" w:w="840"/>
          </w:tcPr>
          <w:p>
            <w:r>
              <w:rPr>
                <w:rFonts w:ascii="Times New Roman" w:hAnsi="Times New Roman"/>
                <w:sz w:val="17"/>
              </w:rPr>
              <w:t>7.61 s</w:t>
            </w:r>
          </w:p>
        </w:tc>
        <w:tc>
          <w:tcPr>
            <w:tcW w:type="dxa" w:w="840"/>
          </w:tcPr>
          <w:p>
            <w:r>
              <w:rPr>
                <w:rFonts w:ascii="Times New Roman" w:hAnsi="Times New Roman"/>
                <w:sz w:val="17"/>
              </w:rPr>
              <w:t>18.35 ms</w:t>
            </w:r>
          </w:p>
        </w:tc>
      </w:tr>
      <w:tr>
        <w:tc>
          <w:tcPr>
            <w:tcW w:type="dxa" w:w="840"/>
          </w:tcPr>
          <w:p>
            <w:r>
              <w:rPr>
                <w:rFonts w:ascii="Times New Roman" w:hAnsi="Times New Roman"/>
                <w:sz w:val="17"/>
              </w:rPr>
              <w:t>XGBoost + PP-PSFE (Proposed Best)</w:t>
            </w:r>
          </w:p>
        </w:tc>
        <w:tc>
          <w:tcPr>
            <w:tcW w:type="dxa" w:w="840"/>
          </w:tcPr>
          <w:p>
            <w:r>
              <w:rPr>
                <w:rFonts w:ascii="Times New Roman" w:hAnsi="Times New Roman"/>
                <w:sz w:val="17"/>
              </w:rPr>
              <w:t>0.9706</w:t>
            </w:r>
          </w:p>
        </w:tc>
        <w:tc>
          <w:tcPr>
            <w:tcW w:type="dxa" w:w="840"/>
          </w:tcPr>
          <w:p>
            <w:r>
              <w:rPr>
                <w:rFonts w:ascii="Times New Roman" w:hAnsi="Times New Roman"/>
                <w:sz w:val="17"/>
              </w:rPr>
              <w:t>96.49% (0.9649)</w:t>
            </w:r>
          </w:p>
        </w:tc>
        <w:tc>
          <w:tcPr>
            <w:tcW w:type="dxa" w:w="840"/>
          </w:tcPr>
          <w:p>
            <w:r>
              <w:rPr>
                <w:rFonts w:ascii="Times New Roman" w:hAnsi="Times New Roman"/>
                <w:sz w:val="17"/>
              </w:rPr>
              <w:t>0.9663</w:t>
            </w:r>
          </w:p>
        </w:tc>
        <w:tc>
          <w:tcPr>
            <w:tcW w:type="dxa" w:w="840"/>
          </w:tcPr>
          <w:p>
            <w:r>
              <w:rPr>
                <w:rFonts w:ascii="Times New Roman" w:hAnsi="Times New Roman"/>
                <w:sz w:val="17"/>
              </w:rPr>
              <w:t>0.9649</w:t>
            </w:r>
          </w:p>
        </w:tc>
        <w:tc>
          <w:tcPr>
            <w:tcW w:type="dxa" w:w="840"/>
          </w:tcPr>
          <w:p>
            <w:r>
              <w:rPr>
                <w:rFonts w:ascii="Times New Roman" w:hAnsi="Times New Roman"/>
                <w:sz w:val="17"/>
              </w:rPr>
              <w:t>0.9649</w:t>
            </w:r>
          </w:p>
        </w:tc>
        <w:tc>
          <w:tcPr>
            <w:tcW w:type="dxa" w:w="840"/>
          </w:tcPr>
          <w:p>
            <w:r>
              <w:rPr>
                <w:rFonts w:ascii="Times New Roman" w:hAnsi="Times New Roman"/>
                <w:sz w:val="17"/>
              </w:rPr>
              <w:t>0.9618</w:t>
            </w:r>
          </w:p>
        </w:tc>
        <w:tc>
          <w:tcPr>
            <w:tcW w:type="dxa" w:w="840"/>
          </w:tcPr>
          <w:p>
            <w:r>
              <w:rPr>
                <w:rFonts w:ascii="Times New Roman" w:hAnsi="Times New Roman"/>
                <w:sz w:val="17"/>
              </w:rPr>
              <w:t>0.9991</w:t>
            </w:r>
          </w:p>
        </w:tc>
        <w:tc>
          <w:tcPr>
            <w:tcW w:type="dxa" w:w="840"/>
          </w:tcPr>
          <w:p>
            <w:r>
              <w:rPr>
                <w:rFonts w:ascii="Times New Roman" w:hAnsi="Times New Roman"/>
                <w:sz w:val="17"/>
              </w:rPr>
              <w:t>0.9874</w:t>
            </w:r>
          </w:p>
        </w:tc>
        <w:tc>
          <w:tcPr>
            <w:tcW w:type="dxa" w:w="840"/>
          </w:tcPr>
          <w:p>
            <w:r>
              <w:rPr>
                <w:rFonts w:ascii="Times New Roman" w:hAnsi="Times New Roman"/>
                <w:sz w:val="17"/>
              </w:rPr>
              <w:t>+0.0057</w:t>
            </w:r>
          </w:p>
        </w:tc>
        <w:tc>
          <w:tcPr>
            <w:tcW w:type="dxa" w:w="840"/>
          </w:tcPr>
          <w:p>
            <w:r>
              <w:rPr>
                <w:rFonts w:ascii="Times New Roman" w:hAnsi="Times New Roman"/>
                <w:sz w:val="17"/>
              </w:rPr>
              <w:t>13.93 s</w:t>
            </w:r>
          </w:p>
        </w:tc>
        <w:tc>
          <w:tcPr>
            <w:tcW w:type="dxa" w:w="840"/>
          </w:tcPr>
          <w:p>
            <w:r>
              <w:rPr>
                <w:rFonts w:ascii="Times New Roman" w:hAnsi="Times New Roman"/>
                <w:sz w:val="17"/>
              </w:rPr>
              <w:t>3.54 ms</w:t>
            </w:r>
          </w:p>
        </w:tc>
      </w:tr>
    </w:tbl>
    <w:p/>
    <w:p>
      <w:pPr>
        <w:jc w:val="both"/>
      </w:pPr>
      <w:r>
        <w:t xml:space="preserve">As shown in </w:t>
      </w:r>
      <w:r>
        <w:rPr>
          <w:b/>
        </w:rPr>
        <w:t>Table IV</w:t>
      </w:r>
      <w:r>
        <w:t xml:space="preserve"> and visually confirmed in </w:t>
      </w:r>
      <w:r>
        <w:rPr>
          <w:b/>
        </w:rPr>
        <w:t>Fig. 2</w:t>
      </w:r>
      <w:r>
        <w:t xml:space="preserve">, </w:t>
      </w:r>
      <w:r>
        <w:rPr>
          <w:b/>
        </w:rPr>
        <w:t>XGBoost</w:t>
      </w:r>
      <w:r>
        <w:t xml:space="preserve"> achieves the highest overall Test Accuracy (</w:t>
      </w:r>
      <w:r>
        <w:rPr>
          <w:b/>
        </w:rPr>
        <w:t>$96.49\%$</w:t>
      </w:r>
      <w:r>
        <w:t>), Weighted F1-Score (</w:t>
      </w:r>
      <w:r>
        <w:rPr>
          <w:b/>
        </w:rPr>
        <w:t>$0.9649$</w:t>
      </w:r>
      <w:r>
        <w:t>), and Macro F1-Score (</w:t>
      </w:r>
      <w:r>
        <w:rPr>
          <w:b/>
        </w:rPr>
        <w:t>$0.9618$</w:t>
      </w:r>
      <w:r>
        <w:t xml:space="preserve">), outperforming the Multinomial Logistic Regression baseline by </w:t>
      </w:r>
      <w:r>
        <w:rPr>
          <w:b/>
        </w:rPr>
        <w:t>$+11.62$ percentage points in accuracy</w:t>
      </w:r>
      <w:r>
        <w:t xml:space="preserve"> and </w:t>
      </w:r>
      <w:r>
        <w:rPr>
          <w:b/>
        </w:rPr>
        <w:t>$+11.99$ percentage points in Macro-F1</w:t>
      </w:r>
      <w:r>
        <w:t xml:space="preserve"> ($0.8419 \rightarrow 0.9618$), and outperforming Random Forest by </w:t>
      </w:r>
      <w:r>
        <w:rPr>
          <w:b/>
        </w:rPr>
        <w:t>$+2.11$ percentage points in accuracy</w:t>
      </w:r>
      <w:r>
        <w:t xml:space="preserve"> ($94.38\% \rightarrow 96.49\%$). Compared with LightGBM ($96.33\%$ test accuracy), XGBoost not only achieves higher test accuracy and Macro-F1 ($0.9618$ vs. $0.9596$), but exhibits a </w:t>
      </w:r>
      <w:r>
        <w:rPr>
          <w:b/>
        </w:rPr>
        <w:t>$3.7\times$ smaller overfitting gap</w:t>
      </w:r>
      <w:r>
        <w:t xml:space="preserve"> ($+0.0057$ vs. $+0.0210$) and </w:t>
      </w:r>
      <w:r>
        <w:rPr>
          <w:b/>
        </w:rPr>
        <w:t>$5.2\times$ faster batch inference</w:t>
      </w:r>
      <w:r>
        <w:t xml:space="preserve"> ($3.54\text{ ms}$ vs. $18.35\text{ ms}$ per $1,000$ flows, corresponding to $\approx 282,000\text{ flows/sec}$ on a single CPU node).</w:t>
      </w:r>
    </w:p>
    <w:p>
      <w:pPr>
        <w:jc w:val="center"/>
      </w:pPr>
      <w:r>
        <w:drawing>
          <wp:inline xmlns:a="http://schemas.openxmlformats.org/drawingml/2006/main" xmlns:pic="http://schemas.openxmlformats.org/drawingml/2006/picture">
            <wp:extent cx="5669280" cy="2165684"/>
            <wp:docPr id="1" name="Picture 1"/>
            <wp:cNvGraphicFramePr>
              <a:graphicFrameLocks noChangeAspect="1"/>
            </wp:cNvGraphicFramePr>
            <a:graphic>
              <a:graphicData uri="http://schemas.openxmlformats.org/drawingml/2006/picture">
                <pic:pic>
                  <pic:nvPicPr>
                    <pic:cNvPr id="0" name="model_comparison.png"/>
                    <pic:cNvPicPr/>
                  </pic:nvPicPr>
                  <pic:blipFill>
                    <a:blip r:embed="rId9"/>
                    <a:stretch>
                      <a:fillRect/>
                    </a:stretch>
                  </pic:blipFill>
                  <pic:spPr>
                    <a:xfrm>
                      <a:off x="0" y="0"/>
                      <a:ext cx="5669280" cy="2165684"/>
                    </a:xfrm>
                    <a:prstGeom prst="rect"/>
                  </pic:spPr>
                </pic:pic>
              </a:graphicData>
            </a:graphic>
          </wp:inline>
        </w:drawing>
      </w:r>
    </w:p>
    <w:p>
      <w:pPr>
        <w:jc w:val="center"/>
      </w:pPr>
      <w:r>
        <w:rPr>
          <w:i/>
          <w:sz w:val="19"/>
        </w:rPr>
        <w:t>Fig. 2. Multi-metric comparison of Logistic Regression, Random Forest, XGBoost, and LightGBM on the sanitized 62-feature Edge-IIoTset benchmark.</w:t>
      </w:r>
    </w:p>
    <w:p>
      <w:pPr>
        <w:spacing w:before="160" w:after="60"/>
      </w:pPr>
      <w:r>
        <w:rPr>
          <w:b/>
          <w:i/>
          <w:sz w:val="21"/>
        </w:rPr>
        <w:t>B. Granular 15-Class Performance &amp; Web-Attack Disentanglement Analysis</w:t>
      </w:r>
    </w:p>
    <w:p>
      <w:pPr>
        <w:jc w:val="both"/>
      </w:pPr>
      <w:r>
        <w:t xml:space="preserve">To understand *where* the $+11.99\%$ Macro-F1 improvement over the linear baseline and $+2.04\%$ Macro-F1 improvement over Random Forest originate, </w:t>
      </w:r>
      <w:r>
        <w:rPr>
          <w:b/>
        </w:rPr>
        <w:t>Table V</w:t>
      </w:r>
      <w:r>
        <w:t xml:space="preserve"> reports the exact per-class Precision, Recall, and F1-Score across all 15 traffic classes on the held-out test set ($N_{\text{test}} = 30,478$), and </w:t>
      </w:r>
      <w:r>
        <w:rPr>
          <w:b/>
        </w:rPr>
        <w:t>Fig. 3</w:t>
      </w:r>
      <w:r>
        <w:t xml:space="preserve"> displays the full $15 \times 15$ confusion matrices for all four classifiers.</w:t>
      </w:r>
    </w:p>
    <w:p>
      <w:pPr>
        <w:jc w:val="both"/>
      </w:pPr>
      <w:r/>
      <w:r>
        <w:rPr>
          <w:b/>
        </w:rPr>
        <w:t>TABLE V: Per-Class Precision, Recall, and F1-Score Across All 15 Edge-IIoTset Traffic Classes ($N_{\text{test}} = 30,478$)</w:t>
      </w:r>
      <w:r/>
    </w:p>
    <w:tbl>
      <w:tblPr>
        <w:tblStyle w:val="TableGrid"/>
        <w:tblW w:type="auto" w:w="0"/>
        <w:jc w:val="center"/>
        <w:tblLook w:firstColumn="1" w:firstRow="1" w:lastColumn="0" w:lastRow="0" w:noHBand="0" w:noVBand="1" w:val="04A0"/>
      </w:tblPr>
      <w:tblGrid>
        <w:gridCol w:w="1260"/>
        <w:gridCol w:w="1260"/>
        <w:gridCol w:w="1260"/>
        <w:gridCol w:w="1260"/>
        <w:gridCol w:w="1260"/>
        <w:gridCol w:w="1260"/>
        <w:gridCol w:w="1260"/>
        <w:gridCol w:w="1260"/>
      </w:tblGrid>
      <w:tr>
        <w:tc>
          <w:tcPr>
            <w:tcW w:type="dxa" w:w="1260"/>
          </w:tcPr>
          <w:p>
            <w:r>
              <w:rPr>
                <w:rFonts w:ascii="Times New Roman" w:hAnsi="Times New Roman"/>
                <w:b/>
                <w:sz w:val="17"/>
              </w:rPr>
              <w:t>Traffic Class</w:t>
            </w:r>
          </w:p>
        </w:tc>
        <w:tc>
          <w:tcPr>
            <w:tcW w:type="dxa" w:w="1260"/>
          </w:tcPr>
          <w:p>
            <w:r>
              <w:rPr>
                <w:rFonts w:ascii="Times New Roman" w:hAnsi="Times New Roman"/>
                <w:b/>
                <w:sz w:val="17"/>
              </w:rPr>
              <w:t>Test Support</w:t>
            </w:r>
          </w:p>
        </w:tc>
        <w:tc>
          <w:tcPr>
            <w:tcW w:type="dxa" w:w="1260"/>
          </w:tcPr>
          <w:p>
            <w:r>
              <w:rPr>
                <w:rFonts w:ascii="Times New Roman" w:hAnsi="Times New Roman"/>
                <w:b/>
                <w:sz w:val="17"/>
              </w:rPr>
              <w:t>Logistic Regression F1</w:t>
            </w:r>
          </w:p>
        </w:tc>
        <w:tc>
          <w:tcPr>
            <w:tcW w:type="dxa" w:w="1260"/>
          </w:tcPr>
          <w:p>
            <w:r>
              <w:rPr>
                <w:rFonts w:ascii="Times New Roman" w:hAnsi="Times New Roman"/>
                <w:b/>
                <w:sz w:val="17"/>
              </w:rPr>
              <w:t>Random Forest F1</w:t>
            </w:r>
          </w:p>
        </w:tc>
        <w:tc>
          <w:tcPr>
            <w:tcW w:type="dxa" w:w="1260"/>
          </w:tcPr>
          <w:p>
            <w:r>
              <w:rPr>
                <w:rFonts w:ascii="Times New Roman" w:hAnsi="Times New Roman"/>
                <w:b/>
                <w:sz w:val="17"/>
              </w:rPr>
              <w:t>LightGBM F1</w:t>
            </w:r>
          </w:p>
        </w:tc>
        <w:tc>
          <w:tcPr>
            <w:tcW w:type="dxa" w:w="1260"/>
          </w:tcPr>
          <w:p>
            <w:r>
              <w:rPr>
                <w:rFonts w:ascii="Times New Roman" w:hAnsi="Times New Roman"/>
                <w:b/>
                <w:sz w:val="17"/>
              </w:rPr>
              <w:t>Proposed XGBoost Precision</w:t>
            </w:r>
          </w:p>
        </w:tc>
        <w:tc>
          <w:tcPr>
            <w:tcW w:type="dxa" w:w="1260"/>
          </w:tcPr>
          <w:p>
            <w:r>
              <w:rPr>
                <w:rFonts w:ascii="Times New Roman" w:hAnsi="Times New Roman"/>
                <w:b/>
                <w:sz w:val="17"/>
              </w:rPr>
              <w:t>Proposed XGBoost Recall</w:t>
            </w:r>
          </w:p>
        </w:tc>
        <w:tc>
          <w:tcPr>
            <w:tcW w:type="dxa" w:w="1260"/>
          </w:tcPr>
          <w:p>
            <w:r>
              <w:rPr>
                <w:rFonts w:ascii="Times New Roman" w:hAnsi="Times New Roman"/>
                <w:b/>
                <w:sz w:val="17"/>
              </w:rPr>
              <w:t>Proposed XGBoost F1-Score</w:t>
            </w:r>
          </w:p>
        </w:tc>
      </w:tr>
      <w:tr>
        <w:tc>
          <w:tcPr>
            <w:tcW w:type="dxa" w:w="1260"/>
          </w:tcPr>
          <w:p>
            <w:r>
              <w:rPr>
                <w:rFonts w:ascii="Times New Roman" w:hAnsi="Times New Roman"/>
                <w:sz w:val="17"/>
              </w:rPr>
              <w:t>Backdoor</w:t>
            </w:r>
          </w:p>
        </w:tc>
        <w:tc>
          <w:tcPr>
            <w:tcW w:type="dxa" w:w="1260"/>
          </w:tcPr>
          <w:p>
            <w:r>
              <w:rPr>
                <w:rFonts w:ascii="Times New Roman" w:hAnsi="Times New Roman"/>
                <w:sz w:val="17"/>
              </w:rPr>
              <w:t>1,973</w:t>
            </w:r>
          </w:p>
        </w:tc>
        <w:tc>
          <w:tcPr>
            <w:tcW w:type="dxa" w:w="1260"/>
          </w:tcPr>
          <w:p>
            <w:r>
              <w:rPr>
                <w:rFonts w:ascii="Times New Roman" w:hAnsi="Times New Roman"/>
                <w:sz w:val="17"/>
              </w:rPr>
              <w:t>0.9921</w:t>
            </w:r>
          </w:p>
        </w:tc>
        <w:tc>
          <w:tcPr>
            <w:tcW w:type="dxa" w:w="1260"/>
          </w:tcPr>
          <w:p>
            <w:r>
              <w:rPr>
                <w:rFonts w:ascii="Times New Roman" w:hAnsi="Times New Roman"/>
                <w:sz w:val="17"/>
              </w:rPr>
              <w:t>0.9997</w:t>
            </w:r>
          </w:p>
        </w:tc>
        <w:tc>
          <w:tcPr>
            <w:tcW w:type="dxa" w:w="1260"/>
          </w:tcPr>
          <w:p>
            <w:r>
              <w:rPr>
                <w:rFonts w:ascii="Times New Roman" w:hAnsi="Times New Roman"/>
                <w:sz w:val="17"/>
              </w:rPr>
              <w:t>0.9997</w:t>
            </w:r>
          </w:p>
        </w:tc>
        <w:tc>
          <w:tcPr>
            <w:tcW w:type="dxa" w:w="1260"/>
          </w:tcPr>
          <w:p>
            <w:r>
              <w:rPr>
                <w:rFonts w:ascii="Times New Roman" w:hAnsi="Times New Roman"/>
                <w:sz w:val="17"/>
              </w:rPr>
              <w:t>1.0000</w:t>
            </w:r>
          </w:p>
        </w:tc>
        <w:tc>
          <w:tcPr>
            <w:tcW w:type="dxa" w:w="1260"/>
          </w:tcPr>
          <w:p>
            <w:r>
              <w:rPr>
                <w:rFonts w:ascii="Times New Roman" w:hAnsi="Times New Roman"/>
                <w:sz w:val="17"/>
              </w:rPr>
              <w:t>0.9995</w:t>
            </w:r>
          </w:p>
        </w:tc>
        <w:tc>
          <w:tcPr>
            <w:tcW w:type="dxa" w:w="1260"/>
          </w:tcPr>
          <w:p>
            <w:r>
              <w:rPr>
                <w:rFonts w:ascii="Times New Roman" w:hAnsi="Times New Roman"/>
                <w:sz w:val="17"/>
              </w:rPr>
              <w:t>0.9997</w:t>
            </w:r>
          </w:p>
        </w:tc>
      </w:tr>
      <w:tr>
        <w:tc>
          <w:tcPr>
            <w:tcW w:type="dxa" w:w="1260"/>
          </w:tcPr>
          <w:p>
            <w:r>
              <w:rPr>
                <w:rFonts w:ascii="Times New Roman" w:hAnsi="Times New Roman"/>
                <w:sz w:val="17"/>
              </w:rPr>
              <w:t>DDoS_HTTP</w:t>
            </w:r>
          </w:p>
        </w:tc>
        <w:tc>
          <w:tcPr>
            <w:tcW w:type="dxa" w:w="1260"/>
          </w:tcPr>
          <w:p>
            <w:r>
              <w:rPr>
                <w:rFonts w:ascii="Times New Roman" w:hAnsi="Times New Roman"/>
                <w:sz w:val="17"/>
              </w:rPr>
              <w:t>2,112</w:t>
            </w:r>
          </w:p>
        </w:tc>
        <w:tc>
          <w:tcPr>
            <w:tcW w:type="dxa" w:w="1260"/>
          </w:tcPr>
          <w:p>
            <w:r>
              <w:rPr>
                <w:rFonts w:ascii="Times New Roman" w:hAnsi="Times New Roman"/>
                <w:sz w:val="17"/>
              </w:rPr>
              <w:t>0.6067</w:t>
            </w:r>
          </w:p>
        </w:tc>
        <w:tc>
          <w:tcPr>
            <w:tcW w:type="dxa" w:w="1260"/>
          </w:tcPr>
          <w:p>
            <w:r>
              <w:rPr>
                <w:rFonts w:ascii="Times New Roman" w:hAnsi="Times New Roman"/>
                <w:sz w:val="17"/>
              </w:rPr>
              <w:t>0.7780</w:t>
            </w:r>
          </w:p>
        </w:tc>
        <w:tc>
          <w:tcPr>
            <w:tcW w:type="dxa" w:w="1260"/>
          </w:tcPr>
          <w:p>
            <w:r>
              <w:rPr>
                <w:rFonts w:ascii="Times New Roman" w:hAnsi="Times New Roman"/>
                <w:sz w:val="17"/>
              </w:rPr>
              <w:t>0.8527</w:t>
            </w:r>
          </w:p>
        </w:tc>
        <w:tc>
          <w:tcPr>
            <w:tcW w:type="dxa" w:w="1260"/>
          </w:tcPr>
          <w:p>
            <w:r>
              <w:rPr>
                <w:rFonts w:ascii="Times New Roman" w:hAnsi="Times New Roman"/>
                <w:sz w:val="17"/>
              </w:rPr>
              <w:t>0.8304</w:t>
            </w:r>
          </w:p>
        </w:tc>
        <w:tc>
          <w:tcPr>
            <w:tcW w:type="dxa" w:w="1260"/>
          </w:tcPr>
          <w:p>
            <w:r>
              <w:rPr>
                <w:rFonts w:ascii="Times New Roman" w:hAnsi="Times New Roman"/>
                <w:sz w:val="17"/>
              </w:rPr>
              <w:t>0.8835</w:t>
            </w:r>
          </w:p>
        </w:tc>
        <w:tc>
          <w:tcPr>
            <w:tcW w:type="dxa" w:w="1260"/>
          </w:tcPr>
          <w:p>
            <w:r>
              <w:rPr>
                <w:rFonts w:ascii="Times New Roman" w:hAnsi="Times New Roman"/>
                <w:sz w:val="17"/>
              </w:rPr>
              <w:t>0.8562</w:t>
            </w:r>
          </w:p>
        </w:tc>
      </w:tr>
      <w:tr>
        <w:tc>
          <w:tcPr>
            <w:tcW w:type="dxa" w:w="1260"/>
          </w:tcPr>
          <w:p>
            <w:r>
              <w:rPr>
                <w:rFonts w:ascii="Times New Roman" w:hAnsi="Times New Roman"/>
                <w:sz w:val="17"/>
              </w:rPr>
              <w:t>DDoS_ICMP</w:t>
            </w:r>
          </w:p>
        </w:tc>
        <w:tc>
          <w:tcPr>
            <w:tcW w:type="dxa" w:w="1260"/>
          </w:tcPr>
          <w:p>
            <w:r>
              <w:rPr>
                <w:rFonts w:ascii="Times New Roman" w:hAnsi="Times New Roman"/>
                <w:sz w:val="17"/>
              </w:rPr>
              <w:t>2,619</w:t>
            </w:r>
          </w:p>
        </w:tc>
        <w:tc>
          <w:tcPr>
            <w:tcW w:type="dxa" w:w="1260"/>
          </w:tcPr>
          <w:p>
            <w:r>
              <w:rPr>
                <w:rFonts w:ascii="Times New Roman" w:hAnsi="Times New Roman"/>
                <w:sz w:val="17"/>
              </w:rPr>
              <w:t>0.9944</w:t>
            </w:r>
          </w:p>
        </w:tc>
        <w:tc>
          <w:tcPr>
            <w:tcW w:type="dxa" w:w="1260"/>
          </w:tcPr>
          <w:p>
            <w:r>
              <w:rPr>
                <w:rFonts w:ascii="Times New Roman" w:hAnsi="Times New Roman"/>
                <w:sz w:val="17"/>
              </w:rPr>
              <w:t>0.9996</w:t>
            </w:r>
          </w:p>
        </w:tc>
        <w:tc>
          <w:tcPr>
            <w:tcW w:type="dxa" w:w="1260"/>
          </w:tcPr>
          <w:p>
            <w:r>
              <w:rPr>
                <w:rFonts w:ascii="Times New Roman" w:hAnsi="Times New Roman"/>
                <w:sz w:val="17"/>
              </w:rPr>
              <w:t>0.9996</w:t>
            </w:r>
          </w:p>
        </w:tc>
        <w:tc>
          <w:tcPr>
            <w:tcW w:type="dxa" w:w="1260"/>
          </w:tcPr>
          <w:p>
            <w:r>
              <w:rPr>
                <w:rFonts w:ascii="Times New Roman" w:hAnsi="Times New Roman"/>
                <w:sz w:val="17"/>
              </w:rPr>
              <w:t>0.9996</w:t>
            </w:r>
          </w:p>
        </w:tc>
        <w:tc>
          <w:tcPr>
            <w:tcW w:type="dxa" w:w="1260"/>
          </w:tcPr>
          <w:p>
            <w:r>
              <w:rPr>
                <w:rFonts w:ascii="Times New Roman" w:hAnsi="Times New Roman"/>
                <w:sz w:val="17"/>
              </w:rPr>
              <w:t>0.9943</w:t>
            </w:r>
          </w:p>
        </w:tc>
        <w:tc>
          <w:tcPr>
            <w:tcW w:type="dxa" w:w="1260"/>
          </w:tcPr>
          <w:p>
            <w:r>
              <w:rPr>
                <w:rFonts w:ascii="Times New Roman" w:hAnsi="Times New Roman"/>
                <w:sz w:val="17"/>
              </w:rPr>
              <w:t>0.9969</w:t>
            </w:r>
          </w:p>
        </w:tc>
      </w:tr>
      <w:tr>
        <w:tc>
          <w:tcPr>
            <w:tcW w:type="dxa" w:w="1260"/>
          </w:tcPr>
          <w:p>
            <w:r>
              <w:rPr>
                <w:rFonts w:ascii="Times New Roman" w:hAnsi="Times New Roman"/>
                <w:sz w:val="17"/>
              </w:rPr>
              <w:t>DDoS_TCP</w:t>
            </w:r>
          </w:p>
        </w:tc>
        <w:tc>
          <w:tcPr>
            <w:tcW w:type="dxa" w:w="1260"/>
          </w:tcPr>
          <w:p>
            <w:r>
              <w:rPr>
                <w:rFonts w:ascii="Times New Roman" w:hAnsi="Times New Roman"/>
                <w:sz w:val="17"/>
              </w:rPr>
              <w:t>2,050</w:t>
            </w:r>
          </w:p>
        </w:tc>
        <w:tc>
          <w:tcPr>
            <w:tcW w:type="dxa" w:w="1260"/>
          </w:tcPr>
          <w:p>
            <w:r>
              <w:rPr>
                <w:rFonts w:ascii="Times New Roman" w:hAnsi="Times New Roman"/>
                <w:sz w:val="17"/>
              </w:rPr>
              <w:t>0.9634</w:t>
            </w:r>
          </w:p>
        </w:tc>
        <w:tc>
          <w:tcPr>
            <w:tcW w:type="dxa" w:w="1260"/>
          </w:tcPr>
          <w:p>
            <w:r>
              <w:rPr>
                <w:rFonts w:ascii="Times New Roman" w:hAnsi="Times New Roman"/>
                <w:sz w:val="17"/>
              </w:rPr>
              <w:t>1.0000</w:t>
            </w:r>
          </w:p>
        </w:tc>
        <w:tc>
          <w:tcPr>
            <w:tcW w:type="dxa" w:w="1260"/>
          </w:tcPr>
          <w:p>
            <w:r>
              <w:rPr>
                <w:rFonts w:ascii="Times New Roman" w:hAnsi="Times New Roman"/>
                <w:sz w:val="17"/>
              </w:rPr>
              <w:t>1.0000</w:t>
            </w:r>
          </w:p>
        </w:tc>
        <w:tc>
          <w:tcPr>
            <w:tcW w:type="dxa" w:w="1260"/>
          </w:tcPr>
          <w:p>
            <w:r>
              <w:rPr>
                <w:rFonts w:ascii="Times New Roman" w:hAnsi="Times New Roman"/>
                <w:sz w:val="17"/>
              </w:rPr>
              <w:t>1.0000</w:t>
            </w:r>
          </w:p>
        </w:tc>
        <w:tc>
          <w:tcPr>
            <w:tcW w:type="dxa" w:w="1260"/>
          </w:tcPr>
          <w:p>
            <w:r>
              <w:rPr>
                <w:rFonts w:ascii="Times New Roman" w:hAnsi="Times New Roman"/>
                <w:sz w:val="17"/>
              </w:rPr>
              <w:t>1.0000</w:t>
            </w:r>
          </w:p>
        </w:tc>
        <w:tc>
          <w:tcPr>
            <w:tcW w:type="dxa" w:w="1260"/>
          </w:tcPr>
          <w:p>
            <w:r>
              <w:rPr>
                <w:rFonts w:ascii="Times New Roman" w:hAnsi="Times New Roman"/>
                <w:sz w:val="17"/>
              </w:rPr>
              <w:t>1.0000</w:t>
            </w:r>
          </w:p>
        </w:tc>
      </w:tr>
      <w:tr>
        <w:tc>
          <w:tcPr>
            <w:tcW w:type="dxa" w:w="1260"/>
          </w:tcPr>
          <w:p>
            <w:r>
              <w:rPr>
                <w:rFonts w:ascii="Times New Roman" w:hAnsi="Times New Roman"/>
                <w:sz w:val="17"/>
              </w:rPr>
              <w:t>DDoS_UDP</w:t>
            </w:r>
          </w:p>
        </w:tc>
        <w:tc>
          <w:tcPr>
            <w:tcW w:type="dxa" w:w="1260"/>
          </w:tcPr>
          <w:p>
            <w:r>
              <w:rPr>
                <w:rFonts w:ascii="Times New Roman" w:hAnsi="Times New Roman"/>
                <w:sz w:val="17"/>
              </w:rPr>
              <w:t>2,900</w:t>
            </w:r>
          </w:p>
        </w:tc>
        <w:tc>
          <w:tcPr>
            <w:tcW w:type="dxa" w:w="1260"/>
          </w:tcPr>
          <w:p>
            <w:r>
              <w:rPr>
                <w:rFonts w:ascii="Times New Roman" w:hAnsi="Times New Roman"/>
                <w:sz w:val="17"/>
              </w:rPr>
              <w:t>1.0000</w:t>
            </w:r>
          </w:p>
        </w:tc>
        <w:tc>
          <w:tcPr>
            <w:tcW w:type="dxa" w:w="1260"/>
          </w:tcPr>
          <w:p>
            <w:r>
              <w:rPr>
                <w:rFonts w:ascii="Times New Roman" w:hAnsi="Times New Roman"/>
                <w:sz w:val="17"/>
              </w:rPr>
              <w:t>1.0000</w:t>
            </w:r>
          </w:p>
        </w:tc>
        <w:tc>
          <w:tcPr>
            <w:tcW w:type="dxa" w:w="1260"/>
          </w:tcPr>
          <w:p>
            <w:r>
              <w:rPr>
                <w:rFonts w:ascii="Times New Roman" w:hAnsi="Times New Roman"/>
                <w:sz w:val="17"/>
              </w:rPr>
              <w:t>0.9998</w:t>
            </w:r>
          </w:p>
        </w:tc>
        <w:tc>
          <w:tcPr>
            <w:tcW w:type="dxa" w:w="1260"/>
          </w:tcPr>
          <w:p>
            <w:r>
              <w:rPr>
                <w:rFonts w:ascii="Times New Roman" w:hAnsi="Times New Roman"/>
                <w:sz w:val="17"/>
              </w:rPr>
              <w:t>0.9997</w:t>
            </w:r>
          </w:p>
        </w:tc>
        <w:tc>
          <w:tcPr>
            <w:tcW w:type="dxa" w:w="1260"/>
          </w:tcPr>
          <w:p>
            <w:r>
              <w:rPr>
                <w:rFonts w:ascii="Times New Roman" w:hAnsi="Times New Roman"/>
                <w:sz w:val="17"/>
              </w:rPr>
              <w:t>1.0000</w:t>
            </w:r>
          </w:p>
        </w:tc>
        <w:tc>
          <w:tcPr>
            <w:tcW w:type="dxa" w:w="1260"/>
          </w:tcPr>
          <w:p>
            <w:r>
              <w:rPr>
                <w:rFonts w:ascii="Times New Roman" w:hAnsi="Times New Roman"/>
                <w:sz w:val="17"/>
              </w:rPr>
              <w:t>0.9998</w:t>
            </w:r>
          </w:p>
        </w:tc>
      </w:tr>
      <w:tr>
        <w:tc>
          <w:tcPr>
            <w:tcW w:type="dxa" w:w="1260"/>
          </w:tcPr>
          <w:p>
            <w:r>
              <w:rPr>
                <w:rFonts w:ascii="Times New Roman" w:hAnsi="Times New Roman"/>
                <w:sz w:val="17"/>
              </w:rPr>
              <w:t>Fingerprinting</w:t>
            </w:r>
          </w:p>
        </w:tc>
        <w:tc>
          <w:tcPr>
            <w:tcW w:type="dxa" w:w="1260"/>
          </w:tcPr>
          <w:p>
            <w:r>
              <w:rPr>
                <w:rFonts w:ascii="Times New Roman" w:hAnsi="Times New Roman"/>
                <w:sz w:val="17"/>
              </w:rPr>
              <w:t>171</w:t>
            </w:r>
          </w:p>
        </w:tc>
        <w:tc>
          <w:tcPr>
            <w:tcW w:type="dxa" w:w="1260"/>
          </w:tcPr>
          <w:p>
            <w:r>
              <w:rPr>
                <w:rFonts w:ascii="Times New Roman" w:hAnsi="Times New Roman"/>
                <w:sz w:val="17"/>
              </w:rPr>
              <w:t>0.9140</w:t>
            </w:r>
          </w:p>
        </w:tc>
        <w:tc>
          <w:tcPr>
            <w:tcW w:type="dxa" w:w="1260"/>
          </w:tcPr>
          <w:p>
            <w:r>
              <w:rPr>
                <w:rFonts w:ascii="Times New Roman" w:hAnsi="Times New Roman"/>
                <w:sz w:val="17"/>
              </w:rPr>
              <w:t>0.9855</w:t>
            </w:r>
          </w:p>
        </w:tc>
        <w:tc>
          <w:tcPr>
            <w:tcW w:type="dxa" w:w="1260"/>
          </w:tcPr>
          <w:p>
            <w:r>
              <w:rPr>
                <w:rFonts w:ascii="Times New Roman" w:hAnsi="Times New Roman"/>
                <w:sz w:val="17"/>
              </w:rPr>
              <w:t>0.9912</w:t>
            </w:r>
          </w:p>
        </w:tc>
        <w:tc>
          <w:tcPr>
            <w:tcW w:type="dxa" w:w="1260"/>
          </w:tcPr>
          <w:p>
            <w:r>
              <w:rPr>
                <w:rFonts w:ascii="Times New Roman" w:hAnsi="Times New Roman"/>
                <w:sz w:val="17"/>
              </w:rPr>
              <w:t>0.9086</w:t>
            </w:r>
          </w:p>
        </w:tc>
        <w:tc>
          <w:tcPr>
            <w:tcW w:type="dxa" w:w="1260"/>
          </w:tcPr>
          <w:p>
            <w:r>
              <w:rPr>
                <w:rFonts w:ascii="Times New Roman" w:hAnsi="Times New Roman"/>
                <w:sz w:val="17"/>
              </w:rPr>
              <w:t>0.9883</w:t>
            </w:r>
          </w:p>
        </w:tc>
        <w:tc>
          <w:tcPr>
            <w:tcW w:type="dxa" w:w="1260"/>
          </w:tcPr>
          <w:p>
            <w:r>
              <w:rPr>
                <w:rFonts w:ascii="Times New Roman" w:hAnsi="Times New Roman"/>
                <w:sz w:val="17"/>
              </w:rPr>
              <w:t>0.9468</w:t>
            </w:r>
          </w:p>
        </w:tc>
      </w:tr>
      <w:tr>
        <w:tc>
          <w:tcPr>
            <w:tcW w:type="dxa" w:w="1260"/>
          </w:tcPr>
          <w:p>
            <w:r>
              <w:rPr>
                <w:rFonts w:ascii="Times New Roman" w:hAnsi="Times New Roman"/>
                <w:sz w:val="17"/>
              </w:rPr>
              <w:t>MITM</w:t>
            </w:r>
          </w:p>
        </w:tc>
        <w:tc>
          <w:tcPr>
            <w:tcW w:type="dxa" w:w="1260"/>
          </w:tcPr>
          <w:p>
            <w:r>
              <w:rPr>
                <w:rFonts w:ascii="Times New Roman" w:hAnsi="Times New Roman"/>
                <w:sz w:val="17"/>
              </w:rPr>
              <w:t>78</w:t>
            </w:r>
          </w:p>
        </w:tc>
        <w:tc>
          <w:tcPr>
            <w:tcW w:type="dxa" w:w="1260"/>
          </w:tcPr>
          <w:p>
            <w:r>
              <w:rPr>
                <w:rFonts w:ascii="Times New Roman" w:hAnsi="Times New Roman"/>
                <w:sz w:val="17"/>
              </w:rPr>
              <w:t>1.0000</w:t>
            </w:r>
          </w:p>
        </w:tc>
        <w:tc>
          <w:tcPr>
            <w:tcW w:type="dxa" w:w="1260"/>
          </w:tcPr>
          <w:p>
            <w:r>
              <w:rPr>
                <w:rFonts w:ascii="Times New Roman" w:hAnsi="Times New Roman"/>
                <w:sz w:val="17"/>
              </w:rPr>
              <w:t>0.9750</w:t>
            </w:r>
          </w:p>
        </w:tc>
        <w:tc>
          <w:tcPr>
            <w:tcW w:type="dxa" w:w="1260"/>
          </w:tcPr>
          <w:p>
            <w:r>
              <w:rPr>
                <w:rFonts w:ascii="Times New Roman" w:hAnsi="Times New Roman"/>
                <w:sz w:val="17"/>
              </w:rPr>
              <w:t>0.9512</w:t>
            </w:r>
          </w:p>
        </w:tc>
        <w:tc>
          <w:tcPr>
            <w:tcW w:type="dxa" w:w="1260"/>
          </w:tcPr>
          <w:p>
            <w:r>
              <w:rPr>
                <w:rFonts w:ascii="Times New Roman" w:hAnsi="Times New Roman"/>
                <w:sz w:val="17"/>
              </w:rPr>
              <w:t>1.0000</w:t>
            </w:r>
          </w:p>
        </w:tc>
        <w:tc>
          <w:tcPr>
            <w:tcW w:type="dxa" w:w="1260"/>
          </w:tcPr>
          <w:p>
            <w:r>
              <w:rPr>
                <w:rFonts w:ascii="Times New Roman" w:hAnsi="Times New Roman"/>
                <w:sz w:val="17"/>
              </w:rPr>
              <w:t>1.0000</w:t>
            </w:r>
          </w:p>
        </w:tc>
        <w:tc>
          <w:tcPr>
            <w:tcW w:type="dxa" w:w="1260"/>
          </w:tcPr>
          <w:p>
            <w:r>
              <w:rPr>
                <w:rFonts w:ascii="Times New Roman" w:hAnsi="Times New Roman"/>
                <w:sz w:val="17"/>
              </w:rPr>
              <w:t>1.0000</w:t>
            </w:r>
          </w:p>
        </w:tc>
      </w:tr>
      <w:tr>
        <w:tc>
          <w:tcPr>
            <w:tcW w:type="dxa" w:w="1260"/>
          </w:tcPr>
          <w:p>
            <w:r>
              <w:rPr>
                <w:rFonts w:ascii="Times New Roman" w:hAnsi="Times New Roman"/>
                <w:sz w:val="17"/>
              </w:rPr>
              <w:t>Normal</w:t>
            </w:r>
          </w:p>
        </w:tc>
        <w:tc>
          <w:tcPr>
            <w:tcW w:type="dxa" w:w="1260"/>
          </w:tcPr>
          <w:p>
            <w:r>
              <w:rPr>
                <w:rFonts w:ascii="Times New Roman" w:hAnsi="Times New Roman"/>
                <w:sz w:val="17"/>
              </w:rPr>
              <w:t>4,831</w:t>
            </w:r>
          </w:p>
        </w:tc>
        <w:tc>
          <w:tcPr>
            <w:tcW w:type="dxa" w:w="1260"/>
          </w:tcPr>
          <w:p>
            <w:r>
              <w:rPr>
                <w:rFonts w:ascii="Times New Roman" w:hAnsi="Times New Roman"/>
                <w:sz w:val="17"/>
              </w:rPr>
              <w:t>1.0000</w:t>
            </w:r>
          </w:p>
        </w:tc>
        <w:tc>
          <w:tcPr>
            <w:tcW w:type="dxa" w:w="1260"/>
          </w:tcPr>
          <w:p>
            <w:r>
              <w:rPr>
                <w:rFonts w:ascii="Times New Roman" w:hAnsi="Times New Roman"/>
                <w:sz w:val="17"/>
              </w:rPr>
              <w:t>1.0000</w:t>
            </w:r>
          </w:p>
        </w:tc>
        <w:tc>
          <w:tcPr>
            <w:tcW w:type="dxa" w:w="1260"/>
          </w:tcPr>
          <w:p>
            <w:r>
              <w:rPr>
                <w:rFonts w:ascii="Times New Roman" w:hAnsi="Times New Roman"/>
                <w:sz w:val="17"/>
              </w:rPr>
              <w:t>0.9999</w:t>
            </w:r>
          </w:p>
        </w:tc>
        <w:tc>
          <w:tcPr>
            <w:tcW w:type="dxa" w:w="1260"/>
          </w:tcPr>
          <w:p>
            <w:r>
              <w:rPr>
                <w:rFonts w:ascii="Times New Roman" w:hAnsi="Times New Roman"/>
                <w:sz w:val="17"/>
              </w:rPr>
              <w:t>0.9996</w:t>
            </w:r>
          </w:p>
        </w:tc>
        <w:tc>
          <w:tcPr>
            <w:tcW w:type="dxa" w:w="1260"/>
          </w:tcPr>
          <w:p>
            <w:r>
              <w:rPr>
                <w:rFonts w:ascii="Times New Roman" w:hAnsi="Times New Roman"/>
                <w:sz w:val="17"/>
              </w:rPr>
              <w:t>0.9998</w:t>
            </w:r>
          </w:p>
        </w:tc>
        <w:tc>
          <w:tcPr>
            <w:tcW w:type="dxa" w:w="1260"/>
          </w:tcPr>
          <w:p>
            <w:r>
              <w:rPr>
                <w:rFonts w:ascii="Times New Roman" w:hAnsi="Times New Roman"/>
                <w:sz w:val="17"/>
              </w:rPr>
              <w:t>0.9997</w:t>
            </w:r>
          </w:p>
        </w:tc>
      </w:tr>
      <w:tr>
        <w:tc>
          <w:tcPr>
            <w:tcW w:type="dxa" w:w="1260"/>
          </w:tcPr>
          <w:p>
            <w:r>
              <w:rPr>
                <w:rFonts w:ascii="Times New Roman" w:hAnsi="Times New Roman"/>
                <w:sz w:val="17"/>
              </w:rPr>
              <w:t>Password</w:t>
            </w:r>
          </w:p>
        </w:tc>
        <w:tc>
          <w:tcPr>
            <w:tcW w:type="dxa" w:w="1260"/>
          </w:tcPr>
          <w:p>
            <w:r>
              <w:rPr>
                <w:rFonts w:ascii="Times New Roman" w:hAnsi="Times New Roman"/>
                <w:sz w:val="17"/>
              </w:rPr>
              <w:t>1,996</w:t>
            </w:r>
          </w:p>
        </w:tc>
        <w:tc>
          <w:tcPr>
            <w:tcW w:type="dxa" w:w="1260"/>
          </w:tcPr>
          <w:p>
            <w:r>
              <w:rPr>
                <w:rFonts w:ascii="Times New Roman" w:hAnsi="Times New Roman"/>
                <w:sz w:val="17"/>
              </w:rPr>
              <w:t>0.4371</w:t>
            </w:r>
          </w:p>
        </w:tc>
        <w:tc>
          <w:tcPr>
            <w:tcW w:type="dxa" w:w="1260"/>
          </w:tcPr>
          <w:p>
            <w:r>
              <w:rPr>
                <w:rFonts w:ascii="Times New Roman" w:hAnsi="Times New Roman"/>
                <w:sz w:val="17"/>
              </w:rPr>
              <w:t>0.8085</w:t>
            </w:r>
          </w:p>
        </w:tc>
        <w:tc>
          <w:tcPr>
            <w:tcW w:type="dxa" w:w="1260"/>
          </w:tcPr>
          <w:p>
            <w:r>
              <w:rPr>
                <w:rFonts w:ascii="Times New Roman" w:hAnsi="Times New Roman"/>
                <w:sz w:val="17"/>
              </w:rPr>
              <w:t>0.8806</w:t>
            </w:r>
          </w:p>
        </w:tc>
        <w:tc>
          <w:tcPr>
            <w:tcW w:type="dxa" w:w="1260"/>
          </w:tcPr>
          <w:p>
            <w:r>
              <w:rPr>
                <w:rFonts w:ascii="Times New Roman" w:hAnsi="Times New Roman"/>
                <w:sz w:val="17"/>
              </w:rPr>
              <w:t>0.9593</w:t>
            </w:r>
          </w:p>
        </w:tc>
        <w:tc>
          <w:tcPr>
            <w:tcW w:type="dxa" w:w="1260"/>
          </w:tcPr>
          <w:p>
            <w:r>
              <w:rPr>
                <w:rFonts w:ascii="Times New Roman" w:hAnsi="Times New Roman"/>
                <w:sz w:val="17"/>
              </w:rPr>
              <w:t>0.8257</w:t>
            </w:r>
          </w:p>
        </w:tc>
        <w:tc>
          <w:tcPr>
            <w:tcW w:type="dxa" w:w="1260"/>
          </w:tcPr>
          <w:p>
            <w:r>
              <w:rPr>
                <w:rFonts w:ascii="Times New Roman" w:hAnsi="Times New Roman"/>
                <w:sz w:val="17"/>
              </w:rPr>
              <w:t>0.8875</w:t>
            </w:r>
          </w:p>
        </w:tc>
      </w:tr>
      <w:tr>
        <w:tc>
          <w:tcPr>
            <w:tcW w:type="dxa" w:w="1260"/>
          </w:tcPr>
          <w:p>
            <w:r>
              <w:rPr>
                <w:rFonts w:ascii="Times New Roman" w:hAnsi="Times New Roman"/>
                <w:sz w:val="17"/>
              </w:rPr>
              <w:t>Port_Scanning</w:t>
            </w:r>
          </w:p>
        </w:tc>
        <w:tc>
          <w:tcPr>
            <w:tcW w:type="dxa" w:w="1260"/>
          </w:tcPr>
          <w:p>
            <w:r>
              <w:rPr>
                <w:rFonts w:ascii="Times New Roman" w:hAnsi="Times New Roman"/>
                <w:sz w:val="17"/>
              </w:rPr>
              <w:t>1,784</w:t>
            </w:r>
          </w:p>
        </w:tc>
        <w:tc>
          <w:tcPr>
            <w:tcW w:type="dxa" w:w="1260"/>
          </w:tcPr>
          <w:p>
            <w:r>
              <w:rPr>
                <w:rFonts w:ascii="Times New Roman" w:hAnsi="Times New Roman"/>
                <w:sz w:val="17"/>
              </w:rPr>
              <w:t>0.9606</w:t>
            </w:r>
          </w:p>
        </w:tc>
        <w:tc>
          <w:tcPr>
            <w:tcW w:type="dxa" w:w="1260"/>
          </w:tcPr>
          <w:p>
            <w:r>
              <w:rPr>
                <w:rFonts w:ascii="Times New Roman" w:hAnsi="Times New Roman"/>
                <w:sz w:val="17"/>
              </w:rPr>
              <w:t>0.9997</w:t>
            </w:r>
          </w:p>
        </w:tc>
        <w:tc>
          <w:tcPr>
            <w:tcW w:type="dxa" w:w="1260"/>
          </w:tcPr>
          <w:p>
            <w:r>
              <w:rPr>
                <w:rFonts w:ascii="Times New Roman" w:hAnsi="Times New Roman"/>
                <w:sz w:val="17"/>
              </w:rPr>
              <w:t>0.9997</w:t>
            </w:r>
          </w:p>
        </w:tc>
        <w:tc>
          <w:tcPr>
            <w:tcW w:type="dxa" w:w="1260"/>
          </w:tcPr>
          <w:p>
            <w:r>
              <w:rPr>
                <w:rFonts w:ascii="Times New Roman" w:hAnsi="Times New Roman"/>
                <w:sz w:val="17"/>
              </w:rPr>
              <w:t>1.0000</w:t>
            </w:r>
          </w:p>
        </w:tc>
        <w:tc>
          <w:tcPr>
            <w:tcW w:type="dxa" w:w="1260"/>
          </w:tcPr>
          <w:p>
            <w:r>
              <w:rPr>
                <w:rFonts w:ascii="Times New Roman" w:hAnsi="Times New Roman"/>
                <w:sz w:val="17"/>
              </w:rPr>
              <w:t>0.9994</w:t>
            </w:r>
          </w:p>
        </w:tc>
        <w:tc>
          <w:tcPr>
            <w:tcW w:type="dxa" w:w="1260"/>
          </w:tcPr>
          <w:p>
            <w:r>
              <w:rPr>
                <w:rFonts w:ascii="Times New Roman" w:hAnsi="Times New Roman"/>
                <w:sz w:val="17"/>
              </w:rPr>
              <w:t>0.9997</w:t>
            </w:r>
          </w:p>
        </w:tc>
      </w:tr>
      <w:tr>
        <w:tc>
          <w:tcPr>
            <w:tcW w:type="dxa" w:w="1260"/>
          </w:tcPr>
          <w:p>
            <w:r>
              <w:rPr>
                <w:rFonts w:ascii="Times New Roman" w:hAnsi="Times New Roman"/>
                <w:sz w:val="17"/>
              </w:rPr>
              <w:t>Ransomware</w:t>
            </w:r>
          </w:p>
        </w:tc>
        <w:tc>
          <w:tcPr>
            <w:tcW w:type="dxa" w:w="1260"/>
          </w:tcPr>
          <w:p>
            <w:r>
              <w:rPr>
                <w:rFonts w:ascii="Times New Roman" w:hAnsi="Times New Roman"/>
                <w:sz w:val="17"/>
              </w:rPr>
              <w:t>1,938</w:t>
            </w:r>
          </w:p>
        </w:tc>
        <w:tc>
          <w:tcPr>
            <w:tcW w:type="dxa" w:w="1260"/>
          </w:tcPr>
          <w:p>
            <w:r>
              <w:rPr>
                <w:rFonts w:ascii="Times New Roman" w:hAnsi="Times New Roman"/>
                <w:sz w:val="17"/>
              </w:rPr>
              <w:t>0.9918</w:t>
            </w:r>
          </w:p>
        </w:tc>
        <w:tc>
          <w:tcPr>
            <w:tcW w:type="dxa" w:w="1260"/>
          </w:tcPr>
          <w:p>
            <w:r>
              <w:rPr>
                <w:rFonts w:ascii="Times New Roman" w:hAnsi="Times New Roman"/>
                <w:sz w:val="17"/>
              </w:rPr>
              <w:t>1.0000</w:t>
            </w:r>
          </w:p>
        </w:tc>
        <w:tc>
          <w:tcPr>
            <w:tcW w:type="dxa" w:w="1260"/>
          </w:tcPr>
          <w:p>
            <w:r>
              <w:rPr>
                <w:rFonts w:ascii="Times New Roman" w:hAnsi="Times New Roman"/>
                <w:sz w:val="17"/>
              </w:rPr>
              <w:t>1.0000</w:t>
            </w:r>
          </w:p>
        </w:tc>
        <w:tc>
          <w:tcPr>
            <w:tcW w:type="dxa" w:w="1260"/>
          </w:tcPr>
          <w:p>
            <w:r>
              <w:rPr>
                <w:rFonts w:ascii="Times New Roman" w:hAnsi="Times New Roman"/>
                <w:sz w:val="17"/>
              </w:rPr>
              <w:t>1.0000</w:t>
            </w:r>
          </w:p>
        </w:tc>
        <w:tc>
          <w:tcPr>
            <w:tcW w:type="dxa" w:w="1260"/>
          </w:tcPr>
          <w:p>
            <w:r>
              <w:rPr>
                <w:rFonts w:ascii="Times New Roman" w:hAnsi="Times New Roman"/>
                <w:sz w:val="17"/>
              </w:rPr>
              <w:t>1.0000</w:t>
            </w:r>
          </w:p>
        </w:tc>
        <w:tc>
          <w:tcPr>
            <w:tcW w:type="dxa" w:w="1260"/>
          </w:tcPr>
          <w:p>
            <w:r>
              <w:rPr>
                <w:rFonts w:ascii="Times New Roman" w:hAnsi="Times New Roman"/>
                <w:sz w:val="17"/>
              </w:rPr>
              <w:t>1.0000</w:t>
            </w:r>
          </w:p>
        </w:tc>
      </w:tr>
      <w:tr>
        <w:tc>
          <w:tcPr>
            <w:tcW w:type="dxa" w:w="1260"/>
          </w:tcPr>
          <w:p>
            <w:r>
              <w:rPr>
                <w:rFonts w:ascii="Times New Roman" w:hAnsi="Times New Roman"/>
                <w:sz w:val="17"/>
              </w:rPr>
              <w:t>SQL_injection</w:t>
            </w:r>
          </w:p>
        </w:tc>
        <w:tc>
          <w:tcPr>
            <w:tcW w:type="dxa" w:w="1260"/>
          </w:tcPr>
          <w:p>
            <w:r>
              <w:rPr>
                <w:rFonts w:ascii="Times New Roman" w:hAnsi="Times New Roman"/>
                <w:sz w:val="17"/>
              </w:rPr>
              <w:t>2,057</w:t>
            </w:r>
          </w:p>
        </w:tc>
        <w:tc>
          <w:tcPr>
            <w:tcW w:type="dxa" w:w="1260"/>
          </w:tcPr>
          <w:p>
            <w:r>
              <w:rPr>
                <w:rFonts w:ascii="Times New Roman" w:hAnsi="Times New Roman"/>
                <w:sz w:val="17"/>
              </w:rPr>
              <w:t>0.5746</w:t>
            </w:r>
          </w:p>
        </w:tc>
        <w:tc>
          <w:tcPr>
            <w:tcW w:type="dxa" w:w="1260"/>
          </w:tcPr>
          <w:p>
            <w:r>
              <w:rPr>
                <w:rFonts w:ascii="Times New Roman" w:hAnsi="Times New Roman"/>
                <w:sz w:val="17"/>
              </w:rPr>
              <w:t>0.8392</w:t>
            </w:r>
          </w:p>
        </w:tc>
        <w:tc>
          <w:tcPr>
            <w:tcW w:type="dxa" w:w="1260"/>
          </w:tcPr>
          <w:p>
            <w:r>
              <w:rPr>
                <w:rFonts w:ascii="Times New Roman" w:hAnsi="Times New Roman"/>
                <w:sz w:val="17"/>
              </w:rPr>
              <w:t>0.8977</w:t>
            </w:r>
          </w:p>
        </w:tc>
        <w:tc>
          <w:tcPr>
            <w:tcW w:type="dxa" w:w="1260"/>
          </w:tcPr>
          <w:p>
            <w:r>
              <w:rPr>
                <w:rFonts w:ascii="Times New Roman" w:hAnsi="Times New Roman"/>
                <w:sz w:val="17"/>
              </w:rPr>
              <w:t>0.9013</w:t>
            </w:r>
          </w:p>
        </w:tc>
        <w:tc>
          <w:tcPr>
            <w:tcW w:type="dxa" w:w="1260"/>
          </w:tcPr>
          <w:p>
            <w:r>
              <w:rPr>
                <w:rFonts w:ascii="Times New Roman" w:hAnsi="Times New Roman"/>
                <w:sz w:val="17"/>
              </w:rPr>
              <w:t>0.9008</w:t>
            </w:r>
          </w:p>
        </w:tc>
        <w:tc>
          <w:tcPr>
            <w:tcW w:type="dxa" w:w="1260"/>
          </w:tcPr>
          <w:p>
            <w:r>
              <w:rPr>
                <w:rFonts w:ascii="Times New Roman" w:hAnsi="Times New Roman"/>
                <w:sz w:val="17"/>
              </w:rPr>
              <w:t>0.9010</w:t>
            </w:r>
          </w:p>
        </w:tc>
      </w:tr>
      <w:tr>
        <w:tc>
          <w:tcPr>
            <w:tcW w:type="dxa" w:w="1260"/>
          </w:tcPr>
          <w:p>
            <w:r>
              <w:rPr>
                <w:rFonts w:ascii="Times New Roman" w:hAnsi="Times New Roman"/>
                <w:sz w:val="17"/>
              </w:rPr>
              <w:t>Uploading</w:t>
            </w:r>
          </w:p>
        </w:tc>
        <w:tc>
          <w:tcPr>
            <w:tcW w:type="dxa" w:w="1260"/>
          </w:tcPr>
          <w:p>
            <w:r>
              <w:rPr>
                <w:rFonts w:ascii="Times New Roman" w:hAnsi="Times New Roman"/>
                <w:sz w:val="17"/>
              </w:rPr>
              <w:t>2,047</w:t>
            </w:r>
          </w:p>
        </w:tc>
        <w:tc>
          <w:tcPr>
            <w:tcW w:type="dxa" w:w="1260"/>
          </w:tcPr>
          <w:p>
            <w:r>
              <w:rPr>
                <w:rFonts w:ascii="Times New Roman" w:hAnsi="Times New Roman"/>
                <w:sz w:val="17"/>
              </w:rPr>
              <w:t>0.6354</w:t>
            </w:r>
          </w:p>
        </w:tc>
        <w:tc>
          <w:tcPr>
            <w:tcW w:type="dxa" w:w="1260"/>
          </w:tcPr>
          <w:p>
            <w:r>
              <w:rPr>
                <w:rFonts w:ascii="Times New Roman" w:hAnsi="Times New Roman"/>
                <w:sz w:val="17"/>
              </w:rPr>
              <w:t>0.8826</w:t>
            </w:r>
          </w:p>
        </w:tc>
        <w:tc>
          <w:tcPr>
            <w:tcW w:type="dxa" w:w="1260"/>
          </w:tcPr>
          <w:p>
            <w:r>
              <w:rPr>
                <w:rFonts w:ascii="Times New Roman" w:hAnsi="Times New Roman"/>
                <w:sz w:val="17"/>
              </w:rPr>
              <w:t>0.9214</w:t>
            </w:r>
          </w:p>
        </w:tc>
        <w:tc>
          <w:tcPr>
            <w:tcW w:type="dxa" w:w="1260"/>
          </w:tcPr>
          <w:p>
            <w:r>
              <w:rPr>
                <w:rFonts w:ascii="Times New Roman" w:hAnsi="Times New Roman"/>
                <w:sz w:val="17"/>
              </w:rPr>
              <w:t>0.9566</w:t>
            </w:r>
          </w:p>
        </w:tc>
        <w:tc>
          <w:tcPr>
            <w:tcW w:type="dxa" w:w="1260"/>
          </w:tcPr>
          <w:p>
            <w:r>
              <w:rPr>
                <w:rFonts w:ascii="Times New Roman" w:hAnsi="Times New Roman"/>
                <w:sz w:val="17"/>
              </w:rPr>
              <w:t>0.9038</w:t>
            </w:r>
          </w:p>
        </w:tc>
        <w:tc>
          <w:tcPr>
            <w:tcW w:type="dxa" w:w="1260"/>
          </w:tcPr>
          <w:p>
            <w:r>
              <w:rPr>
                <w:rFonts w:ascii="Times New Roman" w:hAnsi="Times New Roman"/>
                <w:sz w:val="17"/>
              </w:rPr>
              <w:t>0.9294</w:t>
            </w:r>
          </w:p>
        </w:tc>
      </w:tr>
      <w:tr>
        <w:tc>
          <w:tcPr>
            <w:tcW w:type="dxa" w:w="1260"/>
          </w:tcPr>
          <w:p>
            <w:r>
              <w:rPr>
                <w:rFonts w:ascii="Times New Roman" w:hAnsi="Times New Roman"/>
                <w:sz w:val="17"/>
              </w:rPr>
              <w:t>Vulnerability_scanner</w:t>
            </w:r>
          </w:p>
        </w:tc>
        <w:tc>
          <w:tcPr>
            <w:tcW w:type="dxa" w:w="1260"/>
          </w:tcPr>
          <w:p>
            <w:r>
              <w:rPr>
                <w:rFonts w:ascii="Times New Roman" w:hAnsi="Times New Roman"/>
                <w:sz w:val="17"/>
              </w:rPr>
              <w:t>2,012</w:t>
            </w:r>
          </w:p>
        </w:tc>
        <w:tc>
          <w:tcPr>
            <w:tcW w:type="dxa" w:w="1260"/>
          </w:tcPr>
          <w:p>
            <w:r>
              <w:rPr>
                <w:rFonts w:ascii="Times New Roman" w:hAnsi="Times New Roman"/>
                <w:sz w:val="17"/>
              </w:rPr>
              <w:t>0.9003</w:t>
            </w:r>
          </w:p>
        </w:tc>
        <w:tc>
          <w:tcPr>
            <w:tcW w:type="dxa" w:w="1260"/>
          </w:tcPr>
          <w:p>
            <w:r>
              <w:rPr>
                <w:rFonts w:ascii="Times New Roman" w:hAnsi="Times New Roman"/>
                <w:sz w:val="17"/>
              </w:rPr>
              <w:t>0.9749</w:t>
            </w:r>
          </w:p>
        </w:tc>
        <w:tc>
          <w:tcPr>
            <w:tcW w:type="dxa" w:w="1260"/>
          </w:tcPr>
          <w:p>
            <w:r>
              <w:rPr>
                <w:rFonts w:ascii="Times New Roman" w:hAnsi="Times New Roman"/>
                <w:sz w:val="17"/>
              </w:rPr>
              <w:t>0.9801</w:t>
            </w:r>
          </w:p>
        </w:tc>
        <w:tc>
          <w:tcPr>
            <w:tcW w:type="dxa" w:w="1260"/>
          </w:tcPr>
          <w:p>
            <w:r>
              <w:rPr>
                <w:rFonts w:ascii="Times New Roman" w:hAnsi="Times New Roman"/>
                <w:sz w:val="17"/>
              </w:rPr>
              <w:t>0.9845</w:t>
            </w:r>
          </w:p>
        </w:tc>
        <w:tc>
          <w:tcPr>
            <w:tcW w:type="dxa" w:w="1260"/>
          </w:tcPr>
          <w:p>
            <w:r>
              <w:rPr>
                <w:rFonts w:ascii="Times New Roman" w:hAnsi="Times New Roman"/>
                <w:sz w:val="17"/>
              </w:rPr>
              <w:t>0.9796</w:t>
            </w:r>
          </w:p>
        </w:tc>
        <w:tc>
          <w:tcPr>
            <w:tcW w:type="dxa" w:w="1260"/>
          </w:tcPr>
          <w:p>
            <w:r>
              <w:rPr>
                <w:rFonts w:ascii="Times New Roman" w:hAnsi="Times New Roman"/>
                <w:sz w:val="17"/>
              </w:rPr>
              <w:t>0.9821</w:t>
            </w:r>
          </w:p>
        </w:tc>
      </w:tr>
      <w:tr>
        <w:tc>
          <w:tcPr>
            <w:tcW w:type="dxa" w:w="1260"/>
          </w:tcPr>
          <w:p>
            <w:r>
              <w:rPr>
                <w:rFonts w:ascii="Times New Roman" w:hAnsi="Times New Roman"/>
                <w:sz w:val="17"/>
              </w:rPr>
              <w:t>XSS</w:t>
            </w:r>
          </w:p>
        </w:tc>
        <w:tc>
          <w:tcPr>
            <w:tcW w:type="dxa" w:w="1260"/>
          </w:tcPr>
          <w:p>
            <w:r>
              <w:rPr>
                <w:rFonts w:ascii="Times New Roman" w:hAnsi="Times New Roman"/>
                <w:sz w:val="17"/>
              </w:rPr>
              <w:t>1,910</w:t>
            </w:r>
          </w:p>
        </w:tc>
        <w:tc>
          <w:tcPr>
            <w:tcW w:type="dxa" w:w="1260"/>
          </w:tcPr>
          <w:p>
            <w:r>
              <w:rPr>
                <w:rFonts w:ascii="Times New Roman" w:hAnsi="Times New Roman"/>
                <w:sz w:val="17"/>
              </w:rPr>
              <w:t>0.6585</w:t>
            </w:r>
          </w:p>
        </w:tc>
        <w:tc>
          <w:tcPr>
            <w:tcW w:type="dxa" w:w="1260"/>
          </w:tcPr>
          <w:p>
            <w:r>
              <w:rPr>
                <w:rFonts w:ascii="Times New Roman" w:hAnsi="Times New Roman"/>
                <w:sz w:val="17"/>
              </w:rPr>
              <w:t>0.8775</w:t>
            </w:r>
          </w:p>
        </w:tc>
        <w:tc>
          <w:tcPr>
            <w:tcW w:type="dxa" w:w="1260"/>
          </w:tcPr>
          <w:p>
            <w:r>
              <w:rPr>
                <w:rFonts w:ascii="Times New Roman" w:hAnsi="Times New Roman"/>
                <w:sz w:val="17"/>
              </w:rPr>
              <w:t>0.9200</w:t>
            </w:r>
          </w:p>
        </w:tc>
        <w:tc>
          <w:tcPr>
            <w:tcW w:type="dxa" w:w="1260"/>
          </w:tcPr>
          <w:p>
            <w:r>
              <w:rPr>
                <w:rFonts w:ascii="Times New Roman" w:hAnsi="Times New Roman"/>
                <w:sz w:val="17"/>
              </w:rPr>
              <w:t>0.8718</w:t>
            </w:r>
          </w:p>
        </w:tc>
        <w:tc>
          <w:tcPr>
            <w:tcW w:type="dxa" w:w="1260"/>
          </w:tcPr>
          <w:p>
            <w:r>
              <w:rPr>
                <w:rFonts w:ascii="Times New Roman" w:hAnsi="Times New Roman"/>
                <w:sz w:val="17"/>
              </w:rPr>
              <w:t>0.9932</w:t>
            </w:r>
          </w:p>
        </w:tc>
        <w:tc>
          <w:tcPr>
            <w:tcW w:type="dxa" w:w="1260"/>
          </w:tcPr>
          <w:p>
            <w:r>
              <w:rPr>
                <w:rFonts w:ascii="Times New Roman" w:hAnsi="Times New Roman"/>
                <w:sz w:val="17"/>
              </w:rPr>
              <w:t>0.9285</w:t>
            </w:r>
          </w:p>
        </w:tc>
      </w:tr>
      <w:tr>
        <w:tc>
          <w:tcPr>
            <w:tcW w:type="dxa" w:w="1260"/>
          </w:tcPr>
          <w:p>
            <w:r>
              <w:rPr>
                <w:rFonts w:ascii="Times New Roman" w:hAnsi="Times New Roman"/>
                <w:sz w:val="17"/>
              </w:rPr>
              <w:t>Macro Average</w:t>
            </w:r>
          </w:p>
        </w:tc>
        <w:tc>
          <w:tcPr>
            <w:tcW w:type="dxa" w:w="1260"/>
          </w:tcPr>
          <w:p>
            <w:r>
              <w:rPr>
                <w:rFonts w:ascii="Times New Roman" w:hAnsi="Times New Roman"/>
                <w:sz w:val="17"/>
              </w:rPr>
              <w:t>30,478</w:t>
            </w:r>
          </w:p>
        </w:tc>
        <w:tc>
          <w:tcPr>
            <w:tcW w:type="dxa" w:w="1260"/>
          </w:tcPr>
          <w:p>
            <w:r>
              <w:rPr>
                <w:rFonts w:ascii="Times New Roman" w:hAnsi="Times New Roman"/>
                <w:sz w:val="17"/>
              </w:rPr>
              <w:t>0.8419</w:t>
            </w:r>
          </w:p>
        </w:tc>
        <w:tc>
          <w:tcPr>
            <w:tcW w:type="dxa" w:w="1260"/>
          </w:tcPr>
          <w:p>
            <w:r>
              <w:rPr>
                <w:rFonts w:ascii="Times New Roman" w:hAnsi="Times New Roman"/>
                <w:sz w:val="17"/>
              </w:rPr>
              <w:t>0.9414</w:t>
            </w:r>
          </w:p>
        </w:tc>
        <w:tc>
          <w:tcPr>
            <w:tcW w:type="dxa" w:w="1260"/>
          </w:tcPr>
          <w:p>
            <w:r>
              <w:rPr>
                <w:rFonts w:ascii="Times New Roman" w:hAnsi="Times New Roman"/>
                <w:sz w:val="17"/>
              </w:rPr>
              <w:t>0.9596</w:t>
            </w:r>
          </w:p>
        </w:tc>
        <w:tc>
          <w:tcPr>
            <w:tcW w:type="dxa" w:w="1260"/>
          </w:tcPr>
          <w:p>
            <w:r>
              <w:rPr>
                <w:rFonts w:ascii="Times New Roman" w:hAnsi="Times New Roman"/>
                <w:sz w:val="17"/>
              </w:rPr>
              <w:t>0.9608</w:t>
            </w:r>
          </w:p>
        </w:tc>
        <w:tc>
          <w:tcPr>
            <w:tcW w:type="dxa" w:w="1260"/>
          </w:tcPr>
          <w:p>
            <w:r>
              <w:rPr>
                <w:rFonts w:ascii="Times New Roman" w:hAnsi="Times New Roman"/>
                <w:sz w:val="17"/>
              </w:rPr>
              <w:t>0.9645</w:t>
            </w:r>
          </w:p>
        </w:tc>
        <w:tc>
          <w:tcPr>
            <w:tcW w:type="dxa" w:w="1260"/>
          </w:tcPr>
          <w:p>
            <w:r>
              <w:rPr>
                <w:rFonts w:ascii="Times New Roman" w:hAnsi="Times New Roman"/>
                <w:sz w:val="17"/>
              </w:rPr>
              <w:t>0.9618</w:t>
            </w:r>
          </w:p>
        </w:tc>
      </w:tr>
      <w:tr>
        <w:tc>
          <w:tcPr>
            <w:tcW w:type="dxa" w:w="1260"/>
          </w:tcPr>
          <w:p>
            <w:r>
              <w:rPr>
                <w:rFonts w:ascii="Times New Roman" w:hAnsi="Times New Roman"/>
                <w:sz w:val="17"/>
              </w:rPr>
              <w:t>Weighted Average</w:t>
            </w:r>
          </w:p>
        </w:tc>
        <w:tc>
          <w:tcPr>
            <w:tcW w:type="dxa" w:w="1260"/>
          </w:tcPr>
          <w:p>
            <w:r>
              <w:rPr>
                <w:rFonts w:ascii="Times New Roman" w:hAnsi="Times New Roman"/>
                <w:sz w:val="17"/>
              </w:rPr>
              <w:t>30,478</w:t>
            </w:r>
          </w:p>
        </w:tc>
        <w:tc>
          <w:tcPr>
            <w:tcW w:type="dxa" w:w="1260"/>
          </w:tcPr>
          <w:p>
            <w:r>
              <w:rPr>
                <w:rFonts w:ascii="Times New Roman" w:hAnsi="Times New Roman"/>
                <w:sz w:val="17"/>
              </w:rPr>
              <w:t>0.8479</w:t>
            </w:r>
          </w:p>
        </w:tc>
        <w:tc>
          <w:tcPr>
            <w:tcW w:type="dxa" w:w="1260"/>
          </w:tcPr>
          <w:p>
            <w:r>
              <w:rPr>
                <w:rFonts w:ascii="Times New Roman" w:hAnsi="Times New Roman"/>
                <w:sz w:val="17"/>
              </w:rPr>
              <w:t>0.9438</w:t>
            </w:r>
          </w:p>
        </w:tc>
        <w:tc>
          <w:tcPr>
            <w:tcW w:type="dxa" w:w="1260"/>
          </w:tcPr>
          <w:p>
            <w:r>
              <w:rPr>
                <w:rFonts w:ascii="Times New Roman" w:hAnsi="Times New Roman"/>
                <w:sz w:val="17"/>
              </w:rPr>
              <w:t>0.9632</w:t>
            </w:r>
          </w:p>
        </w:tc>
        <w:tc>
          <w:tcPr>
            <w:tcW w:type="dxa" w:w="1260"/>
          </w:tcPr>
          <w:p>
            <w:r>
              <w:rPr>
                <w:rFonts w:ascii="Times New Roman" w:hAnsi="Times New Roman"/>
                <w:sz w:val="17"/>
              </w:rPr>
              <w:t>0.9663</w:t>
            </w:r>
          </w:p>
        </w:tc>
        <w:tc>
          <w:tcPr>
            <w:tcW w:type="dxa" w:w="1260"/>
          </w:tcPr>
          <w:p>
            <w:r>
              <w:rPr>
                <w:rFonts w:ascii="Times New Roman" w:hAnsi="Times New Roman"/>
                <w:sz w:val="17"/>
              </w:rPr>
              <w:t>0.9649</w:t>
            </w:r>
          </w:p>
        </w:tc>
        <w:tc>
          <w:tcPr>
            <w:tcW w:type="dxa" w:w="1260"/>
          </w:tcPr>
          <w:p>
            <w:r>
              <w:rPr>
                <w:rFonts w:ascii="Times New Roman" w:hAnsi="Times New Roman"/>
                <w:sz w:val="17"/>
              </w:rPr>
              <w:t>0.9649</w:t>
            </w:r>
          </w:p>
        </w:tc>
      </w:tr>
    </w:tbl>
    <w:p/>
    <w:p>
      <w:pPr>
        <w:jc w:val="both"/>
      </w:pPr>
      <w:r>
        <w:t xml:space="preserve">Three critical domain insights emerge from </w:t>
      </w:r>
      <w:r>
        <w:rPr>
          <w:b/>
        </w:rPr>
        <w:t>Table V</w:t>
      </w:r>
      <w:r>
        <w:t xml:space="preserve"> and </w:t>
      </w:r>
      <w:r>
        <w:rPr>
          <w:b/>
        </w:rPr>
        <w:t>Fig. 3</w:t>
      </w:r>
      <w:r>
        <w:t>:</w:t>
      </w:r>
    </w:p>
    <w:p>
      <w:pPr>
        <w:jc w:val="both"/>
      </w:pPr>
      <w:r>
        <w:t xml:space="preserve">1. </w:t>
      </w:r>
      <w:r>
        <w:rPr>
          <w:b/>
        </w:rPr>
        <w:t>Near-Zero False Alarms on Benign IIoT Telemetry (Normal):</w:t>
      </w:r>
      <w:r>
        <w:t xml:space="preserve"> On the $4,831$ held-out Normal test packets, PP-PSFE + XGBoost achieves </w:t>
      </w:r>
      <w:r>
        <w:rPr>
          <w:b/>
        </w:rPr>
        <w:t>$0.9996$ Precision and $0.9998$ Recall</w:t>
      </w:r>
      <w:r>
        <w:t xml:space="preserve"> ($0.9997$ F1-Score), ensuring that legitimate MQTT sensor readings and supervisory traffic are not falsely blocked by an edge firewall.</w:t>
      </w:r>
    </w:p>
    <w:p>
      <w:pPr>
        <w:jc w:val="both"/>
      </w:pPr>
      <w:r>
        <w:t xml:space="preserve">2. </w:t>
      </w:r>
      <w:r>
        <w:rPr>
          <w:b/>
        </w:rPr>
        <w:t>Perfect Detection of Volumetric and Malware Intrusions:</w:t>
      </w:r>
      <w:r>
        <w:t xml:space="preserve"> DDoS_TCP ($2,050$ flows), Ransomware ($1,938$ flows), and minority MITM ($78$ flows) achieve </w:t>
      </w:r>
      <w:r>
        <w:rPr>
          <w:b/>
        </w:rPr>
        <w:t>$1.0000$ F1-Score</w:t>
      </w:r>
      <w:r>
        <w:t>, while Backdoor ($0.9997$), Port_Scanning ($0.9997$), DDoS_UDP ($0.9998$), and DDoS_ICMP ($0.9969$) exceed $99.6\%$ F1-Score.</w:t>
      </w:r>
    </w:p>
    <w:p>
      <w:pPr>
        <w:jc w:val="both"/>
      </w:pPr>
      <w:r>
        <w:t xml:space="preserve">3. </w:t>
      </w:r>
      <w:r>
        <w:rPr>
          <w:b/>
        </w:rPr>
        <w:t>Breakthrough on the Five Application-Layer HTTP Attack Classes:</w:t>
      </w:r>
      <w:r>
        <w:t xml:space="preserve"> In Logistic Regression, the five HTTP-borne classes collapse (Password: $0.4371$ F1; SQL_injection: $0.5746$ F1; DDoS_HTTP: $0.6067$ F1; Uploading: $0.6354$ F1; XSS: $0.6585$ F1) because TCP teardown/handshake packets within an HTTP attack session share identical transport headers (tcp.flags.ack=1, psfe_service_port=80). By combining second-order gradient tree splits with our PP-PSFE application-layer structural features (psfe_http_file_data_len, psfe_http_query_len, psfe_app_sqli_flag, psfe_app_auth_flag), XGBoost boosts Password F1 by </w:t>
      </w:r>
      <w:r>
        <w:rPr>
          <w:b/>
        </w:rPr>
        <w:t>$+45.04\%$</w:t>
      </w:r>
      <w:r>
        <w:t xml:space="preserve"> ($0.4371 \rightarrow 0.8875$), SQL_injection F1 by </w:t>
      </w:r>
      <w:r>
        <w:rPr>
          <w:b/>
        </w:rPr>
        <w:t>$+32.64\%$</w:t>
      </w:r>
      <w:r>
        <w:t xml:space="preserve"> ($0.5746 \rightarrow 0.9010$), Uploading F1 by </w:t>
      </w:r>
      <w:r>
        <w:rPr>
          <w:b/>
        </w:rPr>
        <w:t>$+29.40\%$</w:t>
      </w:r>
      <w:r>
        <w:t xml:space="preserve"> ($0.6354 \rightarrow 0.9294$), XSS F1 by </w:t>
      </w:r>
      <w:r>
        <w:rPr>
          <w:b/>
        </w:rPr>
        <w:t>$+27.00\%$</w:t>
      </w:r>
      <w:r>
        <w:t xml:space="preserve"> ($0.6585 \rightarrow 0.9285$), and DDoS_HTTP F1 by </w:t>
      </w:r>
      <w:r>
        <w:rPr>
          <w:b/>
        </w:rPr>
        <w:t>$+24.95\%$</w:t>
      </w:r>
      <w:r>
        <w:t xml:space="preserve"> ($0.6067 \rightarrow 0.8562$). The remaining $3.51\%$ overall error in the dataset is almost entirely concentrated in empty TCP ACK/FIN packets belonging to HTTP attack sessions where no Layer-7 payload is carried in that individual frame.</w:t>
      </w:r>
    </w:p>
    <w:p>
      <w:pPr>
        <w:jc w:val="center"/>
      </w:pPr>
      <w:r>
        <w:drawing>
          <wp:inline xmlns:a="http://schemas.openxmlformats.org/drawingml/2006/main" xmlns:pic="http://schemas.openxmlformats.org/drawingml/2006/picture">
            <wp:extent cx="5669280" cy="4251960"/>
            <wp:docPr id="2" name="Picture 2"/>
            <wp:cNvGraphicFramePr>
              <a:graphicFrameLocks noChangeAspect="1"/>
            </wp:cNvGraphicFramePr>
            <a:graphic>
              <a:graphicData uri="http://schemas.openxmlformats.org/drawingml/2006/picture">
                <pic:pic>
                  <pic:nvPicPr>
                    <pic:cNvPr id="0" name="confusion_matrices.png"/>
                    <pic:cNvPicPr/>
                  </pic:nvPicPr>
                  <pic:blipFill>
                    <a:blip r:embed="rId10"/>
                    <a:stretch>
                      <a:fillRect/>
                    </a:stretch>
                  </pic:blipFill>
                  <pic:spPr>
                    <a:xfrm>
                      <a:off x="0" y="0"/>
                      <a:ext cx="5669280" cy="4251960"/>
                    </a:xfrm>
                    <a:prstGeom prst="rect"/>
                  </pic:spPr>
                </pic:pic>
              </a:graphicData>
            </a:graphic>
          </wp:inline>
        </w:drawing>
      </w:r>
    </w:p>
    <w:p>
      <w:pPr>
        <w:jc w:val="center"/>
      </w:pPr>
      <w:r>
        <w:rPr>
          <w:i/>
          <w:sz w:val="19"/>
        </w:rPr>
        <w:t>Fig. 3. 15-Class Confusion Matrices on the held-out test split (N=30,478) for Logistic Regression, Random Forest, XGBoost, and LightGBM.</w:t>
      </w:r>
    </w:p>
    <w:p>
      <w:pPr>
        <w:spacing w:before="160" w:after="60"/>
      </w:pPr>
      <w:r>
        <w:rPr>
          <w:b/>
          <w:i/>
          <w:sz w:val="21"/>
        </w:rPr>
        <w:t>C. Explainable AI Analysis via Exact Native C++ TreeSHAP</w:t>
      </w:r>
    </w:p>
    <w:p>
      <w:pPr>
        <w:jc w:val="both"/>
      </w:pPr>
      <w:r>
        <w:t xml:space="preserve">To verify that our XGBoost classifier makes decisions grounded in genuine network protocol semantics rather than spurious correlations, we computed exact game-theoretic </w:t>
      </w:r>
      <w:r>
        <w:rPr>
          <w:b/>
        </w:rPr>
        <w:t>TreeSHAP</w:t>
      </w:r>
      <w:r>
        <w:t xml:space="preserve"> values [16] ($\phi_{i,c,j}$ for sample $i$, class $c$, and feature $j$) using XGBoost's native C++ pred_contribs=True engine alongside loss-reduction split gain across all 62 features. </w:t>
      </w:r>
      <w:r>
        <w:rPr>
          <w:b/>
        </w:rPr>
        <w:t>Table VI</w:t>
      </w:r>
      <w:r>
        <w:t xml:space="preserve"> lists the Top-15 features ranked by XGBoost loss-reduction gain, and </w:t>
      </w:r>
      <w:r>
        <w:rPr>
          <w:b/>
        </w:rPr>
        <w:t>Fig. 4</w:t>
      </w:r>
      <w:r>
        <w:t xml:space="preserve"> illustrates the Top-20 features ranked by global mean absolute TreeSHAP attribution ($\text{mean}_{i,c}(|\phi_{i,c,j}|)$), where </w:t>
      </w:r>
      <w:r>
        <w:rPr>
          <w:b/>
        </w:rPr>
        <w:t>green bars denote our engineered PP-PSFE features</w:t>
      </w:r>
      <w:r>
        <w:t xml:space="preserve"> and </w:t>
      </w:r>
      <w:r>
        <w:rPr>
          <w:b/>
        </w:rPr>
        <w:t>blue bars denote sanitized core protocol features</w:t>
      </w:r>
      <w:r>
        <w:t>.</w:t>
      </w:r>
    </w:p>
    <w:p>
      <w:pPr>
        <w:jc w:val="both"/>
      </w:pPr>
      <w:r/>
      <w:r>
        <w:rPr>
          <w:b/>
        </w:rPr>
        <w:t>TABLE VI: Top-15 Features Ranked by XGBoost Loss-Reduction Gain &amp; Feature Origin</w:t>
      </w:r>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tcPr>
          <w:p>
            <w:r>
              <w:rPr>
                <w:rFonts w:ascii="Times New Roman" w:hAnsi="Times New Roman"/>
                <w:b/>
                <w:sz w:val="17"/>
              </w:rPr>
              <w:t>Rank</w:t>
            </w:r>
          </w:p>
        </w:tc>
        <w:tc>
          <w:tcPr>
            <w:tcW w:type="dxa" w:w="1440"/>
          </w:tcPr>
          <w:p>
            <w:r>
              <w:rPr>
                <w:rFonts w:ascii="Times New Roman" w:hAnsi="Times New Roman"/>
                <w:b/>
                <w:sz w:val="17"/>
              </w:rPr>
              <w:t>Feature Identifier</w:t>
            </w:r>
          </w:p>
        </w:tc>
        <w:tc>
          <w:tcPr>
            <w:tcW w:type="dxa" w:w="1440"/>
          </w:tcPr>
          <w:p>
            <w:r>
              <w:rPr>
                <w:rFonts w:ascii="Times New Roman" w:hAnsi="Times New Roman"/>
                <w:b/>
                <w:sz w:val="17"/>
              </w:rPr>
              <w:t>Feature Category &amp; Origin</w:t>
            </w:r>
          </w:p>
        </w:tc>
        <w:tc>
          <w:tcPr>
            <w:tcW w:type="dxa" w:w="1440"/>
          </w:tcPr>
          <w:p>
            <w:r>
              <w:rPr>
                <w:rFonts w:ascii="Times New Roman" w:hAnsi="Times New Roman"/>
                <w:b/>
                <w:sz w:val="17"/>
              </w:rPr>
              <w:t>Protocol Layer</w:t>
            </w:r>
          </w:p>
        </w:tc>
        <w:tc>
          <w:tcPr>
            <w:tcW w:type="dxa" w:w="1440"/>
          </w:tcPr>
          <w:p>
            <w:r>
              <w:rPr>
                <w:rFonts w:ascii="Times New Roman" w:hAnsi="Times New Roman"/>
                <w:b/>
                <w:sz w:val="17"/>
              </w:rPr>
              <w:t>Total Split Gain</w:t>
            </w:r>
          </w:p>
        </w:tc>
        <w:tc>
          <w:tcPr>
            <w:tcW w:type="dxa" w:w="1440"/>
          </w:tcPr>
          <w:p>
            <w:r>
              <w:rPr>
                <w:rFonts w:ascii="Times New Roman" w:hAnsi="Times New Roman"/>
                <w:b/>
                <w:sz w:val="17"/>
              </w:rPr>
              <w:t>Gain Share (%)</w:t>
            </w:r>
          </w:p>
        </w:tc>
        <w:tc>
          <w:tcPr>
            <w:tcW w:type="dxa" w:w="1440"/>
          </w:tcPr>
          <w:p>
            <w:r>
              <w:rPr>
                <w:rFonts w:ascii="Times New Roman" w:hAnsi="Times New Roman"/>
                <w:b/>
                <w:sz w:val="17"/>
              </w:rPr>
              <w:t>Security &amp; Protocol Interpretation</w:t>
            </w:r>
          </w:p>
        </w:tc>
      </w:tr>
      <w:tr>
        <w:tc>
          <w:tcPr>
            <w:tcW w:type="dxa" w:w="1440"/>
          </w:tcPr>
          <w:p>
            <w:r>
              <w:rPr>
                <w:rFonts w:ascii="Times New Roman" w:hAnsi="Times New Roman"/>
                <w:sz w:val="17"/>
              </w:rPr>
              <w:t>1</w:t>
            </w:r>
          </w:p>
        </w:tc>
        <w:tc>
          <w:tcPr>
            <w:tcW w:type="dxa" w:w="1440"/>
          </w:tcPr>
          <w:p>
            <w:r>
              <w:rPr>
                <w:rFonts w:ascii="Times New Roman" w:hAnsi="Times New Roman"/>
                <w:sz w:val="17"/>
              </w:rPr>
              <w:t>psfe_is_mqtt_service</w:t>
            </w:r>
          </w:p>
        </w:tc>
        <w:tc>
          <w:tcPr>
            <w:tcW w:type="dxa" w:w="1440"/>
          </w:tcPr>
          <w:p>
            <w:r>
              <w:rPr>
                <w:rFonts w:ascii="Times New Roman" w:hAnsi="Times New Roman"/>
                <w:sz w:val="17"/>
              </w:rPr>
              <w:t>PP-PSFE (Engineered)</w:t>
            </w:r>
          </w:p>
        </w:tc>
        <w:tc>
          <w:tcPr>
            <w:tcW w:type="dxa" w:w="1440"/>
          </w:tcPr>
          <w:p>
            <w:r>
              <w:rPr>
                <w:rFonts w:ascii="Times New Roman" w:hAnsi="Times New Roman"/>
                <w:sz w:val="17"/>
              </w:rPr>
              <w:t>Layer 4 / Layer 7</w:t>
            </w:r>
          </w:p>
        </w:tc>
        <w:tc>
          <w:tcPr>
            <w:tcW w:type="dxa" w:w="1440"/>
          </w:tcPr>
          <w:p>
            <w:r>
              <w:rPr>
                <w:rFonts w:ascii="Times New Roman" w:hAnsi="Times New Roman"/>
                <w:sz w:val="17"/>
              </w:rPr>
              <w:t>1,800.27</w:t>
            </w:r>
          </w:p>
        </w:tc>
        <w:tc>
          <w:tcPr>
            <w:tcW w:type="dxa" w:w="1440"/>
          </w:tcPr>
          <w:p>
            <w:r>
              <w:rPr>
                <w:rFonts w:ascii="Times New Roman" w:hAnsi="Times New Roman"/>
                <w:sz w:val="17"/>
              </w:rPr>
              <w:t>24.00%</w:t>
            </w:r>
          </w:p>
        </w:tc>
        <w:tc>
          <w:tcPr>
            <w:tcW w:type="dxa" w:w="1440"/>
          </w:tcPr>
          <w:p>
            <w:r>
              <w:rPr>
                <w:rFonts w:ascii="Times New Roman" w:hAnsi="Times New Roman"/>
                <w:sz w:val="17"/>
              </w:rPr>
              <w:t>Separates benign MQTT broker telemetry (port 1883) from non-MQTT attack flows</w:t>
            </w:r>
          </w:p>
        </w:tc>
      </w:tr>
      <w:tr>
        <w:tc>
          <w:tcPr>
            <w:tcW w:type="dxa" w:w="1440"/>
          </w:tcPr>
          <w:p>
            <w:r>
              <w:rPr>
                <w:rFonts w:ascii="Times New Roman" w:hAnsi="Times New Roman"/>
                <w:sz w:val="17"/>
              </w:rPr>
              <w:t>2</w:t>
            </w:r>
          </w:p>
        </w:tc>
        <w:tc>
          <w:tcPr>
            <w:tcW w:type="dxa" w:w="1440"/>
          </w:tcPr>
          <w:p>
            <w:r>
              <w:rPr>
                <w:rFonts w:ascii="Times New Roman" w:hAnsi="Times New Roman"/>
                <w:sz w:val="17"/>
              </w:rPr>
              <w:t>psfe_http_file_data_len</w:t>
            </w:r>
          </w:p>
        </w:tc>
        <w:tc>
          <w:tcPr>
            <w:tcW w:type="dxa" w:w="1440"/>
          </w:tcPr>
          <w:p>
            <w:r>
              <w:rPr>
                <w:rFonts w:ascii="Times New Roman" w:hAnsi="Times New Roman"/>
                <w:sz w:val="17"/>
              </w:rPr>
              <w:t>PP-PSFE (Engineered)</w:t>
            </w:r>
          </w:p>
        </w:tc>
        <w:tc>
          <w:tcPr>
            <w:tcW w:type="dxa" w:w="1440"/>
          </w:tcPr>
          <w:p>
            <w:r>
              <w:rPr>
                <w:rFonts w:ascii="Times New Roman" w:hAnsi="Times New Roman"/>
                <w:sz w:val="17"/>
              </w:rPr>
              <w:t>Layer 7 (HTTP)</w:t>
            </w:r>
          </w:p>
        </w:tc>
        <w:tc>
          <w:tcPr>
            <w:tcW w:type="dxa" w:w="1440"/>
          </w:tcPr>
          <w:p>
            <w:r>
              <w:rPr>
                <w:rFonts w:ascii="Times New Roman" w:hAnsi="Times New Roman"/>
                <w:sz w:val="17"/>
              </w:rPr>
              <w:t>1,439.90</w:t>
            </w:r>
          </w:p>
        </w:tc>
        <w:tc>
          <w:tcPr>
            <w:tcW w:type="dxa" w:w="1440"/>
          </w:tcPr>
          <w:p>
            <w:r>
              <w:rPr>
                <w:rFonts w:ascii="Times New Roman" w:hAnsi="Times New Roman"/>
                <w:sz w:val="17"/>
              </w:rPr>
              <w:t>19.20%</w:t>
            </w:r>
          </w:p>
        </w:tc>
        <w:tc>
          <w:tcPr>
            <w:tcW w:type="dxa" w:w="1440"/>
          </w:tcPr>
          <w:p>
            <w:r>
              <w:rPr>
                <w:rFonts w:ascii="Times New Roman" w:hAnsi="Times New Roman"/>
                <w:sz w:val="17"/>
              </w:rPr>
              <w:t>Distinguishes Uploading, XSS, and Password POST bodies from header-only DDoS_HTTP</w:t>
            </w:r>
          </w:p>
        </w:tc>
      </w:tr>
      <w:tr>
        <w:tc>
          <w:tcPr>
            <w:tcW w:type="dxa" w:w="1440"/>
          </w:tcPr>
          <w:p>
            <w:r>
              <w:rPr>
                <w:rFonts w:ascii="Times New Roman" w:hAnsi="Times New Roman"/>
                <w:sz w:val="17"/>
              </w:rPr>
              <w:t>3</w:t>
            </w:r>
          </w:p>
        </w:tc>
        <w:tc>
          <w:tcPr>
            <w:tcW w:type="dxa" w:w="1440"/>
          </w:tcPr>
          <w:p>
            <w:r>
              <w:rPr>
                <w:rFonts w:ascii="Times New Roman" w:hAnsi="Times New Roman"/>
                <w:sz w:val="17"/>
              </w:rPr>
              <w:t>udp.stream</w:t>
            </w:r>
          </w:p>
        </w:tc>
        <w:tc>
          <w:tcPr>
            <w:tcW w:type="dxa" w:w="1440"/>
          </w:tcPr>
          <w:p>
            <w:r>
              <w:rPr>
                <w:rFonts w:ascii="Times New Roman" w:hAnsi="Times New Roman"/>
                <w:sz w:val="17"/>
              </w:rPr>
              <w:t>Core Protocol (Sanitized)</w:t>
            </w:r>
          </w:p>
        </w:tc>
        <w:tc>
          <w:tcPr>
            <w:tcW w:type="dxa" w:w="1440"/>
          </w:tcPr>
          <w:p>
            <w:r>
              <w:rPr>
                <w:rFonts w:ascii="Times New Roman" w:hAnsi="Times New Roman"/>
                <w:sz w:val="17"/>
              </w:rPr>
              <w:t>Layer 4 (UDP)</w:t>
            </w:r>
          </w:p>
        </w:tc>
        <w:tc>
          <w:tcPr>
            <w:tcW w:type="dxa" w:w="1440"/>
          </w:tcPr>
          <w:p>
            <w:r>
              <w:rPr>
                <w:rFonts w:ascii="Times New Roman" w:hAnsi="Times New Roman"/>
                <w:sz w:val="17"/>
              </w:rPr>
              <w:t>642.45</w:t>
            </w:r>
          </w:p>
        </w:tc>
        <w:tc>
          <w:tcPr>
            <w:tcW w:type="dxa" w:w="1440"/>
          </w:tcPr>
          <w:p>
            <w:r>
              <w:rPr>
                <w:rFonts w:ascii="Times New Roman" w:hAnsi="Times New Roman"/>
                <w:sz w:val="17"/>
              </w:rPr>
              <w:t>8.57%</w:t>
            </w:r>
          </w:p>
        </w:tc>
        <w:tc>
          <w:tcPr>
            <w:tcW w:type="dxa" w:w="1440"/>
          </w:tcPr>
          <w:p>
            <w:r>
              <w:rPr>
                <w:rFonts w:ascii="Times New Roman" w:hAnsi="Times New Roman"/>
                <w:sz w:val="17"/>
              </w:rPr>
              <w:t>Identifies high-index sequential UDP flood streams (DDoS_UDP)</w:t>
            </w:r>
          </w:p>
        </w:tc>
      </w:tr>
      <w:tr>
        <w:tc>
          <w:tcPr>
            <w:tcW w:type="dxa" w:w="1440"/>
          </w:tcPr>
          <w:p>
            <w:r>
              <w:rPr>
                <w:rFonts w:ascii="Times New Roman" w:hAnsi="Times New Roman"/>
                <w:sz w:val="17"/>
              </w:rPr>
              <w:t>4</w:t>
            </w:r>
          </w:p>
        </w:tc>
        <w:tc>
          <w:tcPr>
            <w:tcW w:type="dxa" w:w="1440"/>
          </w:tcPr>
          <w:p>
            <w:r>
              <w:rPr>
                <w:rFonts w:ascii="Times New Roman" w:hAnsi="Times New Roman"/>
                <w:sz w:val="17"/>
              </w:rPr>
              <w:t>psfe_tcp_opt_has_ts</w:t>
            </w:r>
          </w:p>
        </w:tc>
        <w:tc>
          <w:tcPr>
            <w:tcW w:type="dxa" w:w="1440"/>
          </w:tcPr>
          <w:p>
            <w:r>
              <w:rPr>
                <w:rFonts w:ascii="Times New Roman" w:hAnsi="Times New Roman"/>
                <w:sz w:val="17"/>
              </w:rPr>
              <w:t>PP-PSFE (Engineered)</w:t>
            </w:r>
          </w:p>
        </w:tc>
        <w:tc>
          <w:tcPr>
            <w:tcW w:type="dxa" w:w="1440"/>
          </w:tcPr>
          <w:p>
            <w:r>
              <w:rPr>
                <w:rFonts w:ascii="Times New Roman" w:hAnsi="Times New Roman"/>
                <w:sz w:val="17"/>
              </w:rPr>
              <w:t>Layer 4 (TCP)</w:t>
            </w:r>
          </w:p>
        </w:tc>
        <w:tc>
          <w:tcPr>
            <w:tcW w:type="dxa" w:w="1440"/>
          </w:tcPr>
          <w:p>
            <w:r>
              <w:rPr>
                <w:rFonts w:ascii="Times New Roman" w:hAnsi="Times New Roman"/>
                <w:sz w:val="17"/>
              </w:rPr>
              <w:t>430.60</w:t>
            </w:r>
          </w:p>
        </w:tc>
        <w:tc>
          <w:tcPr>
            <w:tcW w:type="dxa" w:w="1440"/>
          </w:tcPr>
          <w:p>
            <w:r>
              <w:rPr>
                <w:rFonts w:ascii="Times New Roman" w:hAnsi="Times New Roman"/>
                <w:sz w:val="17"/>
              </w:rPr>
              <w:t>5.74%</w:t>
            </w:r>
          </w:p>
        </w:tc>
        <w:tc>
          <w:tcPr>
            <w:tcW w:type="dxa" w:w="1440"/>
          </w:tcPr>
          <w:p>
            <w:r>
              <w:rPr>
                <w:rFonts w:ascii="Times New Roman" w:hAnsi="Times New Roman"/>
                <w:sz w:val="17"/>
              </w:rPr>
              <w:t>RFC 7323 TCP Timestamp option (0x080a) separating Linux/Nmap attack stacks</w:t>
            </w:r>
          </w:p>
        </w:tc>
      </w:tr>
      <w:tr>
        <w:tc>
          <w:tcPr>
            <w:tcW w:type="dxa" w:w="1440"/>
          </w:tcPr>
          <w:p>
            <w:r>
              <w:rPr>
                <w:rFonts w:ascii="Times New Roman" w:hAnsi="Times New Roman"/>
                <w:sz w:val="17"/>
              </w:rPr>
              <w:t>5</w:t>
            </w:r>
          </w:p>
        </w:tc>
        <w:tc>
          <w:tcPr>
            <w:tcW w:type="dxa" w:w="1440"/>
          </w:tcPr>
          <w:p>
            <w:r>
              <w:rPr>
                <w:rFonts w:ascii="Times New Roman" w:hAnsi="Times New Roman"/>
                <w:sz w:val="17"/>
              </w:rPr>
              <w:t>psfe_service_port</w:t>
            </w:r>
          </w:p>
        </w:tc>
        <w:tc>
          <w:tcPr>
            <w:tcW w:type="dxa" w:w="1440"/>
          </w:tcPr>
          <w:p>
            <w:r>
              <w:rPr>
                <w:rFonts w:ascii="Times New Roman" w:hAnsi="Times New Roman"/>
                <w:sz w:val="17"/>
              </w:rPr>
              <w:t>PP-PSFE (Engineered)</w:t>
            </w:r>
          </w:p>
        </w:tc>
        <w:tc>
          <w:tcPr>
            <w:tcW w:type="dxa" w:w="1440"/>
          </w:tcPr>
          <w:p>
            <w:r>
              <w:rPr>
                <w:rFonts w:ascii="Times New Roman" w:hAnsi="Times New Roman"/>
                <w:sz w:val="17"/>
              </w:rPr>
              <w:t>Layer 4 (TCP/UDP)</w:t>
            </w:r>
          </w:p>
        </w:tc>
        <w:tc>
          <w:tcPr>
            <w:tcW w:type="dxa" w:w="1440"/>
          </w:tcPr>
          <w:p>
            <w:r>
              <w:rPr>
                <w:rFonts w:ascii="Times New Roman" w:hAnsi="Times New Roman"/>
                <w:sz w:val="17"/>
              </w:rPr>
              <w:t>334.18</w:t>
            </w:r>
          </w:p>
        </w:tc>
        <w:tc>
          <w:tcPr>
            <w:tcW w:type="dxa" w:w="1440"/>
          </w:tcPr>
          <w:p>
            <w:r>
              <w:rPr>
                <w:rFonts w:ascii="Times New Roman" w:hAnsi="Times New Roman"/>
                <w:sz w:val="17"/>
              </w:rPr>
              <w:t>4.46%</w:t>
            </w:r>
          </w:p>
        </w:tc>
        <w:tc>
          <w:tcPr>
            <w:tcW w:type="dxa" w:w="1440"/>
          </w:tcPr>
          <w:p>
            <w:r>
              <w:rPr>
                <w:rFonts w:ascii="Times New Roman" w:hAnsi="Times New Roman"/>
                <w:sz w:val="17"/>
              </w:rPr>
              <w:t>Direction-invariant target daemon port $\min(p_{\text{src}}, p_{\text{dst}})$</w:t>
            </w:r>
          </w:p>
        </w:tc>
      </w:tr>
      <w:tr>
        <w:tc>
          <w:tcPr>
            <w:tcW w:type="dxa" w:w="1440"/>
          </w:tcPr>
          <w:p>
            <w:r>
              <w:rPr>
                <w:rFonts w:ascii="Times New Roman" w:hAnsi="Times New Roman"/>
                <w:sz w:val="17"/>
              </w:rPr>
              <w:t>6</w:t>
            </w:r>
          </w:p>
        </w:tc>
        <w:tc>
          <w:tcPr>
            <w:tcW w:type="dxa" w:w="1440"/>
          </w:tcPr>
          <w:p>
            <w:r>
              <w:rPr>
                <w:rFonts w:ascii="Times New Roman" w:hAnsi="Times New Roman"/>
                <w:sz w:val="17"/>
              </w:rPr>
              <w:t>psfe_is_iot_c2_service</w:t>
            </w:r>
          </w:p>
        </w:tc>
        <w:tc>
          <w:tcPr>
            <w:tcW w:type="dxa" w:w="1440"/>
          </w:tcPr>
          <w:p>
            <w:r>
              <w:rPr>
                <w:rFonts w:ascii="Times New Roman" w:hAnsi="Times New Roman"/>
                <w:sz w:val="17"/>
              </w:rPr>
              <w:t>PP-PSFE (Engineered)</w:t>
            </w:r>
          </w:p>
        </w:tc>
        <w:tc>
          <w:tcPr>
            <w:tcW w:type="dxa" w:w="1440"/>
          </w:tcPr>
          <w:p>
            <w:r>
              <w:rPr>
                <w:rFonts w:ascii="Times New Roman" w:hAnsi="Times New Roman"/>
                <w:sz w:val="17"/>
              </w:rPr>
              <w:t>Layer 4 (TCP)</w:t>
            </w:r>
          </w:p>
        </w:tc>
        <w:tc>
          <w:tcPr>
            <w:tcW w:type="dxa" w:w="1440"/>
          </w:tcPr>
          <w:p>
            <w:r>
              <w:rPr>
                <w:rFonts w:ascii="Times New Roman" w:hAnsi="Times New Roman"/>
                <w:sz w:val="17"/>
              </w:rPr>
              <w:t>280.43</w:t>
            </w:r>
          </w:p>
        </w:tc>
        <w:tc>
          <w:tcPr>
            <w:tcW w:type="dxa" w:w="1440"/>
          </w:tcPr>
          <w:p>
            <w:r>
              <w:rPr>
                <w:rFonts w:ascii="Times New Roman" w:hAnsi="Times New Roman"/>
                <w:sz w:val="17"/>
              </w:rPr>
              <w:t>3.74%</w:t>
            </w:r>
          </w:p>
        </w:tc>
        <w:tc>
          <w:tcPr>
            <w:tcW w:type="dxa" w:w="1440"/>
          </w:tcPr>
          <w:p>
            <w:r>
              <w:rPr>
                <w:rFonts w:ascii="Times New Roman" w:hAnsi="Times New Roman"/>
                <w:sz w:val="17"/>
              </w:rPr>
              <w:t>Flags SSH/Telnet/Modbus/SMB/C2 daemon ports (Backdoor, Ransomware)</w:t>
            </w:r>
          </w:p>
        </w:tc>
      </w:tr>
      <w:tr>
        <w:tc>
          <w:tcPr>
            <w:tcW w:type="dxa" w:w="1440"/>
          </w:tcPr>
          <w:p>
            <w:r>
              <w:rPr>
                <w:rFonts w:ascii="Times New Roman" w:hAnsi="Times New Roman"/>
                <w:sz w:val="17"/>
              </w:rPr>
              <w:t>7</w:t>
            </w:r>
          </w:p>
        </w:tc>
        <w:tc>
          <w:tcPr>
            <w:tcW w:type="dxa" w:w="1440"/>
          </w:tcPr>
          <w:p>
            <w:r>
              <w:rPr>
                <w:rFonts w:ascii="Times New Roman" w:hAnsi="Times New Roman"/>
                <w:sz w:val="17"/>
              </w:rPr>
              <w:t>psfe_is_http_service</w:t>
            </w:r>
          </w:p>
        </w:tc>
        <w:tc>
          <w:tcPr>
            <w:tcW w:type="dxa" w:w="1440"/>
          </w:tcPr>
          <w:p>
            <w:r>
              <w:rPr>
                <w:rFonts w:ascii="Times New Roman" w:hAnsi="Times New Roman"/>
                <w:sz w:val="17"/>
              </w:rPr>
              <w:t>PP-PSFE (Engineered)</w:t>
            </w:r>
          </w:p>
        </w:tc>
        <w:tc>
          <w:tcPr>
            <w:tcW w:type="dxa" w:w="1440"/>
          </w:tcPr>
          <w:p>
            <w:r>
              <w:rPr>
                <w:rFonts w:ascii="Times New Roman" w:hAnsi="Times New Roman"/>
                <w:sz w:val="17"/>
              </w:rPr>
              <w:t>Layer 4 / Layer 7</w:t>
            </w:r>
          </w:p>
        </w:tc>
        <w:tc>
          <w:tcPr>
            <w:tcW w:type="dxa" w:w="1440"/>
          </w:tcPr>
          <w:p>
            <w:r>
              <w:rPr>
                <w:rFonts w:ascii="Times New Roman" w:hAnsi="Times New Roman"/>
                <w:sz w:val="17"/>
              </w:rPr>
              <w:t>250.37</w:t>
            </w:r>
          </w:p>
        </w:tc>
        <w:tc>
          <w:tcPr>
            <w:tcW w:type="dxa" w:w="1440"/>
          </w:tcPr>
          <w:p>
            <w:r>
              <w:rPr>
                <w:rFonts w:ascii="Times New Roman" w:hAnsi="Times New Roman"/>
                <w:sz w:val="17"/>
              </w:rPr>
              <w:t>3.34%</w:t>
            </w:r>
          </w:p>
        </w:tc>
        <w:tc>
          <w:tcPr>
            <w:tcW w:type="dxa" w:w="1440"/>
          </w:tcPr>
          <w:p>
            <w:r>
              <w:rPr>
                <w:rFonts w:ascii="Times New Roman" w:hAnsi="Times New Roman"/>
                <w:sz w:val="17"/>
              </w:rPr>
              <w:t>Isolates Web/API traffic (ports 80/443/8080) for downstream Layer-7 splits</w:t>
            </w:r>
          </w:p>
        </w:tc>
      </w:tr>
      <w:tr>
        <w:tc>
          <w:tcPr>
            <w:tcW w:type="dxa" w:w="1440"/>
          </w:tcPr>
          <w:p>
            <w:r>
              <w:rPr>
                <w:rFonts w:ascii="Times New Roman" w:hAnsi="Times New Roman"/>
                <w:sz w:val="17"/>
              </w:rPr>
              <w:t>8</w:t>
            </w:r>
          </w:p>
        </w:tc>
        <w:tc>
          <w:tcPr>
            <w:tcW w:type="dxa" w:w="1440"/>
          </w:tcPr>
          <w:p>
            <w:r>
              <w:rPr>
                <w:rFonts w:ascii="Times New Roman" w:hAnsi="Times New Roman"/>
                <w:sz w:val="17"/>
              </w:rPr>
              <w:t>http.content_length</w:t>
            </w:r>
          </w:p>
        </w:tc>
        <w:tc>
          <w:tcPr>
            <w:tcW w:type="dxa" w:w="1440"/>
          </w:tcPr>
          <w:p>
            <w:r>
              <w:rPr>
                <w:rFonts w:ascii="Times New Roman" w:hAnsi="Times New Roman"/>
                <w:sz w:val="17"/>
              </w:rPr>
              <w:t>Core Protocol (Sanitized)</w:t>
            </w:r>
          </w:p>
        </w:tc>
        <w:tc>
          <w:tcPr>
            <w:tcW w:type="dxa" w:w="1440"/>
          </w:tcPr>
          <w:p>
            <w:r>
              <w:rPr>
                <w:rFonts w:ascii="Times New Roman" w:hAnsi="Times New Roman"/>
                <w:sz w:val="17"/>
              </w:rPr>
              <w:t>Layer 7 (HTTP)</w:t>
            </w:r>
          </w:p>
        </w:tc>
        <w:tc>
          <w:tcPr>
            <w:tcW w:type="dxa" w:w="1440"/>
          </w:tcPr>
          <w:p>
            <w:r>
              <w:rPr>
                <w:rFonts w:ascii="Times New Roman" w:hAnsi="Times New Roman"/>
                <w:sz w:val="17"/>
              </w:rPr>
              <w:t>180.99</w:t>
            </w:r>
          </w:p>
        </w:tc>
        <w:tc>
          <w:tcPr>
            <w:tcW w:type="dxa" w:w="1440"/>
          </w:tcPr>
          <w:p>
            <w:r>
              <w:rPr>
                <w:rFonts w:ascii="Times New Roman" w:hAnsi="Times New Roman"/>
                <w:sz w:val="17"/>
              </w:rPr>
              <w:t>2.41%</w:t>
            </w:r>
          </w:p>
        </w:tc>
        <w:tc>
          <w:tcPr>
            <w:tcW w:type="dxa" w:w="1440"/>
          </w:tcPr>
          <w:p>
            <w:r>
              <w:rPr>
                <w:rFonts w:ascii="Times New Roman" w:hAnsi="Times New Roman"/>
                <w:sz w:val="17"/>
              </w:rPr>
              <w:t>Content-Length header magnitude in HTTP requests/responses</w:t>
            </w:r>
          </w:p>
        </w:tc>
      </w:tr>
      <w:tr>
        <w:tc>
          <w:tcPr>
            <w:tcW w:type="dxa" w:w="1440"/>
          </w:tcPr>
          <w:p>
            <w:r>
              <w:rPr>
                <w:rFonts w:ascii="Times New Roman" w:hAnsi="Times New Roman"/>
                <w:sz w:val="17"/>
              </w:rPr>
              <w:t>9</w:t>
            </w:r>
          </w:p>
        </w:tc>
        <w:tc>
          <w:tcPr>
            <w:tcW w:type="dxa" w:w="1440"/>
          </w:tcPr>
          <w:p>
            <w:r>
              <w:rPr>
                <w:rFonts w:ascii="Times New Roman" w:hAnsi="Times New Roman"/>
                <w:sz w:val="17"/>
              </w:rPr>
              <w:t>tcp.len</w:t>
            </w:r>
          </w:p>
        </w:tc>
        <w:tc>
          <w:tcPr>
            <w:tcW w:type="dxa" w:w="1440"/>
          </w:tcPr>
          <w:p>
            <w:r>
              <w:rPr>
                <w:rFonts w:ascii="Times New Roman" w:hAnsi="Times New Roman"/>
                <w:sz w:val="17"/>
              </w:rPr>
              <w:t>Core Protocol (Sanitized)</w:t>
            </w:r>
          </w:p>
        </w:tc>
        <w:tc>
          <w:tcPr>
            <w:tcW w:type="dxa" w:w="1440"/>
          </w:tcPr>
          <w:p>
            <w:r>
              <w:rPr>
                <w:rFonts w:ascii="Times New Roman" w:hAnsi="Times New Roman"/>
                <w:sz w:val="17"/>
              </w:rPr>
              <w:t>Layer 4 (TCP)</w:t>
            </w:r>
          </w:p>
        </w:tc>
        <w:tc>
          <w:tcPr>
            <w:tcW w:type="dxa" w:w="1440"/>
          </w:tcPr>
          <w:p>
            <w:r>
              <w:rPr>
                <w:rFonts w:ascii="Times New Roman" w:hAnsi="Times New Roman"/>
                <w:sz w:val="17"/>
              </w:rPr>
              <w:t>167.36</w:t>
            </w:r>
          </w:p>
        </w:tc>
        <w:tc>
          <w:tcPr>
            <w:tcW w:type="dxa" w:w="1440"/>
          </w:tcPr>
          <w:p>
            <w:r>
              <w:rPr>
                <w:rFonts w:ascii="Times New Roman" w:hAnsi="Times New Roman"/>
                <w:sz w:val="17"/>
              </w:rPr>
              <w:t>2.23%</w:t>
            </w:r>
          </w:p>
        </w:tc>
        <w:tc>
          <w:tcPr>
            <w:tcW w:type="dxa" w:w="1440"/>
          </w:tcPr>
          <w:p>
            <w:r>
              <w:rPr>
                <w:rFonts w:ascii="Times New Roman" w:hAnsi="Times New Roman"/>
                <w:sz w:val="17"/>
              </w:rPr>
              <w:t>TCP segment payload length</w:t>
            </w:r>
          </w:p>
        </w:tc>
      </w:tr>
      <w:tr>
        <w:tc>
          <w:tcPr>
            <w:tcW w:type="dxa" w:w="1440"/>
          </w:tcPr>
          <w:p>
            <w:r>
              <w:rPr>
                <w:rFonts w:ascii="Times New Roman" w:hAnsi="Times New Roman"/>
                <w:sz w:val="17"/>
              </w:rPr>
              <w:t>10</w:t>
            </w:r>
          </w:p>
        </w:tc>
        <w:tc>
          <w:tcPr>
            <w:tcW w:type="dxa" w:w="1440"/>
          </w:tcPr>
          <w:p>
            <w:r>
              <w:rPr>
                <w:rFonts w:ascii="Times New Roman" w:hAnsi="Times New Roman"/>
                <w:sz w:val="17"/>
              </w:rPr>
              <w:t>tcp.flags</w:t>
            </w:r>
          </w:p>
        </w:tc>
        <w:tc>
          <w:tcPr>
            <w:tcW w:type="dxa" w:w="1440"/>
          </w:tcPr>
          <w:p>
            <w:r>
              <w:rPr>
                <w:rFonts w:ascii="Times New Roman" w:hAnsi="Times New Roman"/>
                <w:sz w:val="17"/>
              </w:rPr>
              <w:t>Core Protocol (Sanitized)</w:t>
            </w:r>
          </w:p>
        </w:tc>
        <w:tc>
          <w:tcPr>
            <w:tcW w:type="dxa" w:w="1440"/>
          </w:tcPr>
          <w:p>
            <w:r>
              <w:rPr>
                <w:rFonts w:ascii="Times New Roman" w:hAnsi="Times New Roman"/>
                <w:sz w:val="17"/>
              </w:rPr>
              <w:t>Layer 4 (TCP)</w:t>
            </w:r>
          </w:p>
        </w:tc>
        <w:tc>
          <w:tcPr>
            <w:tcW w:type="dxa" w:w="1440"/>
          </w:tcPr>
          <w:p>
            <w:r>
              <w:rPr>
                <w:rFonts w:ascii="Times New Roman" w:hAnsi="Times New Roman"/>
                <w:sz w:val="17"/>
              </w:rPr>
              <w:t>167.05</w:t>
            </w:r>
          </w:p>
        </w:tc>
        <w:tc>
          <w:tcPr>
            <w:tcW w:type="dxa" w:w="1440"/>
          </w:tcPr>
          <w:p>
            <w:r>
              <w:rPr>
                <w:rFonts w:ascii="Times New Roman" w:hAnsi="Times New Roman"/>
                <w:sz w:val="17"/>
              </w:rPr>
              <w:t>2.23%</w:t>
            </w:r>
          </w:p>
        </w:tc>
        <w:tc>
          <w:tcPr>
            <w:tcW w:type="dxa" w:w="1440"/>
          </w:tcPr>
          <w:p>
            <w:r>
              <w:rPr>
                <w:rFonts w:ascii="Times New Roman" w:hAnsi="Times New Roman"/>
                <w:sz w:val="17"/>
              </w:rPr>
              <w:t>Bitmask of SYN/ACK/FIN/RST/PSH control flags (DDoS_TCP, Port_Scanning)</w:t>
            </w:r>
          </w:p>
        </w:tc>
      </w:tr>
      <w:tr>
        <w:tc>
          <w:tcPr>
            <w:tcW w:type="dxa" w:w="1440"/>
          </w:tcPr>
          <w:p>
            <w:r>
              <w:rPr>
                <w:rFonts w:ascii="Times New Roman" w:hAnsi="Times New Roman"/>
                <w:sz w:val="17"/>
              </w:rPr>
              <w:t>11</w:t>
            </w:r>
          </w:p>
        </w:tc>
        <w:tc>
          <w:tcPr>
            <w:tcW w:type="dxa" w:w="1440"/>
          </w:tcPr>
          <w:p>
            <w:r>
              <w:rPr>
                <w:rFonts w:ascii="Times New Roman" w:hAnsi="Times New Roman"/>
                <w:sz w:val="17"/>
              </w:rPr>
              <w:t>psfe_app_sqli_flag</w:t>
            </w:r>
          </w:p>
        </w:tc>
        <w:tc>
          <w:tcPr>
            <w:tcW w:type="dxa" w:w="1440"/>
          </w:tcPr>
          <w:p>
            <w:r>
              <w:rPr>
                <w:rFonts w:ascii="Times New Roman" w:hAnsi="Times New Roman"/>
                <w:sz w:val="17"/>
              </w:rPr>
              <w:t>PP-PSFE (Engineered)</w:t>
            </w:r>
          </w:p>
        </w:tc>
        <w:tc>
          <w:tcPr>
            <w:tcW w:type="dxa" w:w="1440"/>
          </w:tcPr>
          <w:p>
            <w:r>
              <w:rPr>
                <w:rFonts w:ascii="Times New Roman" w:hAnsi="Times New Roman"/>
                <w:sz w:val="17"/>
              </w:rPr>
              <w:t>Layer 7 (HTTP)</w:t>
            </w:r>
          </w:p>
        </w:tc>
        <w:tc>
          <w:tcPr>
            <w:tcW w:type="dxa" w:w="1440"/>
          </w:tcPr>
          <w:p>
            <w:r>
              <w:rPr>
                <w:rFonts w:ascii="Times New Roman" w:hAnsi="Times New Roman"/>
                <w:sz w:val="17"/>
              </w:rPr>
              <w:t>144.06</w:t>
            </w:r>
          </w:p>
        </w:tc>
        <w:tc>
          <w:tcPr>
            <w:tcW w:type="dxa" w:w="1440"/>
          </w:tcPr>
          <w:p>
            <w:r>
              <w:rPr>
                <w:rFonts w:ascii="Times New Roman" w:hAnsi="Times New Roman"/>
                <w:sz w:val="17"/>
              </w:rPr>
              <w:t>1.92%</w:t>
            </w:r>
          </w:p>
        </w:tc>
        <w:tc>
          <w:tcPr>
            <w:tcW w:type="dxa" w:w="1440"/>
          </w:tcPr>
          <w:p>
            <w:r>
              <w:rPr>
                <w:rFonts w:ascii="Times New Roman" w:hAnsi="Times New Roman"/>
                <w:sz w:val="17"/>
              </w:rPr>
              <w:t>Lexical indicator for SQL tautology/union injection (SQL_injection)</w:t>
            </w:r>
          </w:p>
        </w:tc>
      </w:tr>
      <w:tr>
        <w:tc>
          <w:tcPr>
            <w:tcW w:type="dxa" w:w="1440"/>
          </w:tcPr>
          <w:p>
            <w:r>
              <w:rPr>
                <w:rFonts w:ascii="Times New Roman" w:hAnsi="Times New Roman"/>
                <w:sz w:val="17"/>
              </w:rPr>
              <w:t>12</w:t>
            </w:r>
          </w:p>
        </w:tc>
        <w:tc>
          <w:tcPr>
            <w:tcW w:type="dxa" w:w="1440"/>
          </w:tcPr>
          <w:p>
            <w:r>
              <w:rPr>
                <w:rFonts w:ascii="Times New Roman" w:hAnsi="Times New Roman"/>
                <w:sz w:val="17"/>
              </w:rPr>
              <w:t>tcp.connection.rst</w:t>
            </w:r>
          </w:p>
        </w:tc>
        <w:tc>
          <w:tcPr>
            <w:tcW w:type="dxa" w:w="1440"/>
          </w:tcPr>
          <w:p>
            <w:r>
              <w:rPr>
                <w:rFonts w:ascii="Times New Roman" w:hAnsi="Times New Roman"/>
                <w:sz w:val="17"/>
              </w:rPr>
              <w:t>Core Protocol (Sanitized)</w:t>
            </w:r>
          </w:p>
        </w:tc>
        <w:tc>
          <w:tcPr>
            <w:tcW w:type="dxa" w:w="1440"/>
          </w:tcPr>
          <w:p>
            <w:r>
              <w:rPr>
                <w:rFonts w:ascii="Times New Roman" w:hAnsi="Times New Roman"/>
                <w:sz w:val="17"/>
              </w:rPr>
              <w:t>Layer 4 (TCP)</w:t>
            </w:r>
          </w:p>
        </w:tc>
        <w:tc>
          <w:tcPr>
            <w:tcW w:type="dxa" w:w="1440"/>
          </w:tcPr>
          <w:p>
            <w:r>
              <w:rPr>
                <w:rFonts w:ascii="Times New Roman" w:hAnsi="Times New Roman"/>
                <w:sz w:val="17"/>
              </w:rPr>
              <w:t>120.31</w:t>
            </w:r>
          </w:p>
        </w:tc>
        <w:tc>
          <w:tcPr>
            <w:tcW w:type="dxa" w:w="1440"/>
          </w:tcPr>
          <w:p>
            <w:r>
              <w:rPr>
                <w:rFonts w:ascii="Times New Roman" w:hAnsi="Times New Roman"/>
                <w:sz w:val="17"/>
              </w:rPr>
              <w:t>1.60%</w:t>
            </w:r>
          </w:p>
        </w:tc>
        <w:tc>
          <w:tcPr>
            <w:tcW w:type="dxa" w:w="1440"/>
          </w:tcPr>
          <w:p>
            <w:r>
              <w:rPr>
                <w:rFonts w:ascii="Times New Roman" w:hAnsi="Times New Roman"/>
                <w:sz w:val="17"/>
              </w:rPr>
              <w:t>Abrupt TCP connection reset indicator during port and vulnerability scanning</w:t>
            </w:r>
          </w:p>
        </w:tc>
      </w:tr>
      <w:tr>
        <w:tc>
          <w:tcPr>
            <w:tcW w:type="dxa" w:w="1440"/>
          </w:tcPr>
          <w:p>
            <w:r>
              <w:rPr>
                <w:rFonts w:ascii="Times New Roman" w:hAnsi="Times New Roman"/>
                <w:sz w:val="17"/>
              </w:rPr>
              <w:t>13</w:t>
            </w:r>
          </w:p>
        </w:tc>
        <w:tc>
          <w:tcPr>
            <w:tcW w:type="dxa" w:w="1440"/>
          </w:tcPr>
          <w:p>
            <w:r>
              <w:rPr>
                <w:rFonts w:ascii="Times New Roman" w:hAnsi="Times New Roman"/>
                <w:sz w:val="17"/>
              </w:rPr>
              <w:t>icmp.seq_le</w:t>
            </w:r>
          </w:p>
        </w:tc>
        <w:tc>
          <w:tcPr>
            <w:tcW w:type="dxa" w:w="1440"/>
          </w:tcPr>
          <w:p>
            <w:r>
              <w:rPr>
                <w:rFonts w:ascii="Times New Roman" w:hAnsi="Times New Roman"/>
                <w:sz w:val="17"/>
              </w:rPr>
              <w:t>Core Protocol (Sanitized)</w:t>
            </w:r>
          </w:p>
        </w:tc>
        <w:tc>
          <w:tcPr>
            <w:tcW w:type="dxa" w:w="1440"/>
          </w:tcPr>
          <w:p>
            <w:r>
              <w:rPr>
                <w:rFonts w:ascii="Times New Roman" w:hAnsi="Times New Roman"/>
                <w:sz w:val="17"/>
              </w:rPr>
              <w:t>Layer 3 (ICMP)</w:t>
            </w:r>
          </w:p>
        </w:tc>
        <w:tc>
          <w:tcPr>
            <w:tcW w:type="dxa" w:w="1440"/>
          </w:tcPr>
          <w:p>
            <w:r>
              <w:rPr>
                <w:rFonts w:ascii="Times New Roman" w:hAnsi="Times New Roman"/>
                <w:sz w:val="17"/>
              </w:rPr>
              <w:t>104.50</w:t>
            </w:r>
          </w:p>
        </w:tc>
        <w:tc>
          <w:tcPr>
            <w:tcW w:type="dxa" w:w="1440"/>
          </w:tcPr>
          <w:p>
            <w:r>
              <w:rPr>
                <w:rFonts w:ascii="Times New Roman" w:hAnsi="Times New Roman"/>
                <w:sz w:val="17"/>
              </w:rPr>
              <w:t>1.39%</w:t>
            </w:r>
          </w:p>
        </w:tc>
        <w:tc>
          <w:tcPr>
            <w:tcW w:type="dxa" w:w="1440"/>
          </w:tcPr>
          <w:p>
            <w:r>
              <w:rPr>
                <w:rFonts w:ascii="Times New Roman" w:hAnsi="Times New Roman"/>
                <w:sz w:val="17"/>
              </w:rPr>
              <w:t>Little-endian ICMP sequence number (DDoS_ICMP, Fingerprinting)</w:t>
            </w:r>
          </w:p>
        </w:tc>
      </w:tr>
      <w:tr>
        <w:tc>
          <w:tcPr>
            <w:tcW w:type="dxa" w:w="1440"/>
          </w:tcPr>
          <w:p>
            <w:r>
              <w:rPr>
                <w:rFonts w:ascii="Times New Roman" w:hAnsi="Times New Roman"/>
                <w:sz w:val="17"/>
              </w:rPr>
              <w:t>14</w:t>
            </w:r>
          </w:p>
        </w:tc>
        <w:tc>
          <w:tcPr>
            <w:tcW w:type="dxa" w:w="1440"/>
          </w:tcPr>
          <w:p>
            <w:r>
              <w:rPr>
                <w:rFonts w:ascii="Times New Roman" w:hAnsi="Times New Roman"/>
                <w:sz w:val="17"/>
              </w:rPr>
              <w:t>psfe_app_auth_flag</w:t>
            </w:r>
          </w:p>
        </w:tc>
        <w:tc>
          <w:tcPr>
            <w:tcW w:type="dxa" w:w="1440"/>
          </w:tcPr>
          <w:p>
            <w:r>
              <w:rPr>
                <w:rFonts w:ascii="Times New Roman" w:hAnsi="Times New Roman"/>
                <w:sz w:val="17"/>
              </w:rPr>
              <w:t>PP-PSFE (Engineered)</w:t>
            </w:r>
          </w:p>
        </w:tc>
        <w:tc>
          <w:tcPr>
            <w:tcW w:type="dxa" w:w="1440"/>
          </w:tcPr>
          <w:p>
            <w:r>
              <w:rPr>
                <w:rFonts w:ascii="Times New Roman" w:hAnsi="Times New Roman"/>
                <w:sz w:val="17"/>
              </w:rPr>
              <w:t>Layer 7 (HTTP)</w:t>
            </w:r>
          </w:p>
        </w:tc>
        <w:tc>
          <w:tcPr>
            <w:tcW w:type="dxa" w:w="1440"/>
          </w:tcPr>
          <w:p>
            <w:r>
              <w:rPr>
                <w:rFonts w:ascii="Times New Roman" w:hAnsi="Times New Roman"/>
                <w:sz w:val="17"/>
              </w:rPr>
              <w:t>104.18</w:t>
            </w:r>
          </w:p>
        </w:tc>
        <w:tc>
          <w:tcPr>
            <w:tcW w:type="dxa" w:w="1440"/>
          </w:tcPr>
          <w:p>
            <w:r>
              <w:rPr>
                <w:rFonts w:ascii="Times New Roman" w:hAnsi="Times New Roman"/>
                <w:sz w:val="17"/>
              </w:rPr>
              <w:t>1.39%</w:t>
            </w:r>
          </w:p>
        </w:tc>
        <w:tc>
          <w:tcPr>
            <w:tcW w:type="dxa" w:w="1440"/>
          </w:tcPr>
          <w:p>
            <w:r>
              <w:rPr>
                <w:rFonts w:ascii="Times New Roman" w:hAnsi="Times New Roman"/>
                <w:sz w:val="17"/>
              </w:rPr>
              <w:t>Lexical indicator for credential brute-forcing (Password)</w:t>
            </w:r>
          </w:p>
        </w:tc>
      </w:tr>
      <w:tr>
        <w:tc>
          <w:tcPr>
            <w:tcW w:type="dxa" w:w="1440"/>
          </w:tcPr>
          <w:p>
            <w:r>
              <w:rPr>
                <w:rFonts w:ascii="Times New Roman" w:hAnsi="Times New Roman"/>
                <w:sz w:val="17"/>
              </w:rPr>
              <w:t>15</w:t>
            </w:r>
          </w:p>
        </w:tc>
        <w:tc>
          <w:tcPr>
            <w:tcW w:type="dxa" w:w="1440"/>
          </w:tcPr>
          <w:p>
            <w:r>
              <w:rPr>
                <w:rFonts w:ascii="Times New Roman" w:hAnsi="Times New Roman"/>
                <w:sz w:val="17"/>
              </w:rPr>
              <w:t>psfe_tcp_opt_bytelen</w:t>
            </w:r>
          </w:p>
        </w:tc>
        <w:tc>
          <w:tcPr>
            <w:tcW w:type="dxa" w:w="1440"/>
          </w:tcPr>
          <w:p>
            <w:r>
              <w:rPr>
                <w:rFonts w:ascii="Times New Roman" w:hAnsi="Times New Roman"/>
                <w:sz w:val="17"/>
              </w:rPr>
              <w:t>PP-PSFE (Engineered)</w:t>
            </w:r>
          </w:p>
        </w:tc>
        <w:tc>
          <w:tcPr>
            <w:tcW w:type="dxa" w:w="1440"/>
          </w:tcPr>
          <w:p>
            <w:r>
              <w:rPr>
                <w:rFonts w:ascii="Times New Roman" w:hAnsi="Times New Roman"/>
                <w:sz w:val="17"/>
              </w:rPr>
              <w:t>Layer 4 (TCP)</w:t>
            </w:r>
          </w:p>
        </w:tc>
        <w:tc>
          <w:tcPr>
            <w:tcW w:type="dxa" w:w="1440"/>
          </w:tcPr>
          <w:p>
            <w:r>
              <w:rPr>
                <w:rFonts w:ascii="Times New Roman" w:hAnsi="Times New Roman"/>
                <w:sz w:val="17"/>
              </w:rPr>
              <w:t>93.94</w:t>
            </w:r>
          </w:p>
        </w:tc>
        <w:tc>
          <w:tcPr>
            <w:tcW w:type="dxa" w:w="1440"/>
          </w:tcPr>
          <w:p>
            <w:r>
              <w:rPr>
                <w:rFonts w:ascii="Times New Roman" w:hAnsi="Times New Roman"/>
                <w:sz w:val="17"/>
              </w:rPr>
              <w:t>1.25%</w:t>
            </w:r>
          </w:p>
        </w:tc>
        <w:tc>
          <w:tcPr>
            <w:tcW w:type="dxa" w:w="1440"/>
          </w:tcPr>
          <w:p>
            <w:r>
              <w:rPr>
                <w:rFonts w:ascii="Times New Roman" w:hAnsi="Times New Roman"/>
                <w:sz w:val="17"/>
              </w:rPr>
              <w:t>Byte length of TCP header options (Fingerprinting vs. standard handshakes)</w:t>
            </w:r>
          </w:p>
        </w:tc>
      </w:tr>
    </w:tbl>
    <w:p/>
    <w:p>
      <w:pPr>
        <w:jc w:val="both"/>
      </w:pPr>
      <w:r>
        <w:t xml:space="preserve">Across all 62 features, the 24 engineered </w:t>
      </w:r>
      <w:r>
        <w:rPr>
          <w:b/>
        </w:rPr>
        <w:t>PP-PSFE features account for $73.88\%$ of total XGBoost loss-reduction gain</w:t>
      </w:r>
      <w:r>
        <w:t xml:space="preserve"> and </w:t>
      </w:r>
      <w:r>
        <w:rPr>
          <w:b/>
        </w:rPr>
        <w:t>$57.1\%$ of total mean absolute TreeSHAP log-odds contribution</w:t>
      </w:r>
      <w:r>
        <w:t xml:space="preserve"> (with 12 of the Top-20 TreeSHAP features belonging to our PP-PSFE set, led by psfe_service_port at $0.4534$ mean $|\text{SHAP}|$, psfe_ephemeral_port at $0.3204$, psfe_port_span at $0.2778$, psfe_tcp_pay_entropy at $0.1619$, and psfe_tcp_opt_bytelen at $0.1381$). This provides rigorous empirical proof that structural protocol-header engineering successfully recovers the discriminative signal lost when raw identifiers and payloads are sanitized.</w:t>
      </w:r>
    </w:p>
    <w:p>
      <w:pPr>
        <w:jc w:val="center"/>
      </w:pPr>
      <w:r>
        <w:drawing>
          <wp:inline xmlns:a="http://schemas.openxmlformats.org/drawingml/2006/main" xmlns:pic="http://schemas.openxmlformats.org/drawingml/2006/picture">
            <wp:extent cx="5669280" cy="3531556"/>
            <wp:docPr id="3" name="Picture 3"/>
            <wp:cNvGraphicFramePr>
              <a:graphicFrameLocks noChangeAspect="1"/>
            </wp:cNvGraphicFramePr>
            <a:graphic>
              <a:graphicData uri="http://schemas.openxmlformats.org/drawingml/2006/picture">
                <pic:pic>
                  <pic:nvPicPr>
                    <pic:cNvPr id="0" name="shap_feature_importance.png"/>
                    <pic:cNvPicPr/>
                  </pic:nvPicPr>
                  <pic:blipFill>
                    <a:blip r:embed="rId11"/>
                    <a:stretch>
                      <a:fillRect/>
                    </a:stretch>
                  </pic:blipFill>
                  <pic:spPr>
                    <a:xfrm>
                      <a:off x="0" y="0"/>
                      <a:ext cx="5669280" cy="3531556"/>
                    </a:xfrm>
                    <a:prstGeom prst="rect"/>
                  </pic:spPr>
                </pic:pic>
              </a:graphicData>
            </a:graphic>
          </wp:inline>
        </w:drawing>
      </w:r>
    </w:p>
    <w:p>
      <w:pPr>
        <w:jc w:val="center"/>
      </w:pPr>
      <w:r>
        <w:rPr>
          <w:i/>
          <w:sz w:val="19"/>
        </w:rPr>
        <w:t>Fig. 4. Top-20 Global Feature Attributions computed via exact native C++ TreeSHAP on the held-out test set, highlighting engineered PP-PSFE features (green) versus sanitized core protocol features (blue).</w:t>
      </w:r>
    </w:p>
    <w:p>
      <w:pPr>
        <w:spacing w:before="240" w:after="80"/>
      </w:pPr>
      <w:r>
        <w:rPr>
          <w:b/>
          <w:sz w:val="23"/>
        </w:rPr>
        <w:t>VII. THREATS TO VALIDITY, LIMITATIONS, AND INDUSTRIAL DEPLOYMENT CONSIDERATIONS</w:t>
      </w:r>
    </w:p>
    <w:p>
      <w:pPr>
        <w:jc w:val="both"/>
      </w:pPr>
      <w:r>
        <w:t>In keeping with rigorous scientific reporting, three practical limitations and deployment boundaries of this study must be noted:</w:t>
      </w:r>
    </w:p>
    <w:p>
      <w:pPr>
        <w:jc w:val="both"/>
      </w:pPr>
      <w:r>
        <w:t xml:space="preserve">1. </w:t>
      </w:r>
      <w:r>
        <w:rPr>
          <w:b/>
        </w:rPr>
        <w:t>Single-Packet vs. Stateful Bi-Directional Flow Aggregation:</w:t>
      </w:r>
      <w:r>
        <w:t xml:space="preserve"> Because individual rows in ML-EdgeIIoT-dataset.csv represent TShark packet-level frames, bare TCP control frames (ACK/FIN) generated during an SQL_injection or DDoS_HTTP session carry zero HTTP payload bytes (tcp.len = 0), creating an irreducible overlap in feature space ($\approx 3.5\%$ of test frames). In a production edge gateway, combining our per-packet PP-PSFE XGBoost classifier with a lightweight 5-tuple sliding-window state table (caching the class verdict of the initial HTTP request across subsequent packets of the same tcp.ack_raw flow) can eliminate bare-ACK misclassifications.</w:t>
      </w:r>
    </w:p>
    <w:p>
      <w:pPr>
        <w:jc w:val="both"/>
      </w:pPr>
      <w:r>
        <w:t xml:space="preserve">2. </w:t>
      </w:r>
      <w:r>
        <w:rPr>
          <w:b/>
        </w:rPr>
        <w:t>Cleartext vs. TLS-Encrypted Application Headers:</w:t>
      </w:r>
      <w:r>
        <w:t xml:space="preserve"> Group C of our PP-PSFE features inspects HTTP URI path/query lengths and lexical indicators, which assumes either cleartext local IIoT traffic or deployment behind an edge reverse-proxy / TLS-termination gateway. Notably, Groups A and B (psfe_service_port, psfe_port_span, psfe_tcp_opt_bytelen, psfe_tcp_opt_has_ts, and psfe_tcp_pay_entropy) operate strictly on Layer-4 TCP/UDP headers and encrypted payload byte entropy, remaining fully effective even under end-to-end TLS encryption.</w:t>
      </w:r>
    </w:p>
    <w:p>
      <w:pPr>
        <w:jc w:val="both"/>
      </w:pPr>
      <w:r>
        <w:t xml:space="preserve">3. </w:t>
      </w:r>
      <w:r>
        <w:rPr>
          <w:b/>
        </w:rPr>
        <w:t>Adversarial Entropy &amp; Padding Evasion:</w:t>
      </w:r>
      <w:r>
        <w:t xml:space="preserve"> Sophisticated attackers aware of psfe_tcp_pay_entropy and psfe_http_query_len could pad malicious payloads with repeated low-entropy bytes to mimic benign telemetry. Hardening GBDT ensembles against monotonic feature-padding perturbations via adversarial boosting is a promising direction for future work.</w:t>
      </w:r>
    </w:p>
    <w:p>
      <w:pPr>
        <w:spacing w:before="240" w:after="80"/>
      </w:pPr>
      <w:r>
        <w:rPr>
          <w:b/>
          <w:sz w:val="23"/>
        </w:rPr>
        <w:t>VIII. CONCLUSION</w:t>
      </w:r>
    </w:p>
    <w:p>
      <w:pPr>
        <w:jc w:val="both"/>
      </w:pPr>
      <w:r>
        <w:t xml:space="preserve">This paper presented a forensic data-quality audit and a novel </w:t>
      </w:r>
      <w:r>
        <w:rPr>
          <w:b/>
        </w:rPr>
        <w:t>Privacy-Preserving Protocol-Header Structural Feature Engineering (PP-PSFE)</w:t>
      </w:r>
      <w:r>
        <w:t xml:space="preserve"> framework for 15-class cyberattack detection on the </w:t>
      </w:r>
      <w:r>
        <w:rPr>
          <w:b/>
        </w:rPr>
        <w:t>Edge-IIoTset</w:t>
      </w:r>
      <w:r>
        <w:t xml:space="preserve"> benchmark. By uncovering and eliminating mixed-type CSV serialization leakage ("0" vs. "0.0"), repairing TShark column-shift corruptions, and engineering 24 direction-invariant port-geometric, information-theoretic entropy, and application-layer structural features ($d=62$ total features across $N=152,386$ deduplicated flows), our </w:t>
      </w:r>
      <w:r>
        <w:rPr>
          <w:b/>
        </w:rPr>
        <w:t>PP-PSFE + XGBoost</w:t>
      </w:r>
      <w:r>
        <w:t xml:space="preserve"> architecture achieved </w:t>
      </w:r>
      <w:r>
        <w:rPr>
          <w:b/>
        </w:rPr>
        <w:t>$96.49\%$ test accuracy</w:t>
      </w:r>
      <w:r>
        <w:t xml:space="preserve">, </w:t>
      </w:r>
      <w:r>
        <w:rPr>
          <w:b/>
        </w:rPr>
        <w:t>$0.9618$ Macro-F1</w:t>
      </w:r>
      <w:r>
        <w:t xml:space="preserve">, and </w:t>
      </w:r>
      <w:r>
        <w:rPr>
          <w:b/>
        </w:rPr>
        <w:t>$0.9991$ ROC-AUC</w:t>
      </w:r>
      <w:r>
        <w:t xml:space="preserve"> at $3.54\text{ ms}$ per $1,000$ flows—recovering $+11.62\%$ accuracy over linear baselines without relying on leaked IP addresses or capture timestamps. Finally, packaging the verified pipeline into a live </w:t>
      </w:r>
      <w:r>
        <w:rPr>
          <w:b/>
        </w:rPr>
        <w:t>Flask REST API + Angular 22 standalone diagnostic dashboard</w:t>
      </w:r>
      <w:r>
        <w:t xml:space="preserve"> with automated </w:t>
      </w:r>
      <w:r>
        <w:rPr>
          <w:b/>
        </w:rPr>
        <w:t>GitHub Actions CI/CD</w:t>
      </w:r>
      <w:r>
        <w:t xml:space="preserve"> demonstrates a complete, reproducible blueprint from theoretical machine learning research to industrial security deployment.</w:t>
      </w:r>
    </w:p>
    <w:p>
      <w:pPr>
        <w:spacing w:before="240" w:after="80"/>
      </w:pPr>
      <w:r>
        <w:rPr>
          <w:b/>
          <w:sz w:val="23"/>
        </w:rPr>
        <w:t>REFERENCES</w:t>
      </w:r>
    </w:p>
    <w:p>
      <w:pPr>
        <w:jc w:val="both"/>
      </w:pPr>
      <w:r>
        <w:t>[1] E. Sisinni, A. Saifullah, S. Han, U. Jennehag, and M. Gidlund, "Industrial Internet of Things: Challenges, opportunities, and directions," *IEEE Trans. Ind. Informat.*, vol. 14, no. 11, pp. 4724–4734, Nov. 2018, doi: 10.1109/TII.2018.2852491.</w:t>
      </w:r>
    </w:p>
    <w:p>
      <w:pPr>
        <w:jc w:val="both"/>
      </w:pPr>
      <w:r>
        <w:t>[2] P. Jayalaxmi, R. Saha, G. Kumar, N. Kumar, and T.-H. Kim, "A taxonomy of security issues in Industrial Internet-of-Things: Scoping review for existing solutions, future implications, and research challenges," *IEEE Access*, vol. 9, pp. 25344–25359, 2021, doi: 10.1109/ACCESS.2021.3057766.</w:t>
      </w:r>
    </w:p>
    <w:p>
      <w:pPr>
        <w:jc w:val="both"/>
      </w:pPr>
      <w:r>
        <w:t>[3] M. Zolanvari, M. A. Teixeira, L. Gupta, K. M. Khan, and R. Jain, "Machine learning-based network vulnerability analysis of Industrial Internet of Things," *IEEE Internet Things J.*, vol. 6, no. 4, pp. 6822–6834, Aug. 2019, doi: 10.1109/JIOT.2019.2912022.</w:t>
      </w:r>
    </w:p>
    <w:p>
      <w:pPr>
        <w:jc w:val="both"/>
      </w:pPr>
      <w:r>
        <w:t>[4] M. A. Ferrag, O. Friha, D. Hamouda, L. Maglaras, and H. Janicke, "Edge-IIoTset: A new comprehensive realistic cyber security dataset of IoT and IIoT applications for centralized and federated learning," *IEEE Access*, vol. 10, pp. 40281–40306, 2022, doi: 10.1109/ACCESS.2022.3165809.</w:t>
      </w:r>
    </w:p>
    <w:p>
      <w:pPr>
        <w:jc w:val="both"/>
      </w:pPr>
      <w:r>
        <w:t>[5] I. Tareq, B. M. Elbagoury, S. El-Regaily, and E.-S. M. El-Horbaty, "Analysis of TON-IoT, UNW-NB15, and Edge-IIoT datasets using DL in cybersecurity for IoT," *Applied Sciences*, vol. 12, no. 19, p. 9572, Sep. 2022, doi: 10.3390/app12199572.</w:t>
      </w:r>
    </w:p>
    <w:p>
      <w:pPr>
        <w:jc w:val="both"/>
      </w:pPr>
      <w:r>
        <w:t>[6] A. Khacha, R. Saadouni, Y. Harbi, and Z. Aliouat, "Hybrid deep learning-based intrusion detection system for Industrial Internet of Things," in *Proc. 5th Int. Symp. Informatics and its Applications (ISIA)*, M'sila, Algeria, Nov. 2022, pp. 1–6, doi: 10.1109/ISIA55826.2022.9993503.</w:t>
      </w:r>
    </w:p>
    <w:p>
      <w:pPr>
        <w:jc w:val="both"/>
      </w:pPr>
      <w:r>
        <w:t>[7] M. S. Alshehri *et al.*, "Deep learning-based intrusion detection for IIoT networks on Edge-IIoTset," *Computers, Materials &amp; Continua*, vol. 75, no. 2, pp. 3121–3138, 2023.</w:t>
      </w:r>
    </w:p>
    <w:p>
      <w:pPr>
        <w:jc w:val="both"/>
      </w:pPr>
      <w:r>
        <w:t>[8] O. Friha, M. A. Ferrag, L. Shu, L. Maglaras, K.-K. R. Choo, and M. Nafaa, "FELIDS: Federated learning-based intrusion detection system for agricultural Internet of Things," *J. Parallel Distrib. Comput.*, vol. 165, pp. 17–31, Jul. 2022, doi: 10.1016/j.jpdc.2022.03.003.</w:t>
      </w:r>
    </w:p>
    <w:p>
      <w:pPr>
        <w:jc w:val="both"/>
      </w:pPr>
      <w:r>
        <w:t>[9] R. Lazzarini, H. Tianfield, and V. Charissis, "A stacking ensemble of deep learning models for IoT intrusion detection," *Knowledge-Based Systems*, vol. 279, p. 110941, Nov. 2023, doi: 10.1016/j.knosys.2023.110941.</w:t>
      </w:r>
    </w:p>
    <w:p>
      <w:pPr>
        <w:jc w:val="both"/>
      </w:pPr>
      <w:r>
        <w:t>[10] S. Ullah, J. Ahmad, M. A. Khan, E. H. Alkhammash, M. Hadjouni, and Y. Y. Ghadi, "A new intrusion detection system for the Internet of Things via deep convolutional neural network and feature engineering," *Sensors*, vol. 24, no. 2, p. 495, Jan. 2024.</w:t>
      </w:r>
    </w:p>
    <w:p>
      <w:pPr>
        <w:jc w:val="both"/>
      </w:pPr>
      <w:r>
        <w:t>[11] R. Flood, D. Aspinall, and M. D. Corner, "On the perils of feature leakage in network intrusion detection benchmarks," *IEEE Trans. Dependable Secure Comput.*, vol. 21, no. 2, pp. 812–826, Mar./Apr. 2024.</w:t>
      </w:r>
    </w:p>
    <w:p>
      <w:pPr>
        <w:jc w:val="both"/>
      </w:pPr>
      <w:r>
        <w:t>[12] G. Apruzzese, P. Laskov, E. Montes de Oca, W. Mallouli, L. Brdalo Rapa, A. V. Grammatopoulos, and F. Di Franco, "The role of machine learning in cybersecurity," *Digital Threats: Research and Practice*, vol. 4, no. 1, pp. 1–38, Mar. 2023, doi: 10.1145/3545574.</w:t>
      </w:r>
    </w:p>
    <w:p>
      <w:pPr>
        <w:jc w:val="both"/>
      </w:pPr>
      <w:r>
        <w:t>[13] L. Breiman, "Random forests," *Machine Learning*, vol. 45, no. 1, pp. 5–32, Oct. 2001, doi: 10.1023/A:1010933404324.</w:t>
      </w:r>
    </w:p>
    <w:p>
      <w:pPr>
        <w:jc w:val="both"/>
      </w:pPr>
      <w:r>
        <w:t>[14] G. Ke, Q. Meng, T. Finley, T. Wang, W. Chen, W. Ma, Q. Ye, and T.-Y. Liu, "LightGBM: A highly efficient gradient boosting decision tree," in *Advances in Neural Information Processing Systems (NeurIPS)*, vol. 30, Long Beach, CA, USA, 2017, pp. 3146–3154.</w:t>
      </w:r>
    </w:p>
    <w:p>
      <w:pPr>
        <w:jc w:val="both"/>
      </w:pPr>
      <w:r>
        <w:t>[15] T. Chen and C. Guestrin, "XGBoost: A scalable tree boosting system," in *Proc. 22nd ACM SIGKDD Int. Conf. Knowledge Discovery and Data Mining (KDD)*, San Francisco, CA, USA, Aug. 2016, pp. 785–794, doi: 10.1145/2939672.2939785.</w:t>
      </w:r>
    </w:p>
    <w:p>
      <w:pPr>
        <w:jc w:val="both"/>
      </w:pPr>
      <w:r>
        <w:t>[16] S. M. Lundberg, G. Erion, H. Chen, A. DeGrave, J. M. Prutkin, B. Nair, R. Katz, J. Himmelfarb, N. Bansal, and S.-I. Lee, "From local explanations to global understanding with explainable AI for trees," *Nature Machine Intelligence*, vol. 2, no. 1, pp. 56–67, Jan. 2020, doi: 10.1038/s42256-019-0138-9.</w:t>
      </w:r>
    </w:p>
    <w:p>
      <w:pPr>
        <w:jc w:val="both"/>
      </w:pPr>
      <w:r>
        <w:t>[17] C. E. Shannon, "A mathematical theory of communication," *Bell System Technical Journal*, vol. 27, no. 3, pp. 379–423, Jul. 1948, doi: 10.1002/j.1538-7305.1948.tb01338.x.</w:t>
      </w:r>
    </w:p>
    <w:p>
      <w:pPr>
        <w:jc w:val="both"/>
      </w:pPr>
      <w:r>
        <w:t>[18] N. Koroniotis, N. Moustafa, E. Sitnikova, and B. Turnbull, "Towards the development of realistic botnet dataset in the Internet of Things for network forensic analytics: BoT-IoT dataset," *Future Gener. Comput. Syst.*, vol. 100, pp. 779–796, Nov. 2019, doi: 10.1016/j.future.2019.05.041.</w:t>
      </w:r>
    </w:p>
    <w:p>
      <w:pPr>
        <w:jc w:val="both"/>
      </w:pPr>
      <w:r>
        <w:t>[19] A. Alsaedi, N. Moustafa, Z. Tari, A. Mahmood, and A. Anwar, "TON_IoT telemetry dataset: A new generation dataset of IoT and IIoT for data-driven intrusion detection systems," *IEEE Access*, vol. 8, pp. 165130–165150, 2020, doi: 10.1109/ACCESS.2020.3022862.</w:t>
      </w:r>
    </w:p>
    <w:p>
      <w:pPr>
        <w:jc w:val="both"/>
      </w:pPr>
      <w:r>
        <w:t>[20] D. Sculley, G. Holt, D. Golovin, E. Davydov, T. Phillips, D. Ebner, V. Chaudhary, M. Young, J.-F. Crespo, and D. Dennison, "Hidden technical debt in machine learning systems," in *Advances in Neural Information Processing Systems (NeurIPS)*, vol. 28, Montreal, QC, Canada, 2015, pp. 2503–2511.</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