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Day 29 — Workboard Task CRUD</w:t>
      </w:r>
    </w:p>
    <w:p>
      <w:pPr>
        <w:jc w:val="center"/>
      </w:pPr>
      <w:r>
        <w:rPr>
          <w:i/>
        </w:rPr>
        <w:t>Laravel CRUD, Validation and UX · Internship Task Documentation</w:t>
      </w:r>
    </w:p>
    <w:p>
      <w:pPr>
        <w:pStyle w:val="Heading1"/>
      </w:pPr>
      <w:r>
        <w:t>Project purpose</w:t>
      </w:r>
    </w:p>
    <w:p>
      <w:r>
        <w:t>I turned the database foundation into a usable task workflow with complete create, read, update and delete operations.</w:t>
      </w:r>
    </w:p>
    <w:p>
      <w:pPr>
        <w:pStyle w:val="Heading1"/>
      </w:pPr>
      <w:r>
        <w:t>Controller and validation</w:t>
      </w:r>
    </w:p>
    <w:p>
      <w:r>
        <w:t>TaskController follows resource-controller conventions. A dedicated TaskRequest keeps validation separate from controller coordination and restricts status and priority to known values.</w:t>
      </w:r>
    </w:p>
    <w:p>
      <w:pPr>
        <w:pStyle w:val="Heading1"/>
      </w:pPr>
      <w:r>
        <w:t>Search and filters</w:t>
      </w:r>
    </w:p>
    <w:p>
      <w:r>
        <w:t>The list page supports title/description search and status filtering, with pagination preserving the query string so filters remain active between pages.</w:t>
      </w:r>
    </w:p>
    <w:p>
      <w:pPr>
        <w:pStyle w:val="Heading1"/>
      </w:pPr>
      <w:r>
        <w:t>User experience and safety</w:t>
      </w:r>
    </w:p>
    <w:p>
      <w:r>
        <w:t>The interface provides empty states, success messages, inline validation errors and a confirmation step before deletion. State-changing forms include Laravel CSRF protection.</w:t>
      </w:r>
    </w:p>
    <w:p>
      <w:pPr>
        <w:pStyle w:val="Heading1"/>
      </w:pPr>
      <w:r>
        <w:t>What I learned</w:t>
      </w:r>
    </w:p>
    <w:p>
      <w:r>
        <w:t>CRUD becomes genuinely useful when validation, navigation, filtering, feedback and safe state changes are treated as first-class requirements rather than afterthoughts.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