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t>COSC 336 Introduction to Software Engineering</w:t>
      </w:r>
    </w:p>
    <w:p>
      <w:pPr>
        <w:pStyle w:val="Title"/>
      </w:pPr>
      <w:r>
        <w:t>Initial Plan and Requirement Gathering Document</w:t>
      </w:r>
    </w:p>
    <w:p>
      <w:r>
        <w:t>Intelligent AI Powered Circular Campus Resource Exchange and Asset Life Cycle Management System</w:t>
      </w:r>
    </w:p>
    <w:p>
      <w:pPr>
        <w:pStyle w:val="Small"/>
      </w:pPr>
      <w:r>
        <w:t>Working name: Campus Item Exchange</w:t>
      </w:r>
    </w:p>
    <w:p/>
    <w:tbl>
      <w:tblPr>
        <w:tblW w:type="auto" w:w="0"/>
        <w:jc w:val="center"/>
        <w:tblLayout w:type="fixed"/>
        <w:tblLook w:firstColumn="1" w:firstRow="1" w:lastColumn="0" w:lastRow="0" w:noHBand="0" w:noVBand="1" w:val="04A0"/>
      </w:tblPr>
      <w:tblGrid>
        <w:gridCol w:w="2131"/>
        <w:gridCol w:w="7560"/>
      </w:tblGrid>
      <w:tr>
        <w:trPr>
          <w:tblHeader/>
        </w:trPr>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Document detail</w:t>
            </w:r>
          </w:p>
        </w:tc>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Information</w:t>
            </w:r>
          </w:p>
        </w:tc>
      </w:tr>
      <w:t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Date</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14 September 2026</w:t>
            </w:r>
          </w:p>
        </w:tc>
      </w:tr>
      <w:t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Prepared by</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Hamed Qayed  100066581</w:t>
              <w:br/>
              <w:t>Zayed Alnuaimi  100063561</w:t>
              <w:br/>
              <w:t>Mohammed Siam  100064837</w:t>
              <w:br/>
              <w:t>Ali Alameri  100066635</w:t>
            </w:r>
          </w:p>
        </w:tc>
      </w:tr>
      <w:t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Prepared for</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COSC 336 lab instructors Natnael Abule and Basima Kurungudan</w:t>
            </w:r>
          </w:p>
        </w:tc>
      </w:tr>
      <w:t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Project phase</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Phase 1  Planning and requirement gathering</w:t>
            </w:r>
          </w:p>
        </w:tc>
      </w:tr>
      <w:tr>
        <w:tc>
          <w:tcPr>
            <w:tcW w:type="dxa" w:w="2131"/>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Repository</w:t>
            </w:r>
          </w:p>
        </w:tc>
        <w:tc>
          <w:tcPr>
            <w:tcW w:type="dxa" w:w="75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github.com/HamedQayed/cosc336-circular-campus-9</w:t>
            </w:r>
          </w:p>
        </w:tc>
      </w:tr>
    </w:tbl>
    <w:p>
      <w:pPr>
        <w:spacing w:after="20"/>
      </w:pPr>
    </w:p>
    <w:p>
      <w:pPr>
        <w:pStyle w:val="Small"/>
      </w:pPr>
      <w:r>
        <w:t>This document is based on the team project brief and the COSC 336 Fall 2026 Phase 1 presentation. The team still needs to validate stakeholder procedures, interview findings, and university policies.</w:t>
      </w:r>
    </w:p>
    <w:p>
      <w:r>
        <w:br w:type="page"/>
      </w:r>
    </w:p>
    <w:p>
      <w:pPr>
        <w:pStyle w:val="Heading1"/>
      </w:pPr>
      <w:r>
        <w:t>1 Introduction</w:t>
      </w:r>
    </w:p>
    <w:p>
      <w:r>
        <w:t>The proposed system is an internal university website that helps departments find and reuse campus items before buying replacements. One department can list an unused item, another department can request it, and an administrator can approve the transfer. The system will also record custody, maintenance, and final disposition so each item remains traceable throughout its life cycle.</w:t>
      </w:r>
    </w:p>
    <w:p>
      <w:r>
        <w:t>This document defines the initial problem, project scope, stakeholders, requirements, measurable targets, and Phase 1 plan. It provides a baseline for the Phase 2 feasibility review and the detailed Phase 3 requirements. The requirements are based on the course presentation and team brief, and campus stakeholders still need to confirm the workflow and policy rules.</w:t>
      </w:r>
    </w:p>
    <w:p>
      <w:pPr>
        <w:pStyle w:val="Heading1"/>
      </w:pPr>
      <w:r>
        <w:t>2 Project Overview</w:t>
      </w:r>
    </w:p>
    <w:p>
      <w:pPr>
        <w:pStyle w:val="Heading2"/>
      </w:pPr>
      <w:r>
        <w:t>2.1 Background and problem</w:t>
      </w:r>
    </w:p>
    <w:p>
      <w:r>
        <w:t>University departments may buy chairs, monitors, books, or other equipment while usable items remain idle elsewhere on campus. A conventional inventory system may record an item’s owner and location without helping another department discover and reuse it. The proposed system addresses this gap by supporting item discovery, suitable matching, approvals, custody changes, maintenance history, and reporting of financial and environmental benefits.</w:t>
      </w:r>
    </w:p>
    <w:p>
      <w:pPr>
        <w:pStyle w:val="Heading2"/>
      </w:pPr>
      <w:r>
        <w:t>2.2 Goals and objectives</w:t>
      </w:r>
    </w:p>
    <w:p>
      <w:pPr>
        <w:pStyle w:val="ListBullet"/>
        <w:ind w:left="360" w:hanging="216"/>
      </w:pPr>
      <w:r>
        <w:t>Provide a searchable list of available resources and a controlled request, reservation, approval, and handover process.</w:t>
      </w:r>
    </w:p>
    <w:p>
      <w:pPr>
        <w:pStyle w:val="ListBullet"/>
        <w:ind w:left="360" w:hanging="216"/>
      </w:pPr>
      <w:r>
        <w:t>Keep a dated history of condition, custody, maintenance, repair, reuse, donation, recycling, and disposal.</w:t>
      </w:r>
    </w:p>
    <w:p>
      <w:pPr>
        <w:pStyle w:val="ListBullet"/>
        <w:ind w:left="360" w:hanging="216"/>
      </w:pPr>
      <w:r>
        <w:t>Use AI to support matching, classification, sustainability advice, natural language assistance, and report writing. Authorized users will retain control over approvals and final disposition decisions.</w:t>
      </w:r>
    </w:p>
    <w:p>
      <w:pPr>
        <w:pStyle w:val="ListBullet"/>
        <w:ind w:left="360" w:hanging="216"/>
      </w:pPr>
      <w:r>
        <w:t>Report avoided purchases, net savings, reuse, waste diversion, and carbon estimates only when the required inputs and assumptions are available.</w:t>
      </w:r>
    </w:p>
    <w:p>
      <w:pPr>
        <w:pStyle w:val="Heading2"/>
      </w:pPr>
      <w:r>
        <w:t>2.3 Scope and constraints</w:t>
      </w:r>
    </w:p>
    <w:tbl>
      <w:tblPr>
        <w:tblW w:type="auto" w:w="0"/>
        <w:jc w:val="center"/>
        <w:tblLayout w:type="fixed"/>
        <w:tblLook w:firstColumn="1" w:firstRow="1" w:lastColumn="0" w:lastRow="0" w:noHBand="0" w:noVBand="1" w:val="04A0"/>
      </w:tblPr>
      <w:tblGrid>
        <w:gridCol w:w="4853"/>
        <w:gridCol w:w="4838"/>
      </w:tblGrid>
      <w:tr>
        <w:trPr>
          <w:tblHeader/>
        </w:trPr>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Included in the prototype</w:t>
            </w:r>
          </w:p>
        </w:tc>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Outside the initial prototype</w:t>
            </w:r>
          </w:p>
        </w:tc>
      </w:tr>
      <w:tr>
        <w:tc>
          <w:tcPr>
            <w:tcW w:type="dxa" w:w="485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One campus, two sample departments, about 20 sample items; chairs, books, and monitors as initial examples.</w:t>
            </w:r>
          </w:p>
        </w:tc>
        <w:tc>
          <w:tcPr>
            <w:tcW w:type="dxa" w:w="483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Public sales, online payments, and physical delivery services.</w:t>
            </w:r>
          </w:p>
        </w:tc>
      </w:tr>
      <w:tr>
        <w:tc>
          <w:tcPr>
            <w:tcW w:type="dxa" w:w="485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Three login roles; asset listing, requests, approvals, transfers, history, assistant, and reports.</w:t>
            </w:r>
          </w:p>
        </w:tc>
        <w:tc>
          <w:tcPr>
            <w:tcW w:type="dxa" w:w="483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Automatic disposal decisions and rollout across the entire campus.</w:t>
            </w:r>
          </w:p>
        </w:tc>
      </w:tr>
      <w:tr>
        <w:tc>
          <w:tcPr>
            <w:tcW w:type="dxa" w:w="485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Sample data and local demonstration of the five required AI functions.</w:t>
            </w:r>
          </w:p>
        </w:tc>
        <w:tc>
          <w:tcPr>
            <w:tcW w:type="dxa" w:w="483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Live integration with university systems and historical demand prediction, subject to the feasibility review.</w:t>
            </w:r>
          </w:p>
        </w:tc>
      </w:tr>
    </w:tbl>
    <w:p>
      <w:pPr>
        <w:spacing w:after="20"/>
      </w:pPr>
    </w:p>
    <w:p>
      <w:r>
        <w:t>The course schedule is fixed. The team proposes a Python Flask application with HTML, CSS, and SQLite. A hosted AI service may support the AI features after review of its access, cost, privacy, and data handling requirements. The team has no confirmed budget or approval for university system integration. Phase 2 will finalize the tools and architecture.</w:t>
      </w:r>
    </w:p>
    <w:p>
      <w:pPr>
        <w:pStyle w:val="Heading2"/>
      </w:pPr>
      <w:r>
        <w:t>2.4 Assumptions and expected benefits</w:t>
      </w:r>
    </w:p>
    <w:p>
      <w:r>
        <w:t>The initial plan assumes that each asset has one custodian, every request requires administrator approval, and custody changes only after a confirmed handover. The university still needs to confirm these rules. Expected benefits include easier reuse, fewer unnecessary purchases, clearer custody records, and better maintenance and sustainability decisions. The team has not yet measured actual savings.</w:t>
      </w:r>
    </w:p>
    <w:p>
      <w:pPr>
        <w:pStyle w:val="Heading1"/>
      </w:pPr>
      <w:r>
        <w:t>3 Stakeholder Analysis</w:t>
      </w:r>
    </w:p>
    <w:tbl>
      <w:tblPr>
        <w:tblW w:type="auto" w:w="0"/>
        <w:jc w:val="center"/>
        <w:tblLayout w:type="fixed"/>
        <w:tblLook w:firstColumn="1" w:firstRow="1" w:lastColumn="0" w:lastRow="0" w:noHBand="0" w:noVBand="1" w:val="04A0"/>
      </w:tblPr>
      <w:tblGrid>
        <w:gridCol w:w="1944"/>
        <w:gridCol w:w="4219"/>
        <w:gridCol w:w="3528"/>
      </w:tblGrid>
      <w:tr>
        <w:trPr>
          <w:tblHeader/>
        </w:trPr>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Stakeholder</w:t>
            </w:r>
          </w:p>
        </w:tc>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Needs and responsibilities</w:t>
            </w:r>
          </w:p>
        </w:tc>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Relevant system access or decision</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Department requester / staff</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Find suitable assets and submit and track requests.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Browse available items and manage own requests.</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Asset custodian / Facilities or IT</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Maintain accurate records of condition, location, availability, and history, and confirm handovers.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Edit assigned assets and record life cycle events.</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Administrator / approver</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Review requests and final disposition decisions, and manage user accounts.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Approve or reject actions and review reports.</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Procurement and finance</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Assess avoided purchases and cost assumptions.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Receive reports; validate financial inputs.</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Sustainability staff and management</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Review reuse, diversion, and carbon methods and outcomes.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Receive reports; validate environmental assumptions.</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Auditor / compliance officer</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Trace approvals, custody changes, and exceptions.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Review audit records as authorized.</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Donation or recycling partner</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Receive approved items and handover details.</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External stakeholder; authorized campus staff record the handover confirmation.</w:t>
            </w:r>
          </w:p>
        </w:tc>
      </w:tr>
      <w:tr>
        <w:tc>
          <w:tcPr>
            <w:tcW w:type="dxa" w:w="194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Project team and instructors</w:t>
            </w:r>
          </w:p>
        </w:tc>
        <w:tc>
          <w:tcPr>
            <w:tcW w:type="dxa" w:w="421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Build, review, assess, and demonstrate the system.</w:t>
            </w:r>
          </w:p>
        </w:tc>
        <w:tc>
          <w:tcPr>
            <w:tcW w:type="dxa" w:w="352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Development and assessment; no assumed campus privileges.</w:t>
            </w:r>
          </w:p>
        </w:tc>
      </w:tr>
    </w:tbl>
    <w:p>
      <w:pPr>
        <w:spacing w:after="20"/>
      </w:pPr>
    </w:p>
    <w:p>
      <w:r>
        <w:t>The prototype has three login roles: staff, asset custodian, and administrator. People who receive reports and external partners are also stakeholders, even if they do not have system accounts. The team must consult the university to confirm detailed permissions, asset ownership rules, and approval authority.</w:t>
      </w:r>
    </w:p>
    <w:p>
      <w:pPr>
        <w:pStyle w:val="Heading1"/>
      </w:pPr>
      <w:r>
        <w:t>4 Requirement Gathering</w:t>
      </w:r>
    </w:p>
    <w:p>
      <w:pPr>
        <w:pStyle w:val="Heading2"/>
      </w:pPr>
      <w:r>
        <w:t>4.1 Method and evidence status</w:t>
      </w:r>
    </w:p>
    <w:p>
      <w:r>
        <w:t>The team identified the initial requirements by reviewing the project brief and COSC 336 Phase 1 presentation. Stakeholder interviews are still required. The team plans to interview requesters, custodians, administrators, procurement staff, and sustainability representatives, then use a workflow workshop and a focused survey or usability check to confirm the findings. Each consultation note should record the date, participants, responses, and unresolved decisions.</w:t>
      </w:r>
    </w:p>
    <w:p>
      <w:pPr>
        <w:pStyle w:val="Heading2"/>
      </w:pPr>
      <w:r>
        <w:t>4.2 Current process questions for consultation</w:t>
      </w:r>
    </w:p>
    <w:p>
      <w:pPr>
        <w:pStyle w:val="ListBullet"/>
        <w:ind w:left="360" w:hanging="216"/>
      </w:pPr>
      <w:r>
        <w:t>How do departments identify and publish surplus items today, and who verifies condition and ownership?</w:t>
      </w:r>
    </w:p>
    <w:p>
      <w:pPr>
        <w:pStyle w:val="ListBullet"/>
        <w:ind w:left="360" w:hanging="216"/>
      </w:pPr>
      <w:r>
        <w:t>What information must a requester provide, and how are urgency, reservations, competing requests, and approvals handled?</w:t>
      </w:r>
    </w:p>
    <w:p>
      <w:pPr>
        <w:pStyle w:val="ListBullet"/>
        <w:ind w:left="360" w:hanging="216"/>
      </w:pPr>
      <w:r>
        <w:t>Who confirms a physical handover and updates custody, location, and inventory records?</w:t>
      </w:r>
    </w:p>
    <w:p>
      <w:pPr>
        <w:pStyle w:val="ListBullet"/>
        <w:ind w:left="360" w:hanging="216"/>
      </w:pPr>
      <w:r>
        <w:t>Which maintenance, repair, donation, recycling, and disposal decisions require authorization or evidence?</w:t>
      </w:r>
    </w:p>
    <w:p>
      <w:pPr>
        <w:pStyle w:val="ListBullet"/>
        <w:ind w:left="360" w:hanging="216"/>
      </w:pPr>
      <w:r>
        <w:t>Which data can a hosted AI service receive, and what sources are accepted for cost and carbon calculations?</w:t>
      </w:r>
    </w:p>
    <w:p>
      <w:pPr>
        <w:pStyle w:val="Heading2"/>
      </w:pPr>
      <w:r>
        <w:t>4.3 Initial findings and prioritization</w:t>
      </w:r>
    </w:p>
    <w:p>
      <w:r>
        <w:t>The supplied materials identify six main needs: visible surplus assets, controlled requests and transfers, complete life cycle records, role-based access, five AI functions, and measurable reporting. Campus stakeholders have not yet confirmed them. Permission and quantity controls come first because incorrect allocations or custody changes would undermine the workflow. The feasibility and stakeholder reviews will refine the required AI and reporting features.</w:t>
      </w:r>
    </w:p>
    <w:tbl>
      <w:tblPr>
        <w:tblW w:type="auto" w:w="0"/>
        <w:jc w:val="center"/>
        <w:tblLayout w:type="fixed"/>
        <w:tblLook w:firstColumn="1" w:firstRow="1" w:lastColumn="0" w:lastRow="0" w:noHBand="0" w:noVBand="1" w:val="04A0"/>
      </w:tblPr>
      <w:tblGrid>
        <w:gridCol w:w="1008"/>
        <w:gridCol w:w="4320"/>
        <w:gridCol w:w="4363"/>
      </w:tblGrid>
      <w:tr>
        <w:trPr>
          <w:tblHeader/>
        </w:trPr>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Priority</w:t>
            </w:r>
          </w:p>
        </w:tc>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Requirement group</w:t>
            </w:r>
          </w:p>
        </w:tc>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Reason</w:t>
            </w:r>
          </w:p>
        </w:tc>
      </w:tr>
      <w:tr>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Must</w:t>
            </w:r>
          </w:p>
        </w:tc>
        <w:tc>
          <w:tcPr>
            <w:tcW w:type="dxa" w:w="432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Asset records, search, requests, quantity control, approval, transfer, permissions, history</w:t>
            </w:r>
          </w:p>
        </w:tc>
        <w:tc>
          <w:tcPr>
            <w:tcW w:type="dxa" w:w="436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Required for a valid and traceable exchange.</w:t>
            </w:r>
          </w:p>
        </w:tc>
      </w:tr>
      <w:tr>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Must</w:t>
            </w:r>
          </w:p>
        </w:tc>
        <w:tc>
          <w:tcPr>
            <w:tcW w:type="dxa" w:w="432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All five AI functions, with human review and rules-based safeguards</w:t>
            </w:r>
          </w:p>
        </w:tc>
        <w:tc>
          <w:tcPr>
            <w:tcW w:type="dxa" w:w="436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Required course functionality; AI may provide advice but cannot bypass system controls.</w:t>
            </w:r>
          </w:p>
        </w:tc>
      </w:tr>
      <w:tr>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Must</w:t>
            </w:r>
          </w:p>
        </w:tc>
        <w:tc>
          <w:tcPr>
            <w:tcW w:type="dxa" w:w="432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Activity and sustainability reports with stated assumptions</w:t>
            </w:r>
          </w:p>
        </w:tc>
        <w:tc>
          <w:tcPr>
            <w:tcW w:type="dxa" w:w="436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Needed to assess the project goals accurately.</w:t>
            </w:r>
          </w:p>
        </w:tc>
      </w:tr>
      <w:tr>
        <w:tc>
          <w:tcPr>
            <w:tcW w:type="dxa" w:w="1008"/>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Review</w:t>
            </w:r>
          </w:p>
        </w:tc>
        <w:tc>
          <w:tcPr>
            <w:tcW w:type="dxa" w:w="432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Campus integrations, historical prediction, broader categories and deployment</w:t>
            </w:r>
          </w:p>
        </w:tc>
        <w:tc>
          <w:tcPr>
            <w:tcW w:type="dxa" w:w="436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Dependencies and data availability are unconfirmed.</w:t>
            </w:r>
          </w:p>
        </w:tc>
      </w:tr>
    </w:tbl>
    <w:p>
      <w:pPr>
        <w:spacing w:after="20"/>
      </w:pPr>
    </w:p>
    <w:p>
      <w:pPr>
        <w:pStyle w:val="Heading1"/>
      </w:pPr>
      <w:r>
        <w:t>5 Initial Requirements Specification</w:t>
      </w:r>
    </w:p>
    <w:p>
      <w:pPr>
        <w:pStyle w:val="Heading2"/>
      </w:pPr>
      <w:r>
        <w:t>5.1 Classic system functions</w:t>
      </w:r>
    </w:p>
    <w:tbl>
      <w:tblPr>
        <w:tblW w:type="auto" w:w="0"/>
        <w:jc w:val="center"/>
        <w:tblLayout w:type="fixed"/>
        <w:tblLook w:firstColumn="1" w:firstRow="1" w:lastColumn="0" w:lastRow="0" w:noHBand="0" w:noVBand="1" w:val="04A0"/>
      </w:tblPr>
      <w:tblGrid>
        <w:gridCol w:w="835"/>
        <w:gridCol w:w="8856"/>
      </w:tblGrid>
      <w:tr>
        <w:trPr>
          <w:tblHeader/>
        </w:trPr>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ID</w:t>
            </w:r>
          </w:p>
        </w:tc>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Requirement</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FR01</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Custodians shall create and edit each asset’s name, description, category, condition, quantity, department, custodian, and location. They shall also publish surplus or underused items as available.</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FR02</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Staff shall search and filter available items, submit requests that include specifications, quantity, urgency, and required date, and view each request’s status. Reservations and approved allocations shall not exceed the available quantity.</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FR03</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Administrators shall approve or reject requests and record the reason for each decision. Custodians shall confirm completed handovers. The system shall update ownership, custody, location, and availability only after the required approval and handover steps are complete.</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FR04</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Custodians shall record inspections, maintenance, repairs, refurbishment, donations, recycling, and disposal, including the date, responsible person, outcome, and relevant cost. An administrator shall approve final disposition, and the system shall retain the asset’s complete history.</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FR05</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Users shall sign in as staff, custodian, or administrator. Staff shall manage their own requests, custodians shall manage their assigned assets, and administrators shall manage user accounts and approvals. The system shall log important changes.</w:t>
            </w:r>
          </w:p>
        </w:tc>
      </w:tr>
    </w:tbl>
    <w:p>
      <w:pPr>
        <w:spacing w:after="20"/>
      </w:pPr>
    </w:p>
    <w:p>
      <w:pPr>
        <w:pStyle w:val="Heading2"/>
      </w:pPr>
      <w:r>
        <w:t>5.2 Required AI functions</w:t>
      </w:r>
    </w:p>
    <w:tbl>
      <w:tblPr>
        <w:tblW w:type="auto" w:w="0"/>
        <w:jc w:val="center"/>
        <w:tblLayout w:type="fixed"/>
        <w:tblLook w:firstColumn="1" w:firstRow="1" w:lastColumn="0" w:lastRow="0" w:noHBand="0" w:noVBand="1" w:val="04A0"/>
      </w:tblPr>
      <w:tblGrid>
        <w:gridCol w:w="835"/>
        <w:gridCol w:w="8856"/>
      </w:tblGrid>
      <w:tr>
        <w:trPr>
          <w:tblHeader/>
        </w:trPr>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ID</w:t>
            </w:r>
          </w:p>
        </w:tc>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Requirement and human control</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AI01</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Suggest up to three available items based on semantic similarity, compatibility, condition, quantity, location, and urgency. Explain each suggestion. The user decides whether to proceed, while application rules recheck availability and permission.</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AI02</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Suggest a category, tags, and clearer description from the entered details. The custodian shall review or edit them before saving, and the system shall not invent missing specifications.</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AI03</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Recommend reuse, transfer, repair, refurbishment, donation, recycling, or retirement based on available condition, demand, cost, and environmental information. Explain the recommendation and missing information. An authorized user makes the final decision.</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AI04</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Answer questions about authorized records, assist searches, prepare requests, and guide users to the correct pages. The user shall confirm each request before submission, and normal permissions shall apply.</w:t>
            </w:r>
          </w:p>
        </w:tc>
      </w:tr>
      <w:tr>
        <w:tc>
          <w:tcPr>
            <w:tcW w:type="dxa" w:w="83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AI05</w:t>
            </w:r>
          </w:p>
        </w:tc>
        <w:tc>
          <w:tcPr>
            <w:tcW w:type="dxa" w:w="885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Summarize exchanges, maintenance, avoided purchases, savings, waste diversion, and carbon estimates. Application code shall calculate totals; AI shall summarize validated results and label sample data and unavailable estimates.</w:t>
            </w:r>
          </w:p>
        </w:tc>
      </w:tr>
    </w:tbl>
    <w:p>
      <w:pPr>
        <w:spacing w:after="20"/>
      </w:pPr>
    </w:p>
    <w:p>
      <w:pPr>
        <w:pStyle w:val="Heading2"/>
      </w:pPr>
      <w:r>
        <w:t>5.3 Operational and data requirements</w:t>
      </w:r>
    </w:p>
    <w:p>
      <w:pPr>
        <w:pStyle w:val="ListBullet"/>
        <w:ind w:left="360" w:hanging="216"/>
      </w:pPr>
      <w:r>
        <w:t>The application shall link each request, approval reason, handover, and life cycle event to a responsible user and date.</w:t>
      </w:r>
    </w:p>
    <w:p>
      <w:pPr>
        <w:pStyle w:val="ListBullet"/>
        <w:ind w:left="360" w:hanging="216"/>
      </w:pPr>
      <w:r>
        <w:t>The application shall enforce role permissions and quantity checks independently of AI output. If the AI service is unavailable, ordinary search, requests, and asset records shall remain usable.</w:t>
      </w:r>
    </w:p>
    <w:p>
      <w:pPr>
        <w:pStyle w:val="ListBullet"/>
        <w:ind w:left="360" w:hanging="216"/>
      </w:pPr>
      <w:r>
        <w:t>Reports shall state the reporting period and count unique assets where repeated events could cause double counting.</w:t>
      </w:r>
    </w:p>
    <w:p>
      <w:pPr>
        <w:pStyle w:val="ListBullet"/>
        <w:ind w:left="360" w:hanging="216"/>
      </w:pPr>
      <w:r>
        <w:t>The team shall use clearly labeled sample records for the prototype and shall determine retention, privacy, security, backup, and deployment requirements during feasibility and detailed design.</w:t>
      </w:r>
    </w:p>
    <w:p>
      <w:pPr>
        <w:pStyle w:val="Heading1"/>
      </w:pPr>
      <w:r>
        <w:t>6 Success Criteria and Measurement</w:t>
      </w:r>
    </w:p>
    <w:p>
      <w:r>
        <w:t>These proposed acceptance targets will guide prototype testing and later stakeholder review. They do not represent completed results or actual campus savings.</w:t>
      </w:r>
    </w:p>
    <w:tbl>
      <w:tblPr>
        <w:tblW w:type="auto" w:w="0"/>
        <w:jc w:val="center"/>
        <w:tblLayout w:type="fixed"/>
        <w:tblLook w:firstColumn="1" w:firstRow="1" w:lastColumn="0" w:lastRow="0" w:noHBand="0" w:noVBand="1" w:val="04A0"/>
      </w:tblPr>
      <w:tblGrid>
        <w:gridCol w:w="2045"/>
        <w:gridCol w:w="7646"/>
      </w:tblGrid>
      <w:tr>
        <w:trPr>
          <w:tblHeader/>
        </w:trPr>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Measure</w:t>
            </w:r>
          </w:p>
        </w:tc>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Proposed target and check</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Core workflow</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Pass 10 agreed critical scenarios covering registration, search, reservations, approvals, transfers, permissions, and life cycle events.</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Search speed</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At least 19 of 20 searches return within 3 seconds on the agreed test computer with 20 sample items.</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User acceptance</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At least 4 of 5 representative users submit an item request without assistance.</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Match usefulness</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For at least 8 of 10 test requests with a valid match, a reviewer finds a suitable item in the top three AI suggestions; compare with keyword search.</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Avoided purchases</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Demonstrate five sample transfers that replace hypothetical purchases and calculate net savings correctly in all five.</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Reuse and repair</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Demonstrate at least two reuse cases and two repair cases.</w:t>
            </w:r>
          </w:p>
        </w:tc>
      </w:tr>
      <w:tr>
        <w:tc>
          <w:tcPr>
            <w:tcW w:type="dxa" w:w="2045"/>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Sustainability reporting</w:t>
            </w:r>
          </w:p>
        </w:tc>
        <w:tc>
          <w:tcPr>
            <w:tcW w:type="dxa" w:w="7646"/>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For 10 sample cases, match manually checked calculations where inputs exist and flag missing inputs.</w:t>
            </w:r>
          </w:p>
        </w:tc>
      </w:tr>
    </w:tbl>
    <w:p>
      <w:pPr>
        <w:spacing w:after="20"/>
      </w:pPr>
    </w:p>
    <w:p>
      <w:r>
        <w:t>Net savings equals avoided purchase cost minus transfer, repair, and refurbishment costs. Reuse rate equals reused or transferred eligible assets divided by all eligible available assets for the stated period. Waste diversion equals diverted assets divided by all discarded assets for that period. Estimated carbon reduction equals replacement emissions minus reuse emissions. Each carbon factor must have a source and stated assumption; missing inputs produce an unavailable estimate.</w:t>
      </w:r>
    </w:p>
    <w:p>
      <w:pPr>
        <w:pStyle w:val="Heading1"/>
      </w:pPr>
      <w:r>
        <w:t>7 Initial Project Plan</w:t>
      </w:r>
    </w:p>
    <w:p>
      <w:pPr>
        <w:pStyle w:val="Heading2"/>
      </w:pPr>
      <w:r>
        <w:t>7.1 Method and milestones</w:t>
      </w:r>
    </w:p>
    <w:p>
      <w:r>
        <w:t>The team proposes short development cycles within the course deadlines. Phase 1 establishes the baseline, Phase 2 evaluates feasibility, and Phase 3 finalizes detailed requirements. Architecture and detailed design come before implementation. Reviews, tests, GitHub branches, pull requests, and regular individual commits will document later work and each member’s contribution.</w:t>
      </w:r>
    </w:p>
    <w:tbl>
      <w:tblPr>
        <w:tblW w:type="auto" w:w="0"/>
        <w:jc w:val="center"/>
        <w:tblLayout w:type="fixed"/>
        <w:tblLook w:firstColumn="1" w:firstRow="1" w:lastColumn="0" w:lastRow="0" w:noHBand="0" w:noVBand="1" w:val="04A0"/>
      </w:tblPr>
      <w:tblGrid>
        <w:gridCol w:w="1037"/>
        <w:gridCol w:w="1843"/>
        <w:gridCol w:w="5659"/>
        <w:gridCol w:w="1152"/>
      </w:tblGrid>
      <w:tr>
        <w:trPr>
          <w:tblHeader/>
        </w:trPr>
        <w:tc>
          <w:tcPr>
            <w:tcW w:type="dxa" w:w="246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Phase</w:t>
            </w:r>
          </w:p>
        </w:tc>
        <w:tc>
          <w:tcPr>
            <w:tcW w:type="dxa" w:w="246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Lab week beginning</w:t>
            </w:r>
          </w:p>
        </w:tc>
        <w:tc>
          <w:tcPr>
            <w:tcW w:type="dxa" w:w="246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Deliverable</w:t>
            </w:r>
          </w:p>
        </w:tc>
        <w:tc>
          <w:tcPr>
            <w:tcW w:type="dxa" w:w="246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Weight</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1</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14 Sep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Initial plan and requirement gathering document</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10%</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2</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21 Sep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Feasibility document</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10%</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3</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5 Oct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Requirements document</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10%</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4 and 5</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26 Oct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Architecture and detailed design document</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20%</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6</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16 Nov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Draft implementation with major features</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20%</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7</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23 Nov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Details of test cases</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10%</w:t>
            </w:r>
          </w:p>
        </w:tc>
      </w:tr>
      <w:tr>
        <w:tc>
          <w:tcPr>
            <w:tcW w:type="dxa" w:w="103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8</w:t>
            </w:r>
          </w:p>
        </w:tc>
        <w:tc>
          <w:tcPr>
            <w:tcW w:type="dxa" w:w="184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23 Nov 2026</w:t>
            </w:r>
          </w:p>
        </w:tc>
        <w:tc>
          <w:tcPr>
            <w:tcW w:type="dxa" w:w="565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Final project, presentation, and demonstration</w:t>
            </w:r>
          </w:p>
        </w:tc>
        <w:tc>
          <w:tcPr>
            <w:tcW w:type="dxa" w:w="115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20%</w:t>
            </w:r>
          </w:p>
        </w:tc>
      </w:tr>
    </w:tbl>
    <w:p>
      <w:pPr>
        <w:spacing w:after="20"/>
      </w:pPr>
    </w:p>
    <w:p>
      <w:r>
        <w:t>Each deadline falls during the scheduled lab in the stated week. The team must also add the instructor and lab engineer GitHub accounts as repository collaborators by 15 September 2026. Regular, meaningful commits under each student’s own identity account for 10% of that student’s grade in each phase.</w:t>
      </w:r>
    </w:p>
    <w:p>
      <w:pPr>
        <w:pStyle w:val="Heading2"/>
      </w:pPr>
      <w:r>
        <w:t>7.2 Team structure and resource allocation</w:t>
      </w:r>
    </w:p>
    <w:tbl>
      <w:tblPr>
        <w:tblW w:type="auto" w:w="0"/>
        <w:jc w:val="center"/>
        <w:tblLayout w:type="fixed"/>
        <w:tblLook w:firstColumn="1" w:firstRow="1" w:lastColumn="0" w:lastRow="0" w:noHBand="0" w:noVBand="1" w:val="04A0"/>
      </w:tblPr>
      <w:tblGrid>
        <w:gridCol w:w="2160"/>
        <w:gridCol w:w="5832"/>
        <w:gridCol w:w="1699"/>
      </w:tblGrid>
      <w:tr>
        <w:trPr>
          <w:tblHeader/>
        </w:trPr>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Workstream</w:t>
            </w:r>
          </w:p>
        </w:tc>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Proposed responsibility</w:t>
            </w:r>
          </w:p>
        </w:tc>
        <w:tc>
          <w:tcPr>
            <w:tcW w:type="dxa" w:w="3293"/>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Proposed owner</w:t>
            </w:r>
          </w:p>
        </w:tc>
      </w:tr>
      <w:t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Requirements and stakeholder contact</w:t>
            </w:r>
          </w:p>
        </w:tc>
        <w:tc>
          <w:tcPr>
            <w:tcW w:type="dxa" w:w="58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Record consultations, resolve open rules, maintain requirements traceability.</w:t>
            </w:r>
          </w:p>
        </w:tc>
        <w:tc>
          <w:tcPr>
            <w:tcW w:type="dxa" w:w="169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Mohammed Siam</w:t>
            </w:r>
          </w:p>
        </w:tc>
      </w:tr>
      <w:t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Application and data</w:t>
            </w:r>
          </w:p>
        </w:tc>
        <w:tc>
          <w:tcPr>
            <w:tcW w:type="dxa" w:w="58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Implement asset, request, approval, history, and permission workflows.</w:t>
            </w:r>
          </w:p>
        </w:tc>
        <w:tc>
          <w:tcPr>
            <w:tcW w:type="dxa" w:w="169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Zayed Alnuaimi</w:t>
            </w:r>
          </w:p>
        </w:tc>
      </w:tr>
      <w:t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AI and reporting</w:t>
            </w:r>
          </w:p>
        </w:tc>
        <w:tc>
          <w:tcPr>
            <w:tcW w:type="dxa" w:w="58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Evaluate hosted service, build AI helper, verify calculations and explanations.</w:t>
            </w:r>
          </w:p>
        </w:tc>
        <w:tc>
          <w:tcPr>
            <w:tcW w:type="dxa" w:w="169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Hamed Qayed</w:t>
            </w:r>
          </w:p>
        </w:tc>
      </w:tr>
      <w:tr>
        <w:tc>
          <w:tcPr>
            <w:tcW w:type="dxa" w:w="2160"/>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Testing and integration</w:t>
            </w:r>
          </w:p>
        </w:tc>
        <w:tc>
          <w:tcPr>
            <w:tcW w:type="dxa" w:w="5832"/>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Create critical tests, run usability checks, coordinate merges and demo.</w:t>
            </w:r>
          </w:p>
        </w:tc>
        <w:tc>
          <w:tcPr>
            <w:tcW w:type="dxa" w:w="169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Ali Alameri</w:t>
            </w:r>
          </w:p>
        </w:tc>
      </w:tr>
    </w:tbl>
    <w:p>
      <w:pPr>
        <w:spacing w:after="20"/>
      </w:pPr>
    </w:p>
    <w:p>
      <w:r>
        <w:t>Proposed reviewers are Ali Alameri for requirements, Mohammed Siam for application and data, Zayed Alnuaimi for AI and reporting, and Hamed Qayed for testing and integration. Confirm these assignments before submission. Resources include GitHub, team computers, and hosted AI access; Phase 2 will check service availability and cost.</w:t>
      </w:r>
    </w:p>
    <w:p>
      <w:pPr>
        <w:pStyle w:val="Heading2"/>
      </w:pPr>
      <w:r>
        <w:t>7.3 Dependencies and risks</w:t>
      </w:r>
    </w:p>
    <w:tbl>
      <w:tblPr>
        <w:tblW w:type="auto" w:w="0"/>
        <w:jc w:val="center"/>
        <w:tblLayout w:type="fixed"/>
        <w:tblLook w:firstColumn="1" w:firstRow="1" w:lastColumn="0" w:lastRow="0" w:noHBand="0" w:noVBand="1" w:val="04A0"/>
      </w:tblPr>
      <w:tblGrid>
        <w:gridCol w:w="3384"/>
        <w:gridCol w:w="6307"/>
      </w:tblGrid>
      <w:tr>
        <w:trPr>
          <w:tblHeader/>
        </w:trPr>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Dependency or risk</w:t>
            </w:r>
          </w:p>
        </w:tc>
        <w:tc>
          <w:tcPr>
            <w:tcW w:type="dxa" w:w="4939"/>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243B53"/>
          </w:tcPr>
          <w:p>
            <w:pPr>
              <w:spacing w:after="0" w:line="259" w:lineRule="auto"/>
            </w:pPr>
            <w:r>
              <w:rPr>
                <w:rFonts w:ascii="Aptos" w:hAnsi="Aptos"/>
                <w:b/>
                <w:color w:val="FFFFFF"/>
                <w:sz w:val="17"/>
              </w:rPr>
              <w:t>Initial response</w:t>
            </w:r>
          </w:p>
        </w:tc>
      </w:tr>
      <w:tr>
        <w:tc>
          <w:tcPr>
            <w:tcW w:type="dxa" w:w="338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Campus approval rules and current process unknown</w:t>
            </w:r>
          </w:p>
        </w:tc>
        <w:tc>
          <w:tcPr>
            <w:tcW w:type="dxa" w:w="630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Consult stakeholders and record validated decisions before finalizing Phase 3 requirements.</w:t>
            </w:r>
          </w:p>
        </w:tc>
      </w:tr>
      <w:tr>
        <w:tc>
          <w:tcPr>
            <w:tcW w:type="dxa" w:w="338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Hosted AI access, cost, and data handling unknown</w:t>
            </w:r>
          </w:p>
        </w:tc>
        <w:tc>
          <w:tcPr>
            <w:tcW w:type="dxa" w:w="630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Check feasibility early; keep deterministic workflows usable when AI is unavailable.</w:t>
            </w:r>
          </w:p>
        </w:tc>
      </w:tr>
      <w:tr>
        <w:tc>
          <w:tcPr>
            <w:tcW w:type="dxa" w:w="338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Limited schedule and sample data</w:t>
            </w:r>
          </w:p>
        </w:tc>
        <w:tc>
          <w:tcPr>
            <w:tcW w:type="dxa" w:w="630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Build the complete core workflow first, use a small labeled dataset, and test the work completed in each phase.</w:t>
            </w:r>
          </w:p>
        </w:tc>
      </w:tr>
      <w:tr>
        <w:tc>
          <w:tcPr>
            <w:tcW w:type="dxa" w:w="338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Inaccurate savings or environmental claims</w:t>
            </w:r>
          </w:p>
        </w:tc>
        <w:tc>
          <w:tcPr>
            <w:tcW w:type="dxa" w:w="630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shd w:fill="F2F6FA"/>
          </w:tcPr>
          <w:p>
            <w:pPr>
              <w:spacing w:after="0" w:line="259" w:lineRule="auto"/>
            </w:pPr>
            <w:r>
              <w:rPr>
                <w:rFonts w:ascii="Aptos" w:hAnsi="Aptos"/>
                <w:sz w:val="17"/>
              </w:rPr>
              <w:t>Compute totals in code, verify sample cases manually, cite factors, and flag unavailable estimates.</w:t>
            </w:r>
          </w:p>
        </w:tc>
      </w:tr>
      <w:tr>
        <w:tc>
          <w:tcPr>
            <w:tcW w:type="dxa" w:w="3384"/>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Repository access and individual contribution tracking</w:t>
            </w:r>
          </w:p>
        </w:tc>
        <w:tc>
          <w:tcPr>
            <w:tcW w:type="dxa" w:w="6307"/>
            <w:vAlign w:val="center"/>
            <w:tcBorders>
              <w:top w:val="single" w:sz="4" w:color="D9D9D9"/>
              <w:left w:val="single" w:sz="4" w:color="D9D9D9"/>
              <w:bottom w:val="single" w:sz="4" w:color="D9D9D9"/>
              <w:right w:val="single" w:sz="4" w:color="D9D9D9"/>
            </w:tcBorders>
            <w:tcMar>
              <w:top w:w="80" w:type="dxa"/>
              <w:start w:w="80" w:type="dxa"/>
              <w:bottom w:w="80" w:type="dxa"/>
              <w:end w:w="80" w:type="dxa"/>
            </w:tcMar>
          </w:tcPr>
          <w:p>
            <w:pPr>
              <w:spacing w:after="0" w:line="259" w:lineRule="auto"/>
            </w:pPr>
            <w:r>
              <w:rPr>
                <w:rFonts w:ascii="Aptos" w:hAnsi="Aptos"/>
                <w:sz w:val="17"/>
              </w:rPr>
              <w:t>Add required collaborators by the course date and use regular commits and peer review.</w:t>
            </w:r>
          </w:p>
        </w:tc>
      </w:tr>
    </w:tbl>
    <w:p>
      <w:pPr>
        <w:spacing w:after="20"/>
      </w:pPr>
    </w:p>
    <w:p>
      <w:pPr>
        <w:pStyle w:val="Heading1"/>
      </w:pPr>
      <w:r>
        <w:t>8 Open Items for Validation</w:t>
      </w:r>
    </w:p>
    <w:p>
      <w:pPr>
        <w:ind w:left="360" w:hanging="216"/>
      </w:pPr>
      <w:r>
        <w:t>Before submission, record consultation findings and relevant policies; confirm approval authority, reservation expiry, handover evidence, disposal rules, and audit access; confirm owners, reviewers, and required GitHub usernames; and check the full course description for requirements not repeated in the slides.</w:t>
      </w:r>
    </w:p>
    <w:p>
      <w:pPr>
        <w:pStyle w:val="Heading1"/>
        <w:spacing w:before="100" w:after="40"/>
      </w:pPr>
      <w:r>
        <w:t>References</w:t>
      </w:r>
    </w:p>
    <w:p>
      <w:pPr>
        <w:pStyle w:val="Small"/>
      </w:pPr>
      <w:r>
        <w:t>COSC 336 Circular Campus Project Fall 2026 presentation, slides 1–11 and notes. Team project brief, 14 September 2026. Repository: github.com/HamedQayed/cosc336-circular-campus-9.</w:t>
      </w:r>
    </w:p>
    <w:sectPr w:rsidR="00FC693F" w:rsidRPr="0006063C" w:rsidSect="00034616">
      <w:headerReference w:type="default" r:id="rId9"/>
      <w:footerReference w:type="default" r:id="rId10"/>
      <w:pgSz w:w="12240" w:h="15840"/>
      <w:pgMar w:top="1123" w:right="1181" w:bottom="1123" w:left="1181"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Initial Plan and Requirement Gathering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64646"/>
        <w:sz w:val="16"/>
      </w:rPr>
      <w:t>COSC 336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