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COSC 336 Introduction to Software Engineering</w:t>
      </w:r>
    </w:p>
    <w:p>
      <w:pPr>
        <w:pStyle w:val="Title"/>
      </w:pPr>
      <w:r>
        <w:t>Campus Item Exchange</w:t>
      </w:r>
    </w:p>
    <w:p>
      <w:pPr>
        <w:pStyle w:val="Subtitle"/>
      </w:pPr>
      <w:r>
        <w:t>Phase Three Requirements Document</w:t>
      </w:r>
    </w:p>
    <w:p>
      <w:r>
        <w:t>Intelligent AI Powered Circular Campus Resource Exchange and Asset Life Cycle Management System</w:t>
      </w:r>
    </w:p>
    <w:p>
      <w:r>
        <w:t>4 October 2026 • Prepared for Natnael Abule and Basima Kurungudan</w:t>
        <w:br/>
        <w:t>Submission in the lab week beginning 5 October 2026</w:t>
      </w:r>
    </w:p>
    <w:p>
      <w:pPr>
        <w:pStyle w:val="Heading2"/>
      </w:pPr>
      <w:r>
        <w:t>1 Purpose and scope</w:t>
      </w:r>
    </w:p>
    <w:p>
      <w:r>
        <w:t>We propose an internal university website for departments to find, request, transfer, maintain, and track reusable assets. This specification defines its behavior, quality targets, approvals, data, and use cases. It follows the full September 2026 project description and the Phase Three SRS guidance.</w:t>
      </w:r>
    </w:p>
    <w:p>
      <w:r>
        <w:t>The prototype uses one campus, two sample departments, and approximately 20 labelled sample items, initially chairs, books, and monitors. It includes all five classic and five AI feature families. AI provides advice; application rules and authorized users control permissions, inventory, approvals, and disposal.</w:t>
      </w:r>
    </w:p>
    <w:p>
      <w:r>
        <w:t>Python with Flask, HTML and CSS, SQLite, and one hosted AI service remain the proposed tools. Live university integration, multi-campus rollout, and historical demand prediction are future enhancements. Public sales, payments, and delivery-service operation are outside scope; collection arrangements are recorded.</w:t>
      </w:r>
    </w:p>
    <w:p>
      <w:pPr>
        <w:pStyle w:val="Heading2"/>
      </w:pPr>
      <w:r>
        <w:t>Team and cumulative contribution plan</w:t>
      </w:r>
    </w:p>
    <w:tbl>
      <w:tblPr>
        <w:tblW w:type="auto" w:w="0"/>
        <w:jc w:val="center"/>
        <w:tblLayout w:type="fixed"/>
        <w:tblLook w:firstColumn="1" w:firstRow="1" w:lastColumn="0" w:lastRow="0" w:noHBand="0" w:noVBand="1" w:val="04A0"/>
      </w:tblPr>
      <w:tblGrid>
        <w:gridCol w:w="2088"/>
        <w:gridCol w:w="1440"/>
        <w:gridCol w:w="6264"/>
      </w:tblGrid>
      <w:tr>
        <w:trPr>
          <w:cantSplit/>
          <w:tblHeader/>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before="40"/>
            </w:pPr>
            <w:r>
              <w:rPr>
                <w:b/>
                <w:sz w:val="19"/>
              </w:rPr>
              <w:t>Member</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before="40"/>
            </w:pPr>
            <w:r>
              <w:rPr>
                <w:b/>
                <w:sz w:val="19"/>
              </w:rPr>
              <w:t>Student ID</w:t>
            </w:r>
          </w:p>
        </w:tc>
        <w:tc>
          <w:tcPr>
            <w:tcW w:type="dxa" w:w="62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before="40"/>
            </w:pPr>
            <w:r>
              <w:rPr>
                <w:b/>
                <w:sz w:val="19"/>
              </w:rPr>
              <w:t>Assigned addition</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Mohammed Siam</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100064837</w:t>
            </w:r>
          </w:p>
        </w:tc>
        <w:tc>
          <w:tcPr>
            <w:tcW w:type="dxa" w:w="62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Stage 1  Scope and functional requirements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Zayed Alnuaimi</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100063561</w:t>
            </w:r>
          </w:p>
        </w:tc>
        <w:tc>
          <w:tcPr>
            <w:tcW w:type="dxa" w:w="62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Stage 2  Quality, rules, data, and permissions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Hamed Qayed</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100066581</w:t>
            </w:r>
          </w:p>
        </w:tc>
        <w:tc>
          <w:tcPr>
            <w:tcW w:type="dxa" w:w="62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Stage 3  Diagram and core use cases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Ali Alameri</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100066635</w:t>
            </w:r>
          </w:p>
        </w:tc>
        <w:tc>
          <w:tcPr>
            <w:tcW w:type="dxa" w:w="62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Stage 4  AI use cases and acceptance</w:t>
            </w:r>
          </w:p>
        </w:tc>
      </w:tr>
    </w:tbl>
    <w:p/>
    <w:p>
      <w:r>
        <w:t>These are review assignments. Each member reviews and revises their addition before committing it using their own identity. Repository: github.com/HamedQayed/cosc336-circular-campus-9.</w:t>
      </w:r>
    </w:p>
    <w:p>
      <w:pPr>
        <w:pStyle w:val="Heading2"/>
      </w:pPr>
      <w:r>
        <w:t>Reading and priority conventions</w:t>
      </w:r>
    </w:p>
    <w:p>
      <w:r>
        <w:t>FR denotes functional requirements, AI denotes AI requirements, NFR denotes quality requirements, BR denotes business rules, and UC denotes use cases. Every numbered requirement is essential and High priority. Desirable extensions are email notifications, bulk import, and barcode entry. Future prediction needs additional data; required life-extension measures use recorded evidence.</w:t>
      </w:r>
    </w:p>
    <w:p>
      <w:r>
        <w:t>Developers use Sections 2–5 as the implementation baseline; stakeholders review scope, permissions, and scenarios; testers use the measurable targets and Section 8 acceptance checks. Requirements and allocations are planned work, not claims of completed testing or stakeholder approval.</w:t>
      </w:r>
    </w:p>
    <w:p>
      <w:r>
        <w:br w:type="page"/>
      </w:r>
    </w:p>
    <w:p>
      <w:pPr>
        <w:pStyle w:val="Heading1"/>
      </w:pPr>
      <w:r>
        <w:t>2 Core functional requirements</w:t>
      </w:r>
    </w:p>
    <w:p>
      <w:r>
        <w:t>The system shall provide the following functions, with server-side authorization and input validation. Invalid actions shall explain the error without leaving partial changes.</w:t>
      </w:r>
    </w:p>
    <w:p>
      <w:r>
        <w:rPr>
          <w:b/>
        </w:rPr>
        <w:t xml:space="preserve">FR01 Register assets. </w:t>
      </w:r>
      <w:r>
        <w:t>Assigned custodians shall record a unique ID, name, description, category and subcategory, quantity, owner, department, custodian, location, condition, purchase date and estimated value or explicit Unknown, and evidence links. Each physical unit retains a stable ID.</w:t>
      </w:r>
    </w:p>
    <w:p>
      <w:r>
        <w:rPr>
          <w:b/>
        </w:rPr>
        <w:t xml:space="preserve">FR02 Maintain and publish. </w:t>
      </w:r>
      <w:r>
        <w:t>Custodians shall edit assigned assets and propose release of surplus units. A workflow administrator shall approve release before publication. Withdrawal and edits retain history; quantity cannot fall below existing commitments.</w:t>
      </w:r>
    </w:p>
    <w:p>
      <w:r>
        <w:rPr>
          <w:b/>
        </w:rPr>
        <w:t xml:space="preserve">FR03 Search and filter. </w:t>
      </w:r>
      <w:r>
        <w:t>Staff shall search authorized listings by words and filter by category, condition, department, location, quantity, availability, age, value, and life cycle status. Results show requestable quantity; historical or unavailable units cannot be reserved.</w:t>
      </w:r>
    </w:p>
    <w:p>
      <w:r>
        <w:rPr>
          <w:b/>
        </w:rPr>
        <w:t xml:space="preserve">FR04 Submit needs and requests. </w:t>
      </w:r>
      <w:r>
        <w:t>Requests shall contain category, purpose, specifications, quantity, preferred condition, urgency, required date, and destination department, custodian, and location. Unmatched needs may remain Seeking without a hold. Selecting available stock creates a Pending request.</w:t>
      </w:r>
    </w:p>
    <w:p>
      <w:r>
        <w:rPr>
          <w:b/>
        </w:rPr>
        <w:t xml:space="preserve">FR05 Reserve stock. </w:t>
      </w:r>
      <w:r>
        <w:t>Confirmed requests shall atomically hold available units and display expiry. Concurrent requests cannot reserve the same final unit. Approval retains the existing hold rather than deducting stock again.</w:t>
      </w:r>
    </w:p>
    <w:p>
      <w:r>
        <w:rPr>
          <w:b/>
        </w:rPr>
        <w:t xml:space="preserve">FR06 Track and cancel. </w:t>
      </w:r>
      <w:r>
        <w:t>Requesters shall view their own status, decisions, and history; representatives may view their department’s requests. Creators may cancel Seeking or Pending requests. Approved cancellation follows BR03; holds are released only once.</w:t>
      </w:r>
    </w:p>
    <w:p>
      <w:r>
        <w:rPr>
          <w:b/>
        </w:rPr>
        <w:t xml:space="preserve">FR07 Approve requests. </w:t>
      </w:r>
      <w:r>
        <w:t>Workflow administrators shall approve or reject Pending reservation and transfer requests with a reason, actor, and timestamp after rechecking eligibility. Rejection releases stock; approval alone changes no ownership or custody.</w:t>
      </w:r>
    </w:p>
    <w:p>
      <w:r>
        <w:rPr>
          <w:b/>
        </w:rPr>
        <w:t xml:space="preserve">FR08 Complete transfers. </w:t>
      </w:r>
      <w:r>
        <w:t>The source custodian shall record collection or delivery arrangements and collection evidence. The receiving custodian shall approve receipt. Completion shall atomically update ownership, custody, location, quantities, status, and history. Duplicate confirmation has no additional effect.</w:t>
      </w:r>
    </w:p>
    <w:p>
      <w:r>
        <w:rPr>
          <w:b/>
        </w:rPr>
        <w:t xml:space="preserve">FR09 Record life cycle history. </w:t>
      </w:r>
      <w:r>
        <w:t>Authorized custodians shall retain acquisition, allocation, utilization, inspection, maintenance, repair, transfer, refurbishment, retirement, donation, recycling, and disposal events, with date, responsible person, outcome, and cost or Unknown. Corrections append linked records.</w:t>
      </w:r>
    </w:p>
    <w:p>
      <w:pPr>
        <w:pStyle w:val="Heading2"/>
      </w:pPr>
      <w:r>
        <w:t>Validation applying to all forms</w:t>
      </w:r>
    </w:p>
    <w:p>
      <w:r>
        <w:t>Quantities are positive integers; urgency is Low, Normal, or High; needed dates cannot be past; completed-event dates cannot be future. Money is nonnegative or explicitly unknown. Referenced accounts and units must exist and be permitted. Stale stock, unauthorized changes, and invalid values shall be rejected without losing valid entered fields.</w:t>
      </w:r>
    </w:p>
    <w:p>
      <w:r>
        <w:br w:type="page"/>
      </w:r>
    </w:p>
    <w:p>
      <w:pPr>
        <w:pStyle w:val="Heading1"/>
      </w:pPr>
      <w:r>
        <w:t>2 Control reporting and supporting functions</w:t>
      </w:r>
    </w:p>
    <w:p>
      <w:r>
        <w:rPr>
          <w:b/>
        </w:rPr>
        <w:t xml:space="preserve">FR10 Control disposition. </w:t>
      </w:r>
      <w:r>
        <w:t>Custodians shall propose retirement, donation, component recovery, recycling, or disposal of unallocated units. Administrators approve with reasons; custodians record execution evidence. Retirement blocks use pending disposition; executed final outcomes preserve history and prevent allocation.</w:t>
      </w:r>
    </w:p>
    <w:p>
      <w:r>
        <w:rPr>
          <w:b/>
        </w:rPr>
        <w:t xml:space="preserve">FR11 Manage accounts. </w:t>
      </w:r>
      <w:r>
        <w:t>Active users shall authenticate and sign out. System administrators shall create, deactivate, and assign the nine permission profiles in Section 5. Deactivation invalidates further protected actions; custody is reassigned first.</w:t>
      </w:r>
    </w:p>
    <w:p>
      <w:r>
        <w:rPr>
          <w:b/>
        </w:rPr>
        <w:t xml:space="preserve">FR12 Audit changes. </w:t>
      </w:r>
      <w:r>
        <w:t>The system shall retain actor, timestamp, record ID, action, reason, and relevant old and new values for important changes. Authorized reviewers shall trace assets, approvals, requests, transfers, and reporting inputs. Ordinary users cannot delete audit history.</w:t>
      </w:r>
    </w:p>
    <w:p>
      <w:r>
        <w:rPr>
          <w:b/>
        </w:rPr>
        <w:t xml:space="preserve">FR13 Manage evidence. </w:t>
      </w:r>
      <w:r>
        <w:t>Authorized users shall attach and retrieve JPEG, PNG, or PDF evidence up to 5 MB per file for assets, transfers, and service events. Record uploader and time. Reject unsupported, oversized, or unauthorized files; enforce access on download.</w:t>
      </w:r>
    </w:p>
    <w:p>
      <w:r>
        <w:rPr>
          <w:b/>
        </w:rPr>
        <w:t xml:space="preserve">FR14 Manage departments and maintenance. </w:t>
      </w:r>
      <w:r>
        <w:t>System administrators shall manage departments and custodians without deleting referenced history. Assigned maintenance staff shall report defects, request inspections, monitor jobs, record repairs and costs, and update post-service condition under the service states in Section 4.</w:t>
      </w:r>
    </w:p>
    <w:p>
      <w:r>
        <w:rPr>
          <w:b/>
        </w:rPr>
        <w:t xml:space="preserve">FR15 Notify users. </w:t>
      </w:r>
      <w:r>
        <w:t>In-app notifications shall cover release decisions, request submission, approval or rejection, expiry, cancellation, collection readiness, receipt, service updates, and disposition decisions. Include event link, time, recipient, and read state. Correct recipients shall see each event once on a refresh within 5 seconds.</w:t>
      </w:r>
    </w:p>
    <w:p>
      <w:r>
        <w:rPr>
          <w:b/>
        </w:rPr>
        <w:t xml:space="preserve">FR16 Enforce scoped roles. </w:t>
      </w:r>
      <w:r>
        <w:t>The system shall distinguish requester, department representative, custodian, maintenance staff, workflow administrator, procurement officer, finance officer, sustainability officer, and system administrator. The Section 5 permission matrix governs each profile and protected record.</w:t>
      </w:r>
    </w:p>
    <w:p>
      <w:r>
        <w:rPr>
          <w:b/>
        </w:rPr>
        <w:t xml:space="preserve">FR17 Enforce approval gates. </w:t>
      </w:r>
      <w:r>
        <w:t>Publication requires release approval; collection requires reservation and transfer approval; completion requires receiving-custodian acknowledgment. Final disposition requires administrator approval and execution evidence. Record actor, time, and outcome at every gate.</w:t>
      </w:r>
    </w:p>
    <w:p>
      <w:r>
        <w:rPr>
          <w:b/>
        </w:rPr>
        <w:t xml:space="preserve">FR18 Provide dashboards and reports. </w:t>
      </w:r>
      <w:r>
        <w:t>Authorized profiles shall view period-based available assets, open requests, transfers, maintenance, ownership changes, approvals, and asset status, with sustainability indicators. Totals shall reconcile to authorized records; officers may validate only their assigned input fields.</w:t>
      </w:r>
    </w:p>
    <w:p>
      <w:pPr>
        <w:pStyle w:val="Heading2"/>
      </w:pPr>
      <w:r>
        <w:t>Operational boundaries</w:t>
      </w:r>
    </w:p>
    <w:p>
      <w:r>
        <w:t>Finance and sustainability officers validate their measures; management and auditors receive approved reports. External donation and recycling partners do not need prototype accounts: campus custodians record their receipt evidence. System administration does not itself grant business approval authority.</w:t>
      </w:r>
    </w:p>
    <w:p>
      <w:r>
        <w:br w:type="page"/>
      </w:r>
    </w:p>
    <w:p>
      <w:pPr>
        <w:pStyle w:val="Heading1"/>
      </w:pPr>
      <w:r>
        <w:t>2 AI requirements and human oversight</w:t>
      </w:r>
    </w:p>
    <w:p>
      <w:r>
        <w:rPr>
          <w:b/>
        </w:rPr>
        <w:t xml:space="preserve">AI01 Match resources. </w:t>
      </w:r>
      <w:r>
        <w:t>The system shall suggest up to three eligible assets using meaning, category, purpose, specifications, quantity, requested condition, location, urgency, required date, transfer cost, and repair cost. Show a compatibility score from 0 to 100 and reasons; recheck stock when a suggestion becomes a request.</w:t>
      </w:r>
    </w:p>
    <w:p>
      <w:r>
        <w:rPr>
          <w:b/>
        </w:rPr>
        <w:t xml:space="preserve">AI02 Classify assets. </w:t>
      </w:r>
      <w:r>
        <w:t>Using titles, descriptions, specifications, supported images, and documents, the system shall suggest category, subcategory, tags, material, standardized description, and missing metadata. Custodians review or edit before saving; unsupported specifications remain unknown.</w:t>
      </w:r>
    </w:p>
    <w:p>
      <w:r>
        <w:rPr>
          <w:b/>
        </w:rPr>
        <w:t xml:space="preserve">AI03 Recommend sustainable actions. </w:t>
      </w:r>
      <w:r>
        <w:t>The system shall compare retention or reuse, transfer, repair, refurbishment, donation, component recovery, recycling, and retirement or disposal using condition, demand, cost, and environmental evidence. Explain the recommendation and missing inputs. Advice cannot authorize an action.</w:t>
      </w:r>
    </w:p>
    <w:p>
      <w:r>
        <w:rPr>
          <w:b/>
        </w:rPr>
        <w:t xml:space="preserve">AI04 Provide an assistant. </w:t>
      </w:r>
      <w:r>
        <w:t>The assistant shall support authorized search, request preparation, history, status, sustainability and policy questions, and navigation. Cite asset or approved policy records; if guidance is unavailable, say so. Show the exact request for explicit confirmation before normal validation and submission.</w:t>
      </w:r>
    </w:p>
    <w:p>
      <w:r>
        <w:rPr>
          <w:b/>
        </w:rPr>
        <w:t xml:space="preserve">AI05 Summarize activity. </w:t>
      </w:r>
      <w:r>
        <w:t>The system shall generate monthly summaries, sustainability updates, management bulletins, high-demand-category summaries, maintenance insights, and recommended actions. Use application-calculated exchanges, avoided purchases, savings, diversion, and carbon estimates. Reject mismatched narrative figures; label sample data and assumptions.</w:t>
      </w:r>
    </w:p>
    <w:p>
      <w:r>
        <w:rPr>
          <w:b/>
        </w:rPr>
        <w:t xml:space="preserve">AI06 Rank and explain. </w:t>
      </w:r>
      <w:r>
        <w:t>Compatible matches shall be ranked by functional suitability, urgency, transfer cost, repair needs, diversion benefit, and estimated carbon reduction. Show factor contributions and missing-input warnings. Unknown values are not zero; hard compatibility checks precede ranking.</w:t>
      </w:r>
    </w:p>
    <w:p>
      <w:r>
        <w:rPr>
          <w:b/>
        </w:rPr>
        <w:t xml:space="preserve">AI07 Track recommendations. </w:t>
      </w:r>
      <w:r>
        <w:t>Saved AI outputs shall retain input references or snapshots, time, provider, model identifier and version or Version unavailable, prompt version, confidence or Unavailable, and acceptance, editing, rejection, or override reason. Scores are not probabilities; uncertain output requires manual review.</w:t>
      </w:r>
    </w:p>
    <w:p>
      <w:r>
        <w:rPr>
          <w:b/>
        </w:rPr>
        <w:t xml:space="preserve">AI08 Preserve user control. </w:t>
      </w:r>
      <w:r>
        <w:t>The system shall separate facts from suggestions, reject fabricated IDs and unsupported policy or safety claims, and treat supplied text as data rather than commands. AI never bypasses permissions. Invalid, low-confidence, or failed responses preserve inputs and offer manual search, forms, and numeric reports.</w:t>
      </w:r>
    </w:p>
    <w:p>
      <w:r>
        <w:t>All five AI feature families remain required. A fallback supports continuity during an outage; it does not replace demonstrating successful AI functionality.</w:t>
      </w:r>
    </w:p>
    <w:p>
      <w:r>
        <w:br w:type="page"/>
      </w:r>
    </w:p>
    <w:p>
      <w:pPr>
        <w:pStyle w:val="Heading1"/>
      </w:pPr>
      <w:r>
        <w:t>3 Non functional requirements</w:t>
      </w:r>
    </w:p>
    <w:p>
      <w:r>
        <w:t>These are prototype acceptance targets. Tests record the computer, runtime, browser versions, dataset, and actual results. All targets below must pass.</w:t>
      </w:r>
    </w:p>
    <w:p>
      <w:r>
        <w:rPr>
          <w:b/>
        </w:rPr>
        <w:t xml:space="preserve">NFR01 Performance. </w:t>
      </w:r>
      <w:r>
        <w:t>With 20 items and five sessions, at least 19 of 20 catalogue searches render within 3 seconds.</w:t>
      </w:r>
    </w:p>
    <w:p>
      <w:r>
        <w:rPr>
          <w:b/>
        </w:rPr>
        <w:t xml:space="preserve">NFR02 Usability. </w:t>
      </w:r>
      <w:r>
        <w:t>At least 4 of 5 representative users submit a valid request without facilitator assistance after sign in.</w:t>
      </w:r>
    </w:p>
    <w:p>
      <w:r>
        <w:rPr>
          <w:b/>
        </w:rPr>
        <w:t xml:space="preserve">NFR03 Authorization. </w:t>
      </w:r>
      <w:r>
        <w:t>All nine profiles pass permitted actions and deny forbidden direct URLs, writes, and AI retrieval, including cross-department records.</w:t>
      </w:r>
    </w:p>
    <w:p>
      <w:r>
        <w:rPr>
          <w:b/>
        </w:rPr>
        <w:t xml:space="preserve">NFR04 Credentials. </w:t>
      </w:r>
      <w:r>
        <w:t>Store only salted adaptive password hashes. No passwords, session secrets, or AI keys appear in logs, reports, AI payloads, or tracked files.</w:t>
      </w:r>
    </w:p>
    <w:p>
      <w:r>
        <w:rPr>
          <w:b/>
        </w:rPr>
        <w:t xml:space="preserve">NFR05 Integrity. </w:t>
      </w:r>
      <w:r>
        <w:t>Reservation, transfer, and disposition updates commit completely or not at all. Interrupted writes, concurrent requests, and retries cannot duplicate effects.</w:t>
      </w:r>
    </w:p>
    <w:p>
      <w:r>
        <w:rPr>
          <w:b/>
        </w:rPr>
        <w:t xml:space="preserve">NFR06 AI resilience. </w:t>
      </w:r>
      <w:r>
        <w:t>Each AI call produces usable output or a clear failure within 15 seconds. Search, requests, history, and numeric reports remain usable during timeout or invalid output.</w:t>
      </w:r>
    </w:p>
    <w:p>
      <w:r>
        <w:rPr>
          <w:b/>
        </w:rPr>
        <w:t xml:space="preserve">NFR07 Accessibility. </w:t>
      </w:r>
      <w:r>
        <w:t>Core forms support keyboard use, visible focus, associated labels, and textual errors without relying on color. Verify login, request, and approval flows.</w:t>
      </w:r>
    </w:p>
    <w:p>
      <w:r>
        <w:rPr>
          <w:b/>
        </w:rPr>
        <w:t xml:space="preserve">NFR08 Compatibility. </w:t>
      </w:r>
      <w:r>
        <w:t>Core workflows work in recorded desktop Chrome and Firefox versions at 1280 by 720 pixels without clipped controls.</w:t>
      </w:r>
    </w:p>
    <w:p>
      <w:r>
        <w:rPr>
          <w:b/>
        </w:rPr>
        <w:t xml:space="preserve">NFR09 Recovery. </w:t>
      </w:r>
      <w:r>
        <w:t>Take a snapshot before each demonstration. Restore all snapshot records into an isolated database within 10 minutes; later changes may be lost.</w:t>
      </w:r>
    </w:p>
    <w:p>
      <w:r>
        <w:rPr>
          <w:b/>
        </w:rPr>
        <w:t xml:space="preserve">NFR10 Privacy. </w:t>
      </w:r>
      <w:r>
        <w:t>Use labelled synthetic data. Send only authorized task-relevant fields to AI; retain audit records throughout the course. Live-data retention requires institutional review.</w:t>
      </w:r>
    </w:p>
    <w:p>
      <w:r>
        <w:rPr>
          <w:b/>
        </w:rPr>
        <w:t xml:space="preserve">NFR11 Accuracy. </w:t>
      </w:r>
      <w:r>
        <w:t>All five purchase-avoidance and ten sustainability examples match manual calculations. Display AED to two decimals; distinguish zero, unknown, and not applicable.</w:t>
      </w:r>
    </w:p>
    <w:p>
      <w:r>
        <w:rPr>
          <w:b/>
        </w:rPr>
        <w:t xml:space="preserve">NFR12 Maintainability. </w:t>
      </w:r>
      <w:r>
        <w:t>Provide pinned dependencies, setup, sample-data and role guides, backup instructions, AI limits, and executable critical checks. Verify setup in a clean environment and meaningful individual Git history.</w:t>
      </w:r>
    </w:p>
    <w:p>
      <w:r>
        <w:rPr>
          <w:b/>
        </w:rPr>
        <w:t xml:space="preserve">NFR13 Safety. </w:t>
      </w:r>
      <w:r>
        <w:t>Block publication, reservation, collection, and handover of unsafe, quarantined, retired units or units under service. Only recorded human inspection clearance restores serviceability; AI cannot clear an asset.</w:t>
      </w:r>
    </w:p>
    <w:p>
      <w:r>
        <w:rPr>
          <w:b/>
        </w:rPr>
        <w:t xml:space="preserve">NFR14 AI quality. </w:t>
      </w:r>
      <w:r>
        <w:t>At least 8 of 10 labelled assets receive correct categories. Ten sampled explanations cite actual factors. Department-name swaps preserve rankings except stable-ID ties. Record acceptance and overrides separately from accuracy.</w:t>
      </w:r>
    </w:p>
    <w:p>
      <w:r>
        <w:rPr>
          <w:b/>
        </w:rPr>
        <w:t xml:space="preserve">NFR15 Growth. </w:t>
      </w:r>
      <w:r>
        <w:t>With 200 synthetic items and ten sessions, at least 95 of 100 searches render within 5 seconds, with no failed or duplicate writes.</w:t>
      </w:r>
    </w:p>
    <w:p>
      <w:r>
        <w:t>SRS mapping: performance NFR01, 06, 15; safety NFR13; security NFR03, 04, 10; software quality NFR02, 05, 07–09, 11, 12, 14. No production uptime or campus-scale guarantee is claimed.</w:t>
      </w:r>
    </w:p>
    <w:p>
      <w:r>
        <w:br w:type="page"/>
      </w:r>
    </w:p>
    <w:p>
      <w:pPr>
        <w:pStyle w:val="Heading1"/>
      </w:pPr>
      <w:r>
        <w:t>4 Business rules and states</w:t>
      </w:r>
    </w:p>
    <w:p>
      <w:r>
        <w:rPr>
          <w:b/>
        </w:rPr>
        <w:t xml:space="preserve">BR01 Units. </w:t>
      </w:r>
      <w:r>
        <w:t>Only published, serviceable, active units are requestable. Available quantity excludes Pending and Approved holds. Unit IDs persist through partial listing transfers. Received units need new release approval before publication.</w:t>
      </w:r>
    </w:p>
    <w:p>
      <w:r>
        <w:rPr>
          <w:b/>
        </w:rPr>
        <w:t xml:space="preserve">BR02 Expiry. </w:t>
      </w:r>
      <w:r>
        <w:t>Pending holds last 48 hours or until the needed date ends, whichever is first; approval retains them until that date ends. Use Asia/Dubai time. Expire overdue holds before stock-sensitive actions. After collection, overdue receipt creates a dispute and never releases in-transit stock.</w:t>
      </w:r>
    </w:p>
    <w:p>
      <w:r>
        <w:rPr>
          <w:b/>
        </w:rPr>
        <w:t xml:space="preserve">BR03 Requests. </w:t>
      </w:r>
      <w:r>
        <w:t>Seeking → Pending → Approved → Completed. Pending may be Rejected; Seeking or Pending may be cancelled by its creator. Administrators may cancel Approved requests before collection. Pending or Approved may expire before collection. Terminal states cannot reopen; create a new request instead.</w:t>
      </w:r>
    </w:p>
    <w:p>
      <w:r>
        <w:rPr>
          <w:b/>
        </w:rPr>
        <w:t xml:space="preserve">BR04 Approvals. </w:t>
      </w:r>
      <w:r>
        <w:t>Workflow administrators decide release, reservation, transfer, and disposition. No self-approval. Custodians record collection and receipt. Changed quantity or destination requires a new request; only full approved receipt changes ownership and custody.</w:t>
      </w:r>
    </w:p>
    <w:p>
      <w:r>
        <w:rPr>
          <w:b/>
        </w:rPr>
        <w:t xml:space="preserve">BR05 Safety and disposition. </w:t>
      </w:r>
      <w:r>
        <w:t>Defects block collection or completion. Cancel affected holds before collection or resolve a receipt dispute afterward. A disposition proposal blocks unallocated units; rejection restores prior eligibility. Executed Donated, Recycled, Disassembled, and Disposed units cannot be allocated.</w:t>
      </w:r>
    </w:p>
    <w:p>
      <w:r>
        <w:rPr>
          <w:b/>
        </w:rPr>
        <w:t xml:space="preserve">BR06 Records. </w:t>
      </w:r>
      <w:r>
        <w:t>Corrections append linked entries with actor, reason, and time. Reassign custody before deactivating accounts. Check authorization at every write. Ownership means the responsible department; custody means the accountable person.</w:t>
      </w:r>
    </w:p>
    <w:p>
      <w:r>
        <w:rPr>
          <w:b/>
        </w:rPr>
        <w:t xml:space="preserve">BR07 Impact. </w:t>
      </w:r>
      <w:r>
        <w:t>Only evidenced completed actions count as realized activity. Calculate totals before AI summarizes them. Preserve unknowns and assumptions; repeated transfers and component recovery cannot inflate unit or impact counts.</w:t>
      </w:r>
    </w:p>
    <w:tbl>
      <w:tblPr>
        <w:tblW w:type="auto" w:w="0"/>
        <w:jc w:val="center"/>
        <w:tblLayout w:type="fixed"/>
        <w:tblLook w:firstColumn="1" w:firstRow="1" w:lastColumn="0" w:lastRow="0" w:noHBand="0" w:noVBand="1" w:val="04A0"/>
      </w:tblPr>
      <w:tblGrid>
        <w:gridCol w:w="1656"/>
        <w:gridCol w:w="8136"/>
      </w:tblGrid>
      <w:tr>
        <w:trPr>
          <w:cantSplit/>
          <w:tblHeader/>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before="40"/>
            </w:pPr>
            <w:r>
              <w:rPr>
                <w:b/>
                <w:sz w:val="19"/>
              </w:rPr>
              <w:t>Object</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before="40"/>
            </w:pPr>
            <w:r>
              <w:rPr>
                <w:b/>
                <w:sz w:val="19"/>
              </w:rPr>
              <w:t>States and required control</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Publication</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Draft → Release pending → Published after approval; rejection returns Draft. Withdrawal retains history.</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Serviceability</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Serviceable → Quarantined or Under service. Human inspection clearance restores Serviceable.</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Transfer</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Awaiting approval → Approved → Collection arranged → Awaiting receipt → Completed. Refused or overdue receipt enters Receipt disputed; units stay blocked.</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Dispute</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Administrator records resolution: receiving acknowledgment completes; evidenced physical return permits cancellation and stock restoration.</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Maintenance</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Reported → Inspection requested → Inspected → Repair approved → In progress → Completed → Closed. Custodian authorizes repair; closure needs outcome, cost or Unknown, and updated condition. Failed repair returns to Inspected or disposition.</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Retirement</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Approved retirement blocks use pending final disposition. Recovered components retain parent links and need their own inspection and release.</w:t>
            </w:r>
          </w:p>
        </w:tc>
      </w:tr>
    </w:tbl>
    <w:p/>
    <w:p>
      <w:r>
        <w:t>The reservation window and receipt procedure are proposed prototype rules to confirm with campus stakeholders. Approved changes update requirements, scenarios, and tests together.</w:t>
      </w:r>
    </w:p>
    <w:p>
      <w:r>
        <w:br w:type="page"/>
      </w:r>
    </w:p>
    <w:p>
      <w:pPr>
        <w:pStyle w:val="Heading1"/>
      </w:pPr>
      <w:r>
        <w:t>4 Data and sustainability measures</w:t>
      </w:r>
    </w:p>
    <w:tbl>
      <w:tblPr>
        <w:tblW w:type="auto" w:w="0"/>
        <w:jc w:val="center"/>
        <w:tblLayout w:type="fixed"/>
        <w:tblLook w:firstColumn="1" w:firstRow="1" w:lastColumn="0" w:lastRow="0" w:noHBand="0" w:noVBand="1" w:val="04A0"/>
      </w:tblPr>
      <w:tblGrid>
        <w:gridCol w:w="2088"/>
        <w:gridCol w:w="7704"/>
      </w:tblGrid>
      <w:tr>
        <w:trPr>
          <w:cantSplit/>
          <w:tblHeader/>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before="40"/>
            </w:pPr>
            <w:r>
              <w:rPr>
                <w:b/>
                <w:sz w:val="19"/>
              </w:rPr>
              <w:t>Record</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before="40"/>
            </w:pPr>
            <w:r>
              <w:rPr>
                <w:b/>
                <w:sz w:val="19"/>
              </w:rPr>
              <w:t>Required fields or links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Asset and unit</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Stable IDs; FR01 metadata; ownership and custody; publication and serviceability; quantities; evidence; component parent.</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Request and hold</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Requester; need fields; chosen asset and held units if any; destination; status; submission and expiry; decisions.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Transfer and service</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Source and destination; arrangements; approval and receipt; service-job state; actions; outcome; date; responsible person; cost or Unknown; evidence.</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Accounts and departments</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Identity; password hash; active state; permission profile; department; assigned custody or jobs.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Audit and notifications</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Actor; event; record ID; time; reason; changes. Notification recipient, event link, time, and read state.</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AI and reporting</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Input snapshots, output, model and prompt identifiers, confidence, review decision; reporting period, contributing IDs, cost and emission sources and assumptions.</w:t>
            </w:r>
          </w:p>
        </w:tc>
      </w:tr>
    </w:tbl>
    <w:p/>
    <w:p>
      <w:pPr>
        <w:pStyle w:val="Heading2"/>
      </w:pPr>
      <w:r>
        <w:t>Measurement definitions</w:t>
      </w:r>
    </w:p>
    <w:p>
      <w:r>
        <w:rPr>
          <w:b/>
        </w:rPr>
        <w:t xml:space="preserve">M01 Avoided purchase and savings. </w:t>
      </w:r>
      <w:r>
        <w:t>Count a completed transfer only when a replacement-purchase case and value are recorded. Net savings = avoided purchase value − transfer − repair − refurbishment costs. Count each cost once. Unknown cost makes net savings unavailable. Example: AED 300 − 20 − 30 − 0 = AED 250; sample cases are hypothetical.</w:t>
      </w:r>
    </w:p>
    <w:p>
      <w:r>
        <w:rPr>
          <w:b/>
        </w:rPr>
        <w:t xml:space="preserve">M02 Reuse. </w:t>
      </w:r>
      <w:r>
        <w:t>For an inclusive date range, the eligible cohort is distinct units available at any point in the range. Reuse rate = distinct cohort units completing reuse transfers ÷ cohort size × 100. Repeated transfers count once; zero denominator is Not applicable.</w:t>
      </w:r>
    </w:p>
    <w:p>
      <w:r>
        <w:rPr>
          <w:b/>
        </w:rPr>
        <w:t xml:space="preserve">M03 Waste diversion. </w:t>
      </w:r>
      <w:r>
        <w:t>Denominator: distinct units completing donation, component recovery, recycling, or disposal in the period. Numerator: the donated, component-recovered, or recycled subset. Rate = numerator ÷ denominator × 100. Count a recovered parent once, not its children again. This is a unit measure, not mass without evidence.</w:t>
      </w:r>
    </w:p>
    <w:p>
      <w:r>
        <w:rPr>
          <w:b/>
        </w:rPr>
        <w:t xml:space="preserve">M04 Carbon reduction. </w:t>
      </w:r>
      <w:r>
        <w:t>For each eligible unit counted once per period, estimated reduction = replacement-scenario kg CO2e − reuse-scenario kg CO2e. Retain factor units, source, and assumptions. Keep negative results; missing factors mean Unavailable. Partial totals show coverage; sample factors are labelled.</w:t>
      </w:r>
    </w:p>
    <w:p>
      <w:r>
        <w:rPr>
          <w:b/>
        </w:rPr>
        <w:t xml:space="preserve">M05 Life extension and repair. </w:t>
      </w:r>
      <w:r>
        <w:t>Record previous and revised expected retirement dates, assessor, and evidence. Estimated extension is the date difference in days; preserve negatives and unknown baselines. Report observed extra service days separately. Count completed repair jobs and distinct repaired units separately.</w:t>
      </w:r>
    </w:p>
    <w:p>
      <w:r>
        <w:t>Period dashboards include available stock, open needs, transfers, repairs, reused units, avoided purchases, savings, diversion, life extension, and carbon coverage. Finance and sustainability officers validate their respective inputs; AI cannot invent missing estimates.</w:t>
      </w:r>
    </w:p>
    <w:p>
      <w:r>
        <w:br w:type="page"/>
      </w:r>
    </w:p>
    <w:p>
      <w:pPr>
        <w:pStyle w:val="Heading1"/>
      </w:pPr>
      <w:r>
        <w:t>5 Roles interfaces and dependencies</w:t>
      </w:r>
    </w:p>
    <w:tbl>
      <w:tblPr>
        <w:tblW w:type="auto" w:w="0"/>
        <w:jc w:val="center"/>
        <w:tblLayout w:type="fixed"/>
        <w:tblLook w:firstColumn="1" w:firstRow="1" w:lastColumn="0" w:lastRow="0" w:noHBand="0" w:noVBand="1" w:val="04A0"/>
      </w:tblPr>
      <w:tblGrid>
        <w:gridCol w:w="2232"/>
        <w:gridCol w:w="7560"/>
      </w:tblGrid>
      <w:tr>
        <w:trPr>
          <w:cantSplit/>
          <w:tblHeader/>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before="40"/>
            </w:pPr>
            <w:r>
              <w:rPr>
                <w:b/>
                <w:sz w:val="19"/>
              </w:rPr>
              <w:t>Permission profile</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before="40"/>
            </w:pPr>
            <w:r>
              <w:rPr>
                <w:b/>
                <w:sz w:val="19"/>
              </w:rPr>
              <w:t>Authorized scope</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Requester</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Search, own requests, matching, assistant; no approval or reporting privilege.</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Department representative</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Submit and view department requests; only creator cancels Pending; no self-approval.</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Asset custodian</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Assigned assets, release proposals, collection and receipt, history, repair authorization, classification and advice.</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Maintenance staff</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Assigned defects, inspections, service jobs, costs, and condition; no publication or disposition approval.</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Workflow administrator</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Release, reservation, transfer, disposition and dispute decisions; operational reports; no account-role administration.</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Procurement officer</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Demand and avoided-purchase reports; validate replacement purchase evidence and value.</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Finance officer</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Financial reports and financial input validation; no custody or condition changes.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Sustainability officer</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Environmental and life-extension evidence and reports; no disposal authorization.</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System administrator</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Accounts, profiles, departments, system audit, recovery; no business approval by this role alone.</w:t>
            </w:r>
          </w:p>
        </w:tc>
      </w:tr>
    </w:tbl>
    <w:p/>
    <w:p>
      <w:pPr>
        <w:pStyle w:val="Heading2"/>
      </w:pPr>
      <w:r>
        <w:t>Interfaces and environment</w:t>
      </w:r>
    </w:p>
    <w:p>
      <w:r>
        <w:t>Provide login, catalogue and registration, requests and approvals, history and service jobs, notifications, assistant, and dashboards. Preserve valid input after errors and confirm state-changing actions. Evidence downloads and notification links recheck permissions. Reports expose only each officer’s authorized fields.</w:t>
      </w:r>
    </w:p>
    <w:p>
      <w:r>
        <w:t>Use a documented Windows or macOS test laptop and tested browsers; record exact runtime and dependency versions during implementation. No special hardware is required. Browser traffic beyond localhost and hosted AI calls use authenticated HTTPS where applicable. Protect sessions from script access and cross-site misuse; reject unauthorized cross-site writes. The database has no public network interface.</w:t>
      </w:r>
    </w:p>
    <w:p>
      <w:r>
        <w:t>AI receives minimum authorized task data. Validate response structures, IDs, categories, facts, and totals; never execute instructions embedded in asset descriptions or returned text. Unsupported evidence or output produces a clear error and manual fallback. Internet and suitable AI service access are dependencies.</w:t>
      </w:r>
    </w:p>
    <w:p>
      <w:pPr>
        <w:pStyle w:val="Heading2"/>
      </w:pPr>
      <w:r>
        <w:t>Open decisions and accountable review</w:t>
      </w:r>
    </w:p>
    <w:p>
      <w:r>
        <w:t>Mohammed confirms campus approval and safety policies and reservation rules. Zayed records software versions and the evaluation environment. Hamed confirms provider access, model identification, supported image and document handling, and service terms. Ali coordinates stakeholder review and acceptance fixtures. Record actual findings; do not assume interviews or approvals occurred.</w:t>
      </w:r>
    </w:p>
    <w:p>
      <w:r>
        <w:t>Management, auditors, and external recipients receive approved outputs without separate prototype profiles. A clean setup guide, role-based instructions, backup procedure, and AI limitations shall accompany implementation.</w:t>
      </w:r>
    </w:p>
    <w:sectPr w:rsidR="00FC693F" w:rsidRPr="0006063C" w:rsidSect="00034616">
      <w:footerReference w:type="default" r:id="rId9"/>
      <w:pgSz w:w="11952" w:h="16848"/>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Campus Item Exchange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14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Item Exchange Phase Three Requirements</dc:title>
  <dc:subject>COSC 336 Requirements Document</dc:subject>
  <dc:creator>Campus Item Exchange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