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
      </w:pPr>
      <w:r>
        <w:t>COSC 336 Introduction to Software Engineering</w:t>
      </w:r>
    </w:p>
    <w:p>
      <w:pPr>
        <w:pStyle w:val="Title"/>
      </w:pPr>
      <w:r>
        <w:t>Feasibility Study Report</w:t>
      </w:r>
    </w:p>
    <w:p>
      <w:r>
        <w:t>Intelligent AI Powered Circular Campus Resource Exchange and Asset Life Cycle Management System</w:t>
      </w:r>
    </w:p>
    <w:p>
      <w:pPr>
        <w:pStyle w:val="Small"/>
      </w:pPr>
      <w:r>
        <w:t>Working name  Campus Item Exchange</w:t>
      </w:r>
    </w:p>
    <w:p/>
    <w:tbl>
      <w:tblPr>
        <w:tblW w:type="auto" w:w="0"/>
        <w:jc w:val="center"/>
        <w:tblLayout w:type="fixed"/>
        <w:tblLook w:firstColumn="1" w:firstRow="1" w:lastColumn="0" w:lastRow="0" w:noHBand="0" w:noVBand="1" w:val="04A0"/>
      </w:tblPr>
      <w:tblGrid>
        <w:gridCol w:w="2131"/>
        <w:gridCol w:w="7560"/>
      </w:tblGrid>
      <w:tr>
        <w:trPr>
          <w:cantSplit/>
          <w:tblHeader/>
        </w:trP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pPr>
            <w:r>
              <w:rPr>
                <w:rFonts w:ascii="Aptos" w:hAnsi="Aptos"/>
                <w:b/>
                <w:color w:val="FFFFFF"/>
                <w:sz w:val="17"/>
              </w:rPr>
              <w:t>Document detail</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pPr>
            <w:r>
              <w:rPr>
                <w:rFonts w:ascii="Aptos" w:hAnsi="Aptos"/>
                <w:b/>
                <w:color w:val="FFFFFF"/>
                <w:sz w:val="17"/>
              </w:rPr>
              <w:t>Information</w:t>
            </w:r>
          </w:p>
        </w:tc>
      </w:tr>
      <w:tr>
        <w:trPr>
          <w:cantSplit/>
        </w:trP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Date</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14 September 2026</w:t>
            </w:r>
          </w:p>
        </w:tc>
      </w:tr>
      <w:tr>
        <w:trPr>
          <w:cantSplit/>
        </w:trP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Prepared by</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Hamed Qayed  100066581</w:t>
              <w:br/>
              <w:t>Zayed Alnuaimi  100063561</w:t>
              <w:br/>
              <w:t>Mohammed Siam  100064837</w:t>
              <w:br/>
              <w:t>Ali Alameri  100066635</w:t>
            </w:r>
          </w:p>
        </w:tc>
      </w:tr>
      <w:tr>
        <w:trPr>
          <w:cantSplit/>
        </w:trP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Prepared for</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COSC 336 lab instructors Natnael Abule and Basima Kurungudan</w:t>
            </w:r>
          </w:p>
        </w:tc>
      </w:tr>
      <w:tr>
        <w:trPr>
          <w:cantSplit/>
        </w:trP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Project phase</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Phase 2  Feasibility study</w:t>
            </w:r>
          </w:p>
        </w:tc>
      </w:tr>
      <w:tr>
        <w:trPr>
          <w:cantSplit/>
        </w:trP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Repository</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github.com/HamedQayed/cosc336-circular-campus-9</w:t>
            </w:r>
          </w:p>
        </w:tc>
      </w:tr>
    </w:tbl>
    <w:p>
      <w:pPr>
        <w:spacing w:after="20" w:before="0" w:line="240" w:lineRule="auto"/>
      </w:pPr>
      <w:r>
        <w:rPr>
          <w:sz w:val="4"/>
        </w:rPr>
      </w:r>
    </w:p>
    <w:p>
      <w:pPr>
        <w:pStyle w:val="Small"/>
      </w:pPr>
      <w:r>
        <w:t>Document basis. This study uses the project README updated 14 September 2026 and the lecture slides on feasibility studies. Features remain planned; costs, workload, and financial examples are assumptions requiring validation.</w:t>
      </w:r>
    </w:p>
    <w:p>
      <w:r>
        <w:br w:type="page"/>
      </w:r>
    </w:p>
    <w:p>
      <w:pPr>
        <w:pStyle w:val="Heading1"/>
      </w:pPr>
      <w:r>
        <w:t>1 Purpose and Overall Assessment</w:t>
      </w:r>
    </w:p>
    <w:p>
      <w:pPr>
        <w:keepLines/>
      </w:pPr>
      <w:r>
        <w:t>This report evaluates whether Campus Item Exchange can be developed within the available technical resources, budget, operational conditions, and course schedule. It follows the feasibility study requirements presented in the lecture slides, including project scope, stakeholders, market analysis, technical and financial analysis, legal considerations, risk assessment, scheduling, and recommendations.</w:t>
      </w:r>
    </w:p>
    <w:p>
      <w:pPr/>
      <w:r>
        <w:t>The assessment supports proceeding with a limited academic prototype. The proposed system has a manageable demonstration scope, but its feasibility depends on confirming team responsibilities, obtaining suitable AI service access, and validating the approval workflow. Features remain planned, and the costs, workload estimates, and financial examples below are planning assumptions rather than measured results.</w:t>
      </w:r>
    </w:p>
    <w:p>
      <w:pPr>
        <w:pStyle w:val="Heading1"/>
      </w:pPr>
      <w:r>
        <w:t>2 Project Scope and Objectives</w:t>
      </w:r>
    </w:p>
    <w:p>
      <w:pPr>
        <w:keepLines/>
      </w:pPr>
      <w:r>
        <w:t>Campus Item Exchange is a university website that allows departments to publish unused resources, request available items, and complete transfers through an approval process. It also records maintenance and final disposition, helping users track assets throughout their life cycle.</w:t>
      </w:r>
    </w:p>
    <w:p>
      <w:pPr/>
      <w:r>
        <w:t>The prototype will cover one campus, two sample departments, approximately 20 sample items, and three login roles: staff, asset custodian, and administrator. Initial demonstration items will include chairs, books, and monitors.</w:t>
      </w:r>
    </w:p>
    <w:p>
      <w:pPr/>
      <w:r>
        <w:t>The objectives are to improve visibility of available resources, support reuse between departments, maintain reliable asset histories, and demonstrate how AI can assist users with resource management. The intended deliverables include:</w:t>
      </w:r>
    </w:p>
    <w:p>
      <w:pPr>
        <w:pStyle w:val="ListBullet"/>
      </w:pPr>
      <w:r>
        <w:t>Asset registration, publication, search, requests, and reservations.</w:t>
      </w:r>
    </w:p>
    <w:p>
      <w:pPr>
        <w:pStyle w:val="ListBullet"/>
      </w:pPr>
      <w:r>
        <w:t>Administrative approvals and custodian confirmation of handovers.</w:t>
      </w:r>
    </w:p>
    <w:p>
      <w:pPr>
        <w:pStyle w:val="ListBullet"/>
      </w:pPr>
      <w:r>
        <w:t>Records of inspections, maintenance, repairs, refurbishment, donation, recycling, and disposal.</w:t>
      </w:r>
    </w:p>
    <w:p>
      <w:pPr>
        <w:pStyle w:val="ListBullet"/>
      </w:pPr>
      <w:r>
        <w:t>Login, role permissions, and logs of important changes.</w:t>
      </w:r>
    </w:p>
    <w:p>
      <w:pPr>
        <w:pStyle w:val="ListBullet"/>
      </w:pPr>
      <w:r>
        <w:t>All five required AI functions: resource matching, asset classification, sustainability advice, a natural language assistant, and generated activity reports.</w:t>
      </w:r>
    </w:p>
    <w:p>
      <w:pPr>
        <w:pStyle w:val="ListBullet"/>
      </w:pPr>
      <w:r>
        <w:t>Supporting requirements, design documentation, test cases, and a final demonstration.</w:t>
      </w:r>
    </w:p>
    <w:p>
      <w:pPr/>
      <w:r>
        <w:t>Public sales, online payments, physical delivery services, and automatic disposal are outside the proposed scope. University-system integration, campus-wide deployment, and historical demand prediction require further review against the full course specification before their scope is finalized.</w:t>
      </w:r>
    </w:p>
    <w:p>
      <w:pPr>
        <w:pStyle w:val="Heading1"/>
      </w:pPr>
      <w:r>
        <w:t>3 Stakeholders and Their Requirements</w:t>
      </w:r>
    </w:p>
    <w:p>
      <w:pPr>
        <w:keepNext/>
        <w:keepLines/>
      </w:pPr>
      <w:r>
        <w:t>The system affects both its direct users and the groups responsible for campus assets and reporting.</w:t>
      </w:r>
    </w:p>
    <w:tbl>
      <w:tblPr>
        <w:tblW w:type="auto" w:w="0"/>
        <w:jc w:val="center"/>
        <w:tblLayout w:type="fixed"/>
        <w:tblLook w:firstColumn="1" w:firstRow="1" w:lastColumn="0" w:lastRow="0" w:noHBand="0" w:noVBand="1" w:val="04A0"/>
      </w:tblPr>
      <w:tblGrid>
        <w:gridCol w:w="2952"/>
        <w:gridCol w:w="6739"/>
      </w:tblGrid>
      <w:tr>
        <w:trPr>
          <w:cantSplit/>
          <w:tblHeader/>
        </w:trPr>
        <w:tc>
          <w:tcPr>
            <w:tcW w:type="dxa" w:w="295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pPr>
            <w:r>
              <w:rPr>
                <w:rFonts w:ascii="Aptos" w:hAnsi="Aptos"/>
                <w:b/>
                <w:color w:val="FFFFFF"/>
                <w:sz w:val="17"/>
              </w:rPr>
              <w:t>Stakeholder</w:t>
            </w:r>
          </w:p>
        </w:tc>
        <w:tc>
          <w:tcPr>
            <w:tcW w:type="dxa" w:w="67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pPr>
            <w:r>
              <w:rPr>
                <w:rFonts w:ascii="Aptos" w:hAnsi="Aptos"/>
                <w:b/>
                <w:color w:val="FFFFFF"/>
                <w:sz w:val="17"/>
              </w:rPr>
              <w:t>Main requirements and expectations</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Staff and requesting departments</w:t>
            </w:r>
          </w:p>
        </w:tc>
        <w:tc>
          <w:tcPr>
            <w:tcW w:type="dxa" w:w="67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Search available resources, submit requests, see request status, and receive understandable assistance.</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Asset custodians, including assigned Facilities and IT staff</w:t>
            </w:r>
          </w:p>
        </w:tc>
        <w:tc>
          <w:tcPr>
            <w:tcW w:type="dxa" w:w="67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Maintain accurate asset information, publish availability, confirm handovers, and record maintenance and life-cycle events.</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Administrators</w:t>
            </w:r>
          </w:p>
        </w:tc>
        <w:tc>
          <w:tcPr>
            <w:tcW w:type="dxa" w:w="67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Manage accounts, approve or reject requests with reasons, approve final disposition, and review activity.</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Finance staff</w:t>
            </w:r>
          </w:p>
        </w:tc>
        <w:tc>
          <w:tcPr>
            <w:tcW w:type="dxa" w:w="67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Receive traceable purchase-avoidance and net-savings calculations.</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Sustainability staff</w:t>
            </w:r>
          </w:p>
        </w:tc>
        <w:tc>
          <w:tcPr>
            <w:tcW w:type="dxa" w:w="67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Receive clearly explained reuse, waste-diversion, and carbon estimates.</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Management and auditors</w:t>
            </w:r>
          </w:p>
        </w:tc>
        <w:tc>
          <w:tcPr>
            <w:tcW w:type="dxa" w:w="67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Review ownership, custody, approvals, and asset histories.</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Donation and recycling partners</w:t>
            </w:r>
          </w:p>
        </w:tc>
        <w:tc>
          <w:tcPr>
            <w:tcW w:type="dxa" w:w="67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Receive approved handover information, with confirmations recorded by campus staff.</w:t>
            </w:r>
          </w:p>
        </w:tc>
      </w:tr>
      <w:tr>
        <w:trPr>
          <w:cantSplit/>
        </w:trPr>
        <w:tc>
          <w:tcPr>
            <w:tcW w:type="dxa" w:w="295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Project team, instructor, and lab engineer</w:t>
            </w:r>
          </w:p>
        </w:tc>
        <w:tc>
          <w:tcPr>
            <w:tcW w:type="dxa" w:w="67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Maintain a realistic scope, assessable deliverables, reliable demonstrations, and documented contributions.</w:t>
            </w:r>
          </w:p>
        </w:tc>
      </w:tr>
    </w:tbl>
    <w:p>
      <w:pPr>
        <w:spacing w:after="20" w:before="0" w:line="240" w:lineRule="auto"/>
      </w:pPr>
      <w:r>
        <w:rPr>
          <w:sz w:val="4"/>
        </w:rPr>
      </w:r>
    </w:p>
    <w:p>
      <w:pPr/>
      <w:r>
        <w:t>These requirements are derived from the README; they are not confirmed interview findings. The team should consult representative staff, custodians, and an administrator to verify approval authority, reservation rules, handover responsibilities, and reporting expectations. Finance and sustainability representatives should also review the proposed calculation methods.</w:t>
      </w:r>
    </w:p>
    <w:p>
      <w:pPr>
        <w:pStyle w:val="Heading1"/>
      </w:pPr>
      <w:r>
        <w:t>4 Market Demand and Alternatives</w:t>
      </w:r>
    </w:p>
    <w:p>
      <w:pPr>
        <w:keepLines/>
      </w:pPr>
      <w:r>
        <w:t>The project addresses a plausible institutional need: a department may purchase an item without knowing that another department already has a suitable unused resource. A shared catalogue could improve visibility and make reuse easier to coordinate. However, the supplied materials do not establish how frequently this problem occurs at the target university.</w:t>
      </w:r>
    </w:p>
    <w:p>
      <w:pPr/>
      <w:r>
        <w:t xml:space="preserve">Existing university reuse operations support the relevance of the concept. Stanford University, for example, operates a surplus-property programme covering reutilization, recycling, and disposal, with an application for excess-property requests and reuse. This demonstrates an established university use case, although it does not prove local demand. </w:t>
      </w:r>
      <w:hyperlink r:id="rId11">
        <w:r>
          <w:rPr>
            <w:color w:val="243B53"/>
            <w:u w:val="single"/>
          </w:rPr>
          <w:t>Stanford Surplus Property Overview</w:t>
        </w:r>
      </w:hyperlink>
      <w:r>
        <w:t>.</w:t>
      </w:r>
    </w:p>
    <w:p>
      <w:pPr>
        <w:keepNext/>
      </w:pPr>
      <w:r>
        <w:t>The following alternatives should be considered:</w:t>
      </w:r>
    </w:p>
    <w:tbl>
      <w:tblPr>
        <w:tblW w:type="auto" w:w="0"/>
        <w:jc w:val="center"/>
        <w:tblLayout w:type="fixed"/>
        <w:tblLook w:firstColumn="1" w:firstRow="1" w:lastColumn="0" w:lastRow="0" w:noHBand="0" w:noVBand="1" w:val="04A0"/>
      </w:tblPr>
      <w:tblGrid>
        <w:gridCol w:w="2160"/>
        <w:gridCol w:w="2880"/>
        <w:gridCol w:w="4651"/>
      </w:tblGrid>
      <w:tr>
        <w:trPr>
          <w:cantSplit/>
          <w:tblHeader/>
        </w:trPr>
        <w:tc>
          <w:tcPr>
            <w:tcW w:type="dxa" w:w="21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pPr>
            <w:r>
              <w:rPr>
                <w:rFonts w:ascii="Aptos" w:hAnsi="Aptos"/>
                <w:b/>
                <w:color w:val="FFFFFF"/>
                <w:sz w:val="17"/>
              </w:rPr>
              <w:t>Alternative</w:t>
            </w:r>
          </w:p>
        </w:tc>
        <w:tc>
          <w:tcPr>
            <w:tcW w:type="dxa" w:w="288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pPr>
            <w:r>
              <w:rPr>
                <w:rFonts w:ascii="Aptos" w:hAnsi="Aptos"/>
                <w:b/>
                <w:color w:val="FFFFFF"/>
                <w:sz w:val="17"/>
              </w:rPr>
              <w:t>Potential advantages</w:t>
            </w:r>
          </w:p>
        </w:tc>
        <w:tc>
          <w:tcPr>
            <w:tcW w:type="dxa" w:w="465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pPr>
            <w:r>
              <w:rPr>
                <w:rFonts w:ascii="Aptos" w:hAnsi="Aptos"/>
                <w:b/>
                <w:color w:val="FFFFFF"/>
                <w:sz w:val="17"/>
              </w:rPr>
              <w:t>Limitations or questions for this project</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Email and shared spreadsheets</w:t>
            </w:r>
          </w:p>
        </w:tc>
        <w:tc>
          <w:tcPr>
            <w:tcW w:type="dxa" w:w="288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Familiar tools with limited initial setup.</w:t>
            </w:r>
          </w:p>
        </w:tc>
        <w:tc>
          <w:tcPr>
            <w:tcW w:type="dxa" w:w="465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Approval history, reservations, and current availability would require manual coordination unless additional controls are developed.</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An existing university asset system</w:t>
            </w:r>
          </w:p>
        </w:tc>
        <w:tc>
          <w:tcPr>
            <w:tcW w:type="dxa" w:w="288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Could provide established records and institutional support.</w:t>
            </w:r>
          </w:p>
        </w:tc>
        <w:tc>
          <w:tcPr>
            <w:tcW w:type="dxa" w:w="465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Its availability and support for departmental exchange have not been confirmed.</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A commercial reuse platform</w:t>
            </w:r>
          </w:p>
        </w:tc>
        <w:tc>
          <w:tcPr>
            <w:tcW w:type="dxa" w:w="288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Offers an existing product that may reduce development work.</w:t>
            </w:r>
          </w:p>
        </w:tc>
        <w:tc>
          <w:tcPr>
            <w:tcW w:type="dxa" w:w="465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Pricing, procurement, data handling, and institutional fit require assessment.</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Campus Item Exchange</w:t>
            </w:r>
          </w:p>
        </w:tc>
        <w:tc>
          <w:tcPr>
            <w:tcW w:type="dxa" w:w="288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Can be tailored to the course requirements and the proposed three-role workflow.</w:t>
            </w:r>
          </w:p>
        </w:tc>
        <w:tc>
          <w:tcPr>
            <w:tcW w:type="dxa" w:w="465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Requires development, testing, maintenance, and validation before operational use.</w:t>
            </w:r>
          </w:p>
        </w:tc>
      </w:tr>
    </w:tbl>
    <w:p>
      <w:pPr>
        <w:spacing w:after="20" w:before="0" w:line="240" w:lineRule="auto"/>
      </w:pPr>
      <w:r>
        <w:rPr>
          <w:sz w:val="4"/>
        </w:rPr>
      </w:r>
    </w:p>
    <w:p>
      <w:pPr/>
      <w:r>
        <w:t xml:space="preserve">Rheaply is a relevant commercial comparison because it advertises internal reuse, asset information, approval workflows, access controls, and sustainability reporting. Therefore, Campus Item Exchange should justify its value through its focused academic scope and university-specific workflow rather than claim that the concept is unique. </w:t>
      </w:r>
      <w:hyperlink r:id="rId12">
        <w:r>
          <w:rPr>
            <w:color w:val="243B53"/>
            <w:u w:val="single"/>
          </w:rPr>
          <w:t>Rheaply Internal Reuse</w:t>
        </w:r>
      </w:hyperlink>
      <w:r>
        <w:t>.</w:t>
      </w:r>
    </w:p>
    <w:p>
      <w:pPr/>
      <w:r>
        <w:t>Local demand should be assessed by asking the two proposed departments about unused items, recent purchases, current exchange procedures, and willingness to maintain listings. Market feasibility is promising for a prototype, while wider adoption remains unverified.</w:t>
      </w:r>
    </w:p>
    <w:p>
      <w:pPr>
        <w:pStyle w:val="Heading1"/>
      </w:pPr>
      <w:r>
        <w:t>5 Technical Feasibility</w:t>
      </w:r>
    </w:p>
    <w:p>
      <w:pPr>
        <w:keepLines/>
      </w:pPr>
      <w:r>
        <w:t>The proposed architecture uses Python with Flask, HTML templates and CSS, SQLite, and one hosted AI service accessed through a small Python helper module. Keeping the pages, application logic, and database access within one application reduces the number of components the team must coordinate.</w:t>
      </w:r>
    </w:p>
    <w:p>
      <w:pPr/>
      <w:r>
        <w:t xml:space="preserve">SQLite is suitable for evaluating a small local prototype because it does not require a separate database server. Flask's documentation notes that simultaneous database writes are handled sequentially, so increased usage would require reassessing database performance. The proposed 20-item demonstration is a reasonable starting point, subject to testing. </w:t>
      </w:r>
      <w:hyperlink r:id="rId13">
        <w:r>
          <w:rPr>
            <w:color w:val="243B53"/>
            <w:u w:val="single"/>
          </w:rPr>
          <w:t>Flask Database Tutorial</w:t>
        </w:r>
      </w:hyperlink>
      <w:r>
        <w:t>.</w:t>
      </w:r>
    </w:p>
    <w:p>
      <w:pPr/>
      <w:r>
        <w:t>Required resources include existing development computers, a browser, Python, Git, repository access, and internet access for the hosted AI service. Local model training and specialized AI hardware are not part of the proposed design.</w:t>
      </w:r>
    </w:p>
    <w:p>
      <w:pPr/>
      <w:r>
        <w:t>The team will need skills in Python, Flask, HTML and CSS, relational data modelling, authentication, API integration, testing, and Git collaboration. These capabilities should be checked through an early working example that registers an item, stores it, retrieves it, and calls the proposed AI service.</w:t>
      </w:r>
    </w:p>
    <w:p>
      <w:pPr>
        <w:keepNext/>
      </w:pPr>
      <w:r>
        <w:t>The five AI functions can share the same service:</w:t>
      </w:r>
    </w:p>
    <w:tbl>
      <w:tblPr>
        <w:tblW w:type="auto" w:w="0"/>
        <w:jc w:val="center"/>
        <w:tblLayout w:type="fixed"/>
        <w:tblLook w:firstColumn="1" w:firstRow="1" w:lastColumn="0" w:lastRow="0" w:noHBand="0" w:noVBand="1" w:val="04A0"/>
      </w:tblPr>
      <w:tblGrid>
        <w:gridCol w:w="2160"/>
        <w:gridCol w:w="7531"/>
      </w:tblGrid>
      <w:tr>
        <w:trPr>
          <w:cantSplit/>
          <w:tblHeader/>
        </w:trPr>
        <w:tc>
          <w:tcPr>
            <w:tcW w:type="dxa" w:w="21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pPr>
            <w:r>
              <w:rPr>
                <w:rFonts w:ascii="Aptos" w:hAnsi="Aptos"/>
                <w:b/>
                <w:color w:val="FFFFFF"/>
                <w:sz w:val="17"/>
              </w:rPr>
              <w:t>AI function</w:t>
            </w:r>
          </w:p>
        </w:tc>
        <w:tc>
          <w:tcPr>
            <w:tcW w:type="dxa" w:w="75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pPr>
            <w:r>
              <w:rPr>
                <w:rFonts w:ascii="Aptos" w:hAnsi="Aptos"/>
                <w:b/>
                <w:color w:val="FFFFFF"/>
                <w:sz w:val="17"/>
              </w:rPr>
              <w:t>Proposed implementation and control</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Resource matching</w:t>
            </w:r>
          </w:p>
        </w:tc>
        <w:tc>
          <w:tcPr>
            <w:tcW w:type="dxa" w:w="75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Suggest up to three suitable available items with reasons. Application code must enforce availability, permissions, and required compatibility constraints.</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Asset classification</w:t>
            </w:r>
          </w:p>
        </w:tc>
        <w:tc>
          <w:tcPr>
            <w:tcW w:type="dxa" w:w="75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Suggest categories, tags, and improved descriptions for custodian review. Unknown specifications must remain unknown.</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Sustainability advice</w:t>
            </w:r>
          </w:p>
        </w:tc>
        <w:tc>
          <w:tcPr>
            <w:tcW w:type="dxa" w:w="75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Suggest suitable life-cycle actions using available evidence, identify missing information, and leave decisions to authorized staff.</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Natural language assistant</w:t>
            </w:r>
          </w:p>
        </w:tc>
        <w:tc>
          <w:tcPr>
            <w:tcW w:type="dxa" w:w="75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Help users search authorized records, prepare requests, and navigate the website. Submission requires user confirmation.</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Generated activity reports</w:t>
            </w:r>
          </w:p>
        </w:tc>
        <w:tc>
          <w:tcPr>
            <w:tcW w:type="dxa" w:w="75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Summarize totals calculated by application code and clearly identify assumptions and unavailable estimates.</w:t>
            </w:r>
          </w:p>
        </w:tc>
      </w:tr>
    </w:tbl>
    <w:p>
      <w:pPr>
        <w:spacing w:after="20" w:before="0" w:line="240" w:lineRule="auto"/>
      </w:pPr>
      <w:r>
        <w:rPr>
          <w:sz w:val="4"/>
        </w:rPr>
      </w:r>
    </w:p>
    <w:p>
      <w:pPr/>
      <w:r>
        <w:t>The most important technical challenges are preventing excessive reservations, enforcing permissions, and maintaining correct transfer states. Competing requests must not allocate more stock than is available. Ownership, custody, and location should change only after the required approval and confirmed handover.</w:t>
      </w:r>
    </w:p>
    <w:p>
      <w:pPr/>
      <w:r>
        <w:t>Technical feasibility is conditional on successfully demonstrating these controls and verifying AI service access, response quality, cost, and data handling. Ordinary search, requests, and asset records must remain usable during AI outages.</w:t>
      </w:r>
    </w:p>
    <w:p>
      <w:pPr>
        <w:pStyle w:val="Heading1"/>
      </w:pPr>
      <w:r>
        <w:t>6 Operational Feasibility</w:t>
      </w:r>
    </w:p>
    <w:p>
      <w:pPr>
        <w:keepLines/>
      </w:pPr>
      <w:r>
        <w:t>The planned workflow assigns clear responsibilities. A custodian publishes an available item, a staff member requests it, an administrator approves or rejects the request, and a custodian confirms the completed handover. The system then updates the relevant records and retains the history.</w:t>
      </w:r>
    </w:p>
    <w:p>
      <w:pPr/>
      <w:r>
        <w:t>This workflow is operationally plausible because it preserves human responsibility for asset decisions. Its effectiveness will depend on users maintaining accurate information and responding to requests promptly. Incorrect quantities, outdated locations, or unrecorded handovers could reduce trust in the system.</w:t>
      </w:r>
    </w:p>
    <w:p>
      <w:pPr/>
      <w:r>
        <w:t>The pilot should therefore identify a responsible custodian in each sample department, define how often listings are reviewed, and agree on procedures for expired reservations, cancelled requests, and unsuccessful handovers. These procedures remain requirements to confirm.</w:t>
      </w:r>
    </w:p>
    <w:p>
      <w:pPr/>
      <w:r>
        <w:t>A short orientation and clear forms should support adoption. The README proposes that at least four of five representative test users should submit an item request without assistance. Achieving this target would provide initial usability evidence, although a small test would not establish readiness for campus-wide deployment.</w:t>
      </w:r>
    </w:p>
    <w:p>
      <w:pPr>
        <w:pStyle w:val="Heading1"/>
      </w:pPr>
      <w:r>
        <w:t>7 Financial and Economic Feasibility</w:t>
      </w:r>
    </w:p>
    <w:p>
      <w:pPr>
        <w:keepLines/>
      </w:pPr>
      <w:r>
        <w:t>The project is expected to have modest direct expenditure if it uses existing computers and a local demonstration environment. Student development time remains a substantial resource even when no salaries are paid.</w:t>
      </w:r>
    </w:p>
    <w:p>
      <w:pPr>
        <w:keepNext/>
      </w:pPr>
      <w:r>
        <w:t>The following budget is an illustrative allowance for the course prototype, not a supplier quotation or an approved budget.</w:t>
      </w:r>
    </w:p>
    <w:tbl>
      <w:tblPr>
        <w:tblW w:type="auto" w:w="0"/>
        <w:jc w:val="center"/>
        <w:tblLayout w:type="fixed"/>
        <w:tblLook w:firstColumn="1" w:firstRow="1" w:lastColumn="0" w:lastRow="0" w:noHBand="0" w:noVBand="1" w:val="04A0"/>
      </w:tblPr>
      <w:tblGrid>
        <w:gridCol w:w="5976"/>
        <w:gridCol w:w="3715"/>
      </w:tblGrid>
      <w:tr>
        <w:trPr>
          <w:cantSplit/>
          <w:tblHeader/>
        </w:trPr>
        <w:tc>
          <w:tcPr>
            <w:tcW w:type="dxa" w:w="597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pPr>
            <w:r>
              <w:rPr>
                <w:rFonts w:ascii="Aptos" w:hAnsi="Aptos"/>
                <w:b/>
                <w:color w:val="FFFFFF"/>
                <w:sz w:val="17"/>
              </w:rPr>
              <w:t>Cost item</w:t>
            </w:r>
          </w:p>
        </w:tc>
        <w:tc>
          <w:tcPr>
            <w:tcW w:type="dxa" w:w="371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pPr>
            <w:r>
              <w:rPr>
                <w:rFonts w:ascii="Aptos" w:hAnsi="Aptos"/>
                <w:b/>
                <w:color w:val="FFFFFF"/>
                <w:sz w:val="17"/>
              </w:rPr>
              <w:t>Proposed allowance</w:t>
            </w:r>
          </w:p>
        </w:tc>
      </w:tr>
      <w:tr>
        <w:trPr>
          <w:cantSplit/>
        </w:trPr>
        <w:tc>
          <w:tcPr>
            <w:tcW w:type="dxa" w:w="597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Existing development computers</w:t>
            </w:r>
          </w:p>
        </w:tc>
        <w:tc>
          <w:tcPr>
            <w:tcW w:type="dxa" w:w="371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AED 0 additional expenditure</w:t>
            </w:r>
          </w:p>
        </w:tc>
      </w:tr>
      <w:tr>
        <w:trPr>
          <w:cantSplit/>
        </w:trPr>
        <w:tc>
          <w:tcPr>
            <w:tcW w:type="dxa" w:w="597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Local application and database environment</w:t>
            </w:r>
          </w:p>
        </w:tc>
        <w:tc>
          <w:tcPr>
            <w:tcW w:type="dxa" w:w="371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AED 0 additional expenditure assumed</w:t>
            </w:r>
          </w:p>
        </w:tc>
      </w:tr>
      <w:tr>
        <w:trPr>
          <w:cantSplit/>
        </w:trPr>
        <w:tc>
          <w:tcPr>
            <w:tcW w:type="dxa" w:w="597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Hosted AI service usage</w:t>
            </w:r>
          </w:p>
        </w:tc>
        <w:tc>
          <w:tcPr>
            <w:tcW w:type="dxa" w:w="371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AED 300</w:t>
            </w:r>
          </w:p>
        </w:tc>
      </w:tr>
      <w:tr>
        <w:trPr>
          <w:cantSplit/>
        </w:trPr>
        <w:tc>
          <w:tcPr>
            <w:tcW w:type="dxa" w:w="597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Optional demonstration hosting</w:t>
            </w:r>
          </w:p>
        </w:tc>
        <w:tc>
          <w:tcPr>
            <w:tcW w:type="dxa" w:w="371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AED 100</w:t>
            </w:r>
          </w:p>
        </w:tc>
      </w:tr>
      <w:tr>
        <w:trPr>
          <w:cantSplit/>
        </w:trPr>
        <w:tc>
          <w:tcPr>
            <w:tcW w:type="dxa" w:w="597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Contingency</w:t>
            </w:r>
          </w:p>
        </w:tc>
        <w:tc>
          <w:tcPr>
            <w:tcW w:type="dxa" w:w="371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AED 100</w:t>
            </w:r>
          </w:p>
        </w:tc>
      </w:tr>
      <w:tr>
        <w:trPr>
          <w:cantSplit/>
        </w:trPr>
        <w:tc>
          <w:tcPr>
            <w:tcW w:type="dxa" w:w="597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b/>
                <w:color w:val="000000"/>
                <w:sz w:val="17"/>
              </w:rPr>
              <w:t>Total proposed cash budget</w:t>
            </w:r>
          </w:p>
        </w:tc>
        <w:tc>
          <w:tcPr>
            <w:tcW w:type="dxa" w:w="371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b/>
                <w:color w:val="000000"/>
                <w:sz w:val="17"/>
              </w:rPr>
              <w:t>AED 500</w:t>
            </w:r>
          </w:p>
        </w:tc>
      </w:tr>
    </w:tbl>
    <w:p>
      <w:pPr>
        <w:spacing w:after="20" w:before="0" w:line="240" w:lineRule="auto"/>
      </w:pPr>
      <w:r>
        <w:rPr>
          <w:sz w:val="4"/>
        </w:rPr>
      </w:r>
    </w:p>
    <w:p>
      <w:pPr/>
      <w:r>
        <w:t>The team should verify actual service charges before choosing a provider, monitor usage, and set an expenditure limit. The estimate excludes production support, institutional integration, and campus-wide deployment.</w:t>
      </w:r>
    </w:p>
    <w:p>
      <w:pPr/>
      <w:r>
        <w:t xml:space="preserve">An initial workload assumption is four members contributing five hours per week over ten working weeks, giving approximately </w:t>
      </w:r>
      <w:r>
        <w:rPr>
          <w:b/>
        </w:rPr>
        <w:t>200 person-hours</w:t>
      </w:r>
      <w:r>
        <w:t>. At an illustrative valuation of AED 30 per hour, this represents AED 6,000 of labour and an overall economic cost of AED 6,500 when added to the cash budget. Both the workload and hourly value are assumptions requiring review.</w:t>
      </w:r>
    </w:p>
    <w:p>
      <w:pPr/>
      <w:r>
        <w:t>The expected financial benefit is avoided purchasing. Following the README:</w:t>
      </w:r>
    </w:p>
    <w:p>
      <w:pPr/>
      <w:r>
        <w:rPr>
          <w:b/>
        </w:rPr>
        <w:t>Net savings = avoided purchase cost - transfer cost - repair cost - refurbishment cost.</w:t>
      </w:r>
    </w:p>
    <w:p>
      <w:pPr/>
      <w:r>
        <w:t>For illustration, suppose five transfers each replace a hypothetical AED 300 purchase. Avoided purchases would total AED 1,500. If associated transfer and repair costs total AED 250, net savings would be AED 1,250.</w:t>
      </w:r>
    </w:p>
    <w:p>
      <w:pPr/>
      <w:r>
        <w:t>Using the AED 500 cash budget, the illustrative cash-based return would be:</w:t>
      </w:r>
    </w:p>
    <w:p>
      <w:pPr/>
      <w:r>
        <w:rPr>
          <w:b/>
        </w:rPr>
        <w:t>ROI = (1,250 - 500) / 500 x 100 = 150%.</w:t>
      </w:r>
    </w:p>
    <w:p>
      <w:pPr/>
      <w:r>
        <w:t>Including the illustrative labour cost gives:</w:t>
      </w:r>
    </w:p>
    <w:p>
      <w:pPr/>
      <w:r>
        <w:rPr>
          <w:b/>
        </w:rPr>
        <w:t>ROI = (1,250 - 6,500) / 6,500 x 100 = approximately -80.8%.</w:t>
      </w:r>
    </w:p>
    <w:p>
      <w:pPr/>
      <w:r>
        <w:t>These examples demonstrate the calculation method, not an expected or achieved university return. A credible operational ROI requires verified purchase values, transfer volumes, development costs, and ongoing support costs. The academic prototype also provides educational benefits through practical experience in requirements, design, implementation, testing, and teamwork.</w:t>
      </w:r>
    </w:p>
    <w:p>
      <w:pPr>
        <w:pStyle w:val="Heading1"/>
      </w:pPr>
      <w:r>
        <w:t>8 Legal and Regulatory Considerations</w:t>
      </w:r>
    </w:p>
    <w:p>
      <w:pPr>
        <w:keepLines/>
      </w:pPr>
      <w:r>
        <w:t xml:space="preserve">Before real campus data is introduced, the university should determine which privacy requirements apply to the institution and its proposed processing activities. The UAE Government's data-protection overview is a starting point for that review; this feasibility study does not establish compliance. </w:t>
      </w:r>
      <w:hyperlink r:id="rId14">
        <w:r>
          <w:rPr>
            <w:color w:val="243B53"/>
            <w:u w:val="single"/>
          </w:rPr>
          <w:t>UAE Government Data Protection Overview</w:t>
        </w:r>
      </w:hyperlink>
      <w:r>
        <w:t>.</w:t>
      </w:r>
    </w:p>
    <w:p>
      <w:pPr/>
      <w:r>
        <w:t>For the prototype, the proposed approach is to use clearly labelled synthetic records and collect only information needed for the demonstration. Role permissions should restrict access, and the AI service should receive only the minimum authorized information needed for each task. Provider retention terms, processing location, and permitted uses of submitted data must be reviewed before sending real information.</w:t>
      </w:r>
    </w:p>
    <w:p>
      <w:pPr/>
      <w:r>
        <w:t>Intellectual property also requires attention. The README states that the project uses the MIT licence, but the repository's actual licence file still needs confirmation. The team should review third-party package licences, preserve required notices, and follow course rules on attribution and disclosure of AI assistance.</w:t>
      </w:r>
    </w:p>
    <w:p>
      <w:pPr/>
      <w:r>
        <w:t>The software must also respect university authority over asset transfers, donations, recycling, and disposal. An AI recommendation cannot authorize these actions. Relevant campus policies and approval responsibilities must be confirmed before operational use.</w:t>
      </w:r>
    </w:p>
    <w:p>
      <w:pPr>
        <w:pStyle w:val="Heading1"/>
      </w:pPr>
      <w:r>
        <w:t>9 Risk Assessment</w:t>
      </w:r>
    </w:p>
    <w:p>
      <w:pPr>
        <w:keepNext/>
        <w:keepLines/>
      </w:pPr>
      <w:r>
        <w:t>The following likelihood and impact ratings are preliminary planning judgments.</w:t>
      </w:r>
    </w:p>
    <w:tbl>
      <w:tblPr>
        <w:tblW w:type="auto" w:w="0"/>
        <w:jc w:val="center"/>
        <w:tblLayout w:type="fixed"/>
        <w:tblLook w:firstColumn="1" w:firstRow="1" w:lastColumn="0" w:lastRow="0" w:noHBand="0" w:noVBand="1" w:val="04A0"/>
      </w:tblPr>
      <w:tblGrid>
        <w:gridCol w:w="2232"/>
        <w:gridCol w:w="1224"/>
        <w:gridCol w:w="1008"/>
        <w:gridCol w:w="5227"/>
      </w:tblGrid>
      <w:tr>
        <w:trPr>
          <w:cantSplit/>
          <w:tblHeader/>
        </w:trPr>
        <w:tc>
          <w:tcPr>
            <w:tcW w:type="dxa" w:w="223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pPr>
            <w:r>
              <w:rPr>
                <w:rFonts w:ascii="Aptos" w:hAnsi="Aptos"/>
                <w:b/>
                <w:color w:val="FFFFFF"/>
                <w:sz w:val="17"/>
              </w:rPr>
              <w:t>Risk</w:t>
            </w:r>
          </w:p>
        </w:tc>
        <w:tc>
          <w:tcPr>
            <w:tcW w:type="dxa" w:w="122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jc w:val="center"/>
            </w:pPr>
            <w:r>
              <w:rPr>
                <w:rFonts w:ascii="Aptos" w:hAnsi="Aptos"/>
                <w:b/>
                <w:color w:val="FFFFFF"/>
                <w:sz w:val="17"/>
              </w:rPr>
              <w:t>Likelihood</w:t>
            </w:r>
          </w:p>
        </w:tc>
        <w:tc>
          <w:tcPr>
            <w:tcW w:type="dxa" w:w="100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jc w:val="center"/>
            </w:pPr>
            <w:r>
              <w:rPr>
                <w:rFonts w:ascii="Aptos" w:hAnsi="Aptos"/>
                <w:b/>
                <w:color w:val="FFFFFF"/>
                <w:sz w:val="17"/>
              </w:rPr>
              <w:t>Impact</w:t>
            </w:r>
          </w:p>
        </w:tc>
        <w:tc>
          <w:tcPr>
            <w:tcW w:type="dxa" w:w="522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pPr>
            <w:r>
              <w:rPr>
                <w:rFonts w:ascii="Aptos" w:hAnsi="Aptos"/>
                <w:b/>
                <w:color w:val="FFFFFF"/>
                <w:sz w:val="17"/>
              </w:rPr>
              <w:t>Mitigation and contingency</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Incorrect or unsupported AI output</w:t>
            </w:r>
          </w:p>
        </w:tc>
        <w:tc>
          <w:tcPr>
            <w:tcW w:type="dxa" w:w="122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jc w:val="center"/>
            </w:pPr>
            <w:r>
              <w:rPr>
                <w:rFonts w:ascii="Aptos" w:hAnsi="Aptos"/>
                <w:color w:val="000000"/>
                <w:sz w:val="17"/>
              </w:rPr>
              <w:t>Medium</w:t>
            </w:r>
          </w:p>
        </w:tc>
        <w:tc>
          <w:tcPr>
            <w:tcW w:type="dxa" w:w="100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jc w:val="center"/>
            </w:pPr>
            <w:r>
              <w:rPr>
                <w:rFonts w:ascii="Aptos" w:hAnsi="Aptos"/>
                <w:color w:val="000000"/>
                <w:sz w:val="17"/>
              </w:rPr>
              <w:t>High</w:t>
            </w:r>
          </w:p>
        </w:tc>
        <w:tc>
          <w:tcPr>
            <w:tcW w:type="dxa" w:w="522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Require user review, validate outputs, preserve unknown values, and retain ordinary search and manual workflows.</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AI outage, access restrictions, or excessive cost</w:t>
            </w:r>
          </w:p>
        </w:tc>
        <w:tc>
          <w:tcPr>
            <w:tcW w:type="dxa" w:w="122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jc w:val="center"/>
            </w:pPr>
            <w:r>
              <w:rPr>
                <w:rFonts w:ascii="Aptos" w:hAnsi="Aptos"/>
                <w:color w:val="000000"/>
                <w:sz w:val="17"/>
              </w:rPr>
              <w:t>Medium</w:t>
            </w:r>
          </w:p>
        </w:tc>
        <w:tc>
          <w:tcPr>
            <w:tcW w:type="dxa" w:w="100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jc w:val="center"/>
            </w:pPr>
            <w:r>
              <w:rPr>
                <w:rFonts w:ascii="Aptos" w:hAnsi="Aptos"/>
                <w:color w:val="000000"/>
                <w:sz w:val="17"/>
              </w:rPr>
              <w:t>High</w:t>
            </w:r>
          </w:p>
        </w:tc>
        <w:tc>
          <w:tcPr>
            <w:tcW w:type="dxa" w:w="522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Test access early, limit usage, handle failures clearly, and investigate an alternative suitable provider if necessary. An outage fallback does not remove the five AI requirements.</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Duplicate allocations or incorrect transfer records</w:t>
            </w:r>
          </w:p>
        </w:tc>
        <w:tc>
          <w:tcPr>
            <w:tcW w:type="dxa" w:w="122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jc w:val="center"/>
            </w:pPr>
            <w:r>
              <w:rPr>
                <w:rFonts w:ascii="Aptos" w:hAnsi="Aptos"/>
                <w:color w:val="000000"/>
                <w:sz w:val="17"/>
              </w:rPr>
              <w:t>Medium</w:t>
            </w:r>
          </w:p>
        </w:tc>
        <w:tc>
          <w:tcPr>
            <w:tcW w:type="dxa" w:w="100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jc w:val="center"/>
            </w:pPr>
            <w:r>
              <w:rPr>
                <w:rFonts w:ascii="Aptos" w:hAnsi="Aptos"/>
                <w:color w:val="000000"/>
                <w:sz w:val="17"/>
              </w:rPr>
              <w:t>High</w:t>
            </w:r>
          </w:p>
        </w:tc>
        <w:tc>
          <w:tcPr>
            <w:tcW w:type="dxa" w:w="522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Enforce quantity and state checks within database transactions; test competing requests and incomplete handovers.</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Unauthorized access or disclosure</w:t>
            </w:r>
          </w:p>
        </w:tc>
        <w:tc>
          <w:tcPr>
            <w:tcW w:type="dxa" w:w="122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jc w:val="center"/>
            </w:pPr>
            <w:r>
              <w:rPr>
                <w:rFonts w:ascii="Aptos" w:hAnsi="Aptos"/>
                <w:color w:val="000000"/>
                <w:sz w:val="17"/>
              </w:rPr>
              <w:t>Medium</w:t>
            </w:r>
          </w:p>
        </w:tc>
        <w:tc>
          <w:tcPr>
            <w:tcW w:type="dxa" w:w="100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jc w:val="center"/>
            </w:pPr>
            <w:r>
              <w:rPr>
                <w:rFonts w:ascii="Aptos" w:hAnsi="Aptos"/>
                <w:color w:val="000000"/>
                <w:sz w:val="17"/>
              </w:rPr>
              <w:t>High</w:t>
            </w:r>
          </w:p>
        </w:tc>
        <w:tc>
          <w:tcPr>
            <w:tcW w:type="dxa" w:w="522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Enforce permissions on the server, restrict records supplied to AI, protect credentials, and use synthetic demonstration data.</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Schedule delays or expanding scope</w:t>
            </w:r>
          </w:p>
        </w:tc>
        <w:tc>
          <w:tcPr>
            <w:tcW w:type="dxa" w:w="122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jc w:val="center"/>
            </w:pPr>
            <w:r>
              <w:rPr>
                <w:rFonts w:ascii="Aptos" w:hAnsi="Aptos"/>
                <w:color w:val="000000"/>
                <w:sz w:val="17"/>
              </w:rPr>
              <w:t>High</w:t>
            </w:r>
          </w:p>
        </w:tc>
        <w:tc>
          <w:tcPr>
            <w:tcW w:type="dxa" w:w="100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jc w:val="center"/>
            </w:pPr>
            <w:r>
              <w:rPr>
                <w:rFonts w:ascii="Aptos" w:hAnsi="Aptos"/>
                <w:color w:val="000000"/>
                <w:sz w:val="17"/>
              </w:rPr>
              <w:t>High</w:t>
            </w:r>
          </w:p>
        </w:tc>
        <w:tc>
          <w:tcPr>
            <w:tcW w:type="dxa" w:w="522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Confirm mandatory scope early, assign owners and reviewers, integrate regularly, and defer optional enhancements.</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Inaccurate asset records or weak participation</w:t>
            </w:r>
          </w:p>
        </w:tc>
        <w:tc>
          <w:tcPr>
            <w:tcW w:type="dxa" w:w="122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jc w:val="center"/>
            </w:pPr>
            <w:r>
              <w:rPr>
                <w:rFonts w:ascii="Aptos" w:hAnsi="Aptos"/>
                <w:color w:val="000000"/>
                <w:sz w:val="17"/>
              </w:rPr>
              <w:t>Medium</w:t>
            </w:r>
          </w:p>
        </w:tc>
        <w:tc>
          <w:tcPr>
            <w:tcW w:type="dxa" w:w="100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jc w:val="center"/>
            </w:pPr>
            <w:r>
              <w:rPr>
                <w:rFonts w:ascii="Aptos" w:hAnsi="Aptos"/>
                <w:color w:val="000000"/>
                <w:sz w:val="17"/>
              </w:rPr>
              <w:t>Medium</w:t>
            </w:r>
          </w:p>
        </w:tc>
        <w:tc>
          <w:tcPr>
            <w:tcW w:type="dxa" w:w="522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Assign custodians, validate inputs, review listings, and test the workflow with representative users.</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Misleading savings or environmental estimates</w:t>
            </w:r>
          </w:p>
        </w:tc>
        <w:tc>
          <w:tcPr>
            <w:tcW w:type="dxa" w:w="122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jc w:val="center"/>
            </w:pPr>
            <w:r>
              <w:rPr>
                <w:rFonts w:ascii="Aptos" w:hAnsi="Aptos"/>
                <w:color w:val="000000"/>
                <w:sz w:val="17"/>
              </w:rPr>
              <w:t>Medium</w:t>
            </w:r>
          </w:p>
        </w:tc>
        <w:tc>
          <w:tcPr>
            <w:tcW w:type="dxa" w:w="100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jc w:val="center"/>
            </w:pPr>
            <w:r>
              <w:rPr>
                <w:rFonts w:ascii="Aptos" w:hAnsi="Aptos"/>
                <w:color w:val="000000"/>
                <w:sz w:val="17"/>
              </w:rPr>
              <w:t>High</w:t>
            </w:r>
          </w:p>
        </w:tc>
        <w:tc>
          <w:tcPr>
            <w:tcW w:type="dxa" w:w="522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Calculate totals in application code, record sources and assumptions, avoid double-counting, and mark missing estimates unavailable.</w:t>
            </w:r>
          </w:p>
        </w:tc>
      </w:tr>
    </w:tbl>
    <w:p>
      <w:pPr>
        <w:spacing w:after="20" w:before="0" w:line="240" w:lineRule="auto"/>
      </w:pPr>
      <w:r>
        <w:rPr>
          <w:sz w:val="4"/>
        </w:rPr>
      </w:r>
    </w:p>
    <w:p>
      <w:pPr/>
      <w:r>
        <w:t>Risk review should continue at each milestone. Problems involving permissions, allocation accuracy, or transfer integrity should be resolved before the affected workflow is accepted.</w:t>
      </w:r>
    </w:p>
    <w:p>
      <w:pPr>
        <w:pStyle w:val="Heading1"/>
      </w:pPr>
      <w:r>
        <w:t>10 Schedule Feasibility</w:t>
      </w:r>
    </w:p>
    <w:p>
      <w:pPr>
        <w:keepNext/>
        <w:keepLines/>
      </w:pPr>
      <w:r>
        <w:t>The README provides the following course milestones. Each deadline occurs during the scheduled lab in the week beginning on the date shown.</w:t>
      </w:r>
    </w:p>
    <w:tbl>
      <w:tblPr>
        <w:tblW w:type="auto" w:w="0"/>
        <w:jc w:val="center"/>
        <w:tblLayout w:type="fixed"/>
        <w:tblLook w:firstColumn="1" w:firstRow="1" w:lastColumn="0" w:lastRow="0" w:noHBand="0" w:noVBand="1" w:val="04A0"/>
      </w:tblPr>
      <w:tblGrid>
        <w:gridCol w:w="922"/>
        <w:gridCol w:w="1958"/>
        <w:gridCol w:w="6811"/>
      </w:tblGrid>
      <w:tr>
        <w:trPr>
          <w:cantSplit/>
          <w:tblHeader/>
        </w:trPr>
        <w:tc>
          <w:tcPr>
            <w:tcW w:type="dxa" w:w="92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jc w:val="center"/>
            </w:pPr>
            <w:r>
              <w:rPr>
                <w:rFonts w:ascii="Aptos" w:hAnsi="Aptos"/>
                <w:b/>
                <w:color w:val="FFFFFF"/>
                <w:sz w:val="17"/>
              </w:rPr>
              <w:t>Phase</w:t>
            </w:r>
          </w:p>
        </w:tc>
        <w:tc>
          <w:tcPr>
            <w:tcW w:type="dxa" w:w="195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jc w:val="center"/>
            </w:pPr>
            <w:r>
              <w:rPr>
                <w:rFonts w:ascii="Aptos" w:hAnsi="Aptos"/>
                <w:b/>
                <w:color w:val="FFFFFF"/>
                <w:sz w:val="17"/>
              </w:rPr>
              <w:t>Lab week beginning</w:t>
            </w:r>
          </w:p>
        </w:tc>
        <w:tc>
          <w:tcPr>
            <w:tcW w:type="dxa" w:w="681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pPr>
            <w:r>
              <w:rPr>
                <w:rFonts w:ascii="Aptos" w:hAnsi="Aptos"/>
                <w:b/>
                <w:color w:val="FFFFFF"/>
                <w:sz w:val="17"/>
              </w:rPr>
              <w:t>Deliverable</w:t>
            </w:r>
          </w:p>
        </w:tc>
      </w:tr>
      <w:tr>
        <w:trPr>
          <w:cantSplit/>
        </w:trPr>
        <w:tc>
          <w:tcPr>
            <w:tcW w:type="dxa" w:w="92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jc w:val="center"/>
            </w:pPr>
            <w:r>
              <w:rPr>
                <w:rFonts w:ascii="Aptos" w:hAnsi="Aptos"/>
                <w:color w:val="000000"/>
                <w:sz w:val="17"/>
              </w:rPr>
              <w:t>1</w:t>
            </w:r>
          </w:p>
        </w:tc>
        <w:tc>
          <w:tcPr>
            <w:tcW w:type="dxa" w:w="195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jc w:val="center"/>
            </w:pPr>
            <w:r>
              <w:rPr>
                <w:rFonts w:ascii="Aptos" w:hAnsi="Aptos"/>
                <w:color w:val="000000"/>
                <w:sz w:val="17"/>
              </w:rPr>
              <w:t>14 September 2026</w:t>
            </w:r>
          </w:p>
        </w:tc>
        <w:tc>
          <w:tcPr>
            <w:tcW w:type="dxa" w:w="681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Initial plan and requirements gathering document</w:t>
            </w:r>
          </w:p>
        </w:tc>
      </w:tr>
      <w:tr>
        <w:trPr>
          <w:cantSplit/>
        </w:trPr>
        <w:tc>
          <w:tcPr>
            <w:tcW w:type="dxa" w:w="92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jc w:val="center"/>
            </w:pPr>
            <w:r>
              <w:rPr>
                <w:rFonts w:ascii="Aptos" w:hAnsi="Aptos"/>
                <w:color w:val="000000"/>
                <w:sz w:val="17"/>
              </w:rPr>
              <w:t>2</w:t>
            </w:r>
          </w:p>
        </w:tc>
        <w:tc>
          <w:tcPr>
            <w:tcW w:type="dxa" w:w="195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jc w:val="center"/>
            </w:pPr>
            <w:r>
              <w:rPr>
                <w:rFonts w:ascii="Aptos" w:hAnsi="Aptos"/>
                <w:color w:val="000000"/>
                <w:sz w:val="17"/>
              </w:rPr>
              <w:t>21 September 2026</w:t>
            </w:r>
          </w:p>
        </w:tc>
        <w:tc>
          <w:tcPr>
            <w:tcW w:type="dxa" w:w="681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Feasibility document</w:t>
            </w:r>
          </w:p>
        </w:tc>
      </w:tr>
      <w:tr>
        <w:trPr>
          <w:cantSplit/>
        </w:trPr>
        <w:tc>
          <w:tcPr>
            <w:tcW w:type="dxa" w:w="92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jc w:val="center"/>
            </w:pPr>
            <w:r>
              <w:rPr>
                <w:rFonts w:ascii="Aptos" w:hAnsi="Aptos"/>
                <w:color w:val="000000"/>
                <w:sz w:val="17"/>
              </w:rPr>
              <w:t>3</w:t>
            </w:r>
          </w:p>
        </w:tc>
        <w:tc>
          <w:tcPr>
            <w:tcW w:type="dxa" w:w="195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jc w:val="center"/>
            </w:pPr>
            <w:r>
              <w:rPr>
                <w:rFonts w:ascii="Aptos" w:hAnsi="Aptos"/>
                <w:color w:val="000000"/>
                <w:sz w:val="17"/>
              </w:rPr>
              <w:t>5 October 2026</w:t>
            </w:r>
          </w:p>
        </w:tc>
        <w:tc>
          <w:tcPr>
            <w:tcW w:type="dxa" w:w="681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Requirements document</w:t>
            </w:r>
          </w:p>
        </w:tc>
      </w:tr>
      <w:tr>
        <w:trPr>
          <w:cantSplit/>
        </w:trPr>
        <w:tc>
          <w:tcPr>
            <w:tcW w:type="dxa" w:w="92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jc w:val="center"/>
            </w:pPr>
            <w:r>
              <w:rPr>
                <w:rFonts w:ascii="Aptos" w:hAnsi="Aptos"/>
                <w:color w:val="000000"/>
                <w:sz w:val="17"/>
              </w:rPr>
              <w:t>4 and 5</w:t>
            </w:r>
          </w:p>
        </w:tc>
        <w:tc>
          <w:tcPr>
            <w:tcW w:type="dxa" w:w="195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jc w:val="center"/>
            </w:pPr>
            <w:r>
              <w:rPr>
                <w:rFonts w:ascii="Aptos" w:hAnsi="Aptos"/>
                <w:color w:val="000000"/>
                <w:sz w:val="17"/>
              </w:rPr>
              <w:t>26 October 2026</w:t>
            </w:r>
          </w:p>
        </w:tc>
        <w:tc>
          <w:tcPr>
            <w:tcW w:type="dxa" w:w="681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Architecture and detailed design document</w:t>
            </w:r>
          </w:p>
        </w:tc>
      </w:tr>
      <w:tr>
        <w:trPr>
          <w:cantSplit/>
        </w:trPr>
        <w:tc>
          <w:tcPr>
            <w:tcW w:type="dxa" w:w="92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jc w:val="center"/>
            </w:pPr>
            <w:r>
              <w:rPr>
                <w:rFonts w:ascii="Aptos" w:hAnsi="Aptos"/>
                <w:color w:val="000000"/>
                <w:sz w:val="17"/>
              </w:rPr>
              <w:t>6</w:t>
            </w:r>
          </w:p>
        </w:tc>
        <w:tc>
          <w:tcPr>
            <w:tcW w:type="dxa" w:w="195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jc w:val="center"/>
            </w:pPr>
            <w:r>
              <w:rPr>
                <w:rFonts w:ascii="Aptos" w:hAnsi="Aptos"/>
                <w:color w:val="000000"/>
                <w:sz w:val="17"/>
              </w:rPr>
              <w:t>16 November 2026</w:t>
            </w:r>
          </w:p>
        </w:tc>
        <w:tc>
          <w:tcPr>
            <w:tcW w:type="dxa" w:w="681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Draft implementation with major features</w:t>
            </w:r>
          </w:p>
        </w:tc>
      </w:tr>
      <w:tr>
        <w:trPr>
          <w:cantSplit/>
        </w:trPr>
        <w:tc>
          <w:tcPr>
            <w:tcW w:type="dxa" w:w="92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jc w:val="center"/>
            </w:pPr>
            <w:r>
              <w:rPr>
                <w:rFonts w:ascii="Aptos" w:hAnsi="Aptos"/>
                <w:color w:val="000000"/>
                <w:sz w:val="17"/>
              </w:rPr>
              <w:t>7</w:t>
            </w:r>
          </w:p>
        </w:tc>
        <w:tc>
          <w:tcPr>
            <w:tcW w:type="dxa" w:w="195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jc w:val="center"/>
            </w:pPr>
            <w:r>
              <w:rPr>
                <w:rFonts w:ascii="Aptos" w:hAnsi="Aptos"/>
                <w:color w:val="000000"/>
                <w:sz w:val="17"/>
              </w:rPr>
              <w:t>23 November 2026</w:t>
            </w:r>
          </w:p>
        </w:tc>
        <w:tc>
          <w:tcPr>
            <w:tcW w:type="dxa" w:w="681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Details of test cases</w:t>
            </w:r>
          </w:p>
        </w:tc>
      </w:tr>
      <w:tr>
        <w:trPr>
          <w:cantSplit/>
        </w:trPr>
        <w:tc>
          <w:tcPr>
            <w:tcW w:type="dxa" w:w="92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jc w:val="center"/>
            </w:pPr>
            <w:r>
              <w:rPr>
                <w:rFonts w:ascii="Aptos" w:hAnsi="Aptos"/>
                <w:color w:val="000000"/>
                <w:sz w:val="17"/>
              </w:rPr>
              <w:t>8</w:t>
            </w:r>
          </w:p>
        </w:tc>
        <w:tc>
          <w:tcPr>
            <w:tcW w:type="dxa" w:w="195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jc w:val="center"/>
            </w:pPr>
            <w:r>
              <w:rPr>
                <w:rFonts w:ascii="Aptos" w:hAnsi="Aptos"/>
                <w:color w:val="000000"/>
                <w:sz w:val="17"/>
              </w:rPr>
              <w:t>23 November 2026</w:t>
            </w:r>
          </w:p>
        </w:tc>
        <w:tc>
          <w:tcPr>
            <w:tcW w:type="dxa" w:w="681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Final project, presentation, and demonstration</w:t>
            </w:r>
          </w:p>
        </w:tc>
      </w:tr>
    </w:tbl>
    <w:p>
      <w:pPr>
        <w:spacing w:after="20" w:before="0" w:line="240" w:lineRule="auto"/>
      </w:pPr>
      <w:r>
        <w:rPr>
          <w:sz w:val="4"/>
        </w:rPr>
      </w:r>
    </w:p>
    <w:p>
      <w:pPr/>
      <w:r>
        <w:t>The schedule is achievable only with controlled scope and continuous implementation and testing. The final test documentation and demonstration fall in the same week, so testing cannot be postponed until the draft implementation is submitted.</w:t>
      </w:r>
    </w:p>
    <w:p>
      <w:pPr/>
      <w:r>
        <w:t>Before the feasibility deadline, the team should confirm responsibilities, investigate AI access, and demonstrate a basic database operation. Before the requirements deadline, it should settle the approval process, reservation rules, permissions, and acceptance criteria. Design work should define the data model, interfaces, asset states, and AI interactions.</w:t>
      </w:r>
    </w:p>
    <w:p>
      <w:pPr/>
      <w:r>
        <w:t>Implementation should proceed through small working increments, beginning with login, registration, and the request-to-handover workflow. All five AI functions should be developed alongside tested application controls. The period after the draft implementation should focus on resolving defects, completing documentation, and rehearsing the demonstration.</w:t>
      </w:r>
    </w:p>
    <w:p>
      <w:pPr/>
      <w:r>
        <w:t>The repository requirement to add the instructor and lab engineer by 15 September 2026 should also be tracked. Every member should make regular, meaningful contributions under their own identity.</w:t>
      </w:r>
    </w:p>
    <w:p>
      <w:pPr>
        <w:pStyle w:val="Heading1"/>
      </w:pPr>
      <w:r>
        <w:t>11 Success Measures and Acceptance</w:t>
      </w:r>
    </w:p>
    <w:p>
      <w:pPr>
        <w:keepNext/>
        <w:keepLines/>
      </w:pPr>
      <w:r>
        <w:t>The README proposes measurable targets that can guide the feasibility decision and final evaluation.</w:t>
      </w:r>
    </w:p>
    <w:tbl>
      <w:tblPr>
        <w:tblW w:type="auto" w:w="0"/>
        <w:jc w:val="center"/>
        <w:tblLayout w:type="fixed"/>
        <w:tblLook w:firstColumn="1" w:firstRow="1" w:lastColumn="0" w:lastRow="0" w:noHBand="0" w:noVBand="1" w:val="04A0"/>
      </w:tblPr>
      <w:tblGrid>
        <w:gridCol w:w="2131"/>
        <w:gridCol w:w="7560"/>
      </w:tblGrid>
      <w:tr>
        <w:trPr>
          <w:cantSplit/>
          <w:tblHeader/>
        </w:trP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pPr>
            <w:r>
              <w:rPr>
                <w:rFonts w:ascii="Aptos" w:hAnsi="Aptos"/>
                <w:b/>
                <w:color w:val="FFFFFF"/>
                <w:sz w:val="17"/>
              </w:rPr>
              <w:t>Area</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keepNext/>
              <w:spacing w:after="0" w:line="259" w:lineRule="auto"/>
            </w:pPr>
            <w:r>
              <w:rPr>
                <w:rFonts w:ascii="Aptos" w:hAnsi="Aptos"/>
                <w:b/>
                <w:color w:val="FFFFFF"/>
                <w:sz w:val="17"/>
              </w:rPr>
              <w:t>Proposed acceptance target</w:t>
            </w:r>
          </w:p>
        </w:tc>
      </w:tr>
      <w:tr>
        <w:trPr>
          <w:cantSplit/>
        </w:trP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Core functionality</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Pass all 10 agreed critical workflow scenarios.</w:t>
            </w:r>
          </w:p>
        </w:tc>
      </w:tr>
      <w:tr>
        <w:trPr>
          <w:cantSplit/>
        </w:trP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Search performance</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At least 19 of 20 searches complete within three seconds on the agreed computer using the sample database.</w:t>
            </w:r>
          </w:p>
        </w:tc>
      </w:tr>
      <w:tr>
        <w:trPr>
          <w:cantSplit/>
        </w:trP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Usability</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At least four of five representative users submit a request without assistance.</w:t>
            </w:r>
          </w:p>
        </w:tc>
      </w:tr>
      <w:tr>
        <w:trPr>
          <w:cantSplit/>
        </w:trP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AI matching</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For at least eight of ten requests with a valid match, a reviewer identifies a suitable item among the top three suggestions; compare with keyword search.</w:t>
            </w:r>
          </w:p>
        </w:tc>
      </w:tr>
      <w:tr>
        <w:trPr>
          <w:cantSplit/>
        </w:trP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Savings calculations</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FFFFF"/>
          </w:tcPr>
          <w:p>
            <w:pPr>
              <w:keepNext w:val="0"/>
              <w:spacing w:after="0" w:line="259" w:lineRule="auto"/>
            </w:pPr>
            <w:r>
              <w:rPr>
                <w:rFonts w:ascii="Aptos" w:hAnsi="Aptos"/>
                <w:color w:val="000000"/>
                <w:sz w:val="17"/>
              </w:rPr>
              <w:t>Correctly calculate net savings for five sample transfers replacing hypothetical purchases.</w:t>
            </w:r>
          </w:p>
        </w:tc>
      </w:tr>
      <w:tr>
        <w:trPr>
          <w:cantSplit/>
        </w:trP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Sustainability reporting</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keepNext w:val="0"/>
              <w:spacing w:after="0" w:line="259" w:lineRule="auto"/>
            </w:pPr>
            <w:r>
              <w:rPr>
                <w:rFonts w:ascii="Aptos" w:hAnsi="Aptos"/>
                <w:color w:val="000000"/>
                <w:sz w:val="17"/>
              </w:rPr>
              <w:t>Demonstrate at least two reuse and two repair cases; verify calculations across 10 sample reporting cases wherever inputs exist and flag missing inputs.</w:t>
            </w:r>
          </w:p>
        </w:tc>
      </w:tr>
    </w:tbl>
    <w:p>
      <w:pPr>
        <w:spacing w:after="20" w:before="0" w:line="240" w:lineRule="auto"/>
      </w:pPr>
      <w:r>
        <w:rPr>
          <w:sz w:val="4"/>
        </w:rPr>
      </w:r>
    </w:p>
    <w:p>
      <w:pPr/>
      <w:r>
        <w:t>Environmental reporting should specify the reporting period, calculation method, and data sources. Unique assets should be counted appropriately so repeated events do not inflate results. Carbon estimates should compare replacement-scenario emissions with reuse-scenario emissions and identify any demonstration assumptions.</w:t>
      </w:r>
    </w:p>
    <w:p>
      <w:pPr>
        <w:pStyle w:val="Heading1"/>
      </w:pPr>
      <w:r>
        <w:t>12 Recommendation and Implementation Action Plan</w:t>
      </w:r>
    </w:p>
    <w:p>
      <w:pPr>
        <w:keepLines/>
      </w:pPr>
      <w:r>
        <w:t xml:space="preserve">The recommendation is a </w:t>
      </w:r>
      <w:r>
        <w:rPr>
          <w:b/>
        </w:rPr>
        <w:t>conditional go for the academic prototype</w:t>
      </w:r>
      <w:r>
        <w:t>. Its limited scale and proposed architecture provide a reasonable basis for development. Operational demand, actual costs, team capacity, and AI suitability still require evidence.</w:t>
      </w:r>
    </w:p>
    <w:p>
      <w:pPr/>
      <w:r>
        <w:t>The team should proceed with the following actions:</w:t>
      </w:r>
    </w:p>
    <w:p>
      <w:pPr>
        <w:pStyle w:val="ListNumber"/>
      </w:pPr>
      <w:r>
        <w:t>Confirm the complete course requirements and resolve any mandatory scope missing from the README.</w:t>
      </w:r>
    </w:p>
    <w:p>
      <w:pPr>
        <w:pStyle w:val="ListNumber"/>
      </w:pPr>
      <w:r>
        <w:t>Assign an owner and reviewer to each major responsibility and confirm weekly availability.</w:t>
      </w:r>
    </w:p>
    <w:p>
      <w:pPr>
        <w:pStyle w:val="ListNumber"/>
      </w:pPr>
      <w:r>
        <w:t>Validate the proposed workflow with representative stakeholders and record actual findings.</w:t>
      </w:r>
    </w:p>
    <w:p>
      <w:pPr>
        <w:pStyle w:val="ListNumber"/>
      </w:pPr>
      <w:r>
        <w:t>Test the proposed technology and AI service using synthetic data, then revise the budget and workload estimates.</w:t>
      </w:r>
    </w:p>
    <w:p>
      <w:pPr>
        <w:pStyle w:val="ListNumber"/>
      </w:pPr>
      <w:r>
        <w:t>Implement and verify the complete asset exchange workflow, life-cycle records, and all five AI functions.</w:t>
      </w:r>
    </w:p>
    <w:p>
      <w:pPr>
        <w:pStyle w:val="ListNumber"/>
      </w:pPr>
      <w:r>
        <w:t>Evaluate the acceptance targets and use the findings to determine whether a larger institutional pilot is justified.</w:t>
      </w:r>
    </w:p>
    <w:p>
      <w:pPr/>
      <w:r>
        <w:t>Campus-wide deployment should receive a separate decision after the prototype provides evidence on usability, accuracy, security, operating costs, and institutional ownership.</w:t>
      </w:r>
    </w:p>
    <w:sectPr w:rsidR="00FC693F" w:rsidRPr="0006063C" w:rsidSect="00034616">
      <w:headerReference w:type="default" r:id="rId9"/>
      <w:footerReference w:type="default" r:id="rId10"/>
      <w:pgSz w:w="12240" w:h="15840"/>
      <w:pgMar w:top="1123" w:right="1181" w:bottom="1123" w:left="1181"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Feasibility Study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64646"/>
        <w:sz w:val="16"/>
      </w:rPr>
      <w:t>COSC 336  |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8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ra.stanford.edu/ora-units/property-management-office/surplus-property-overview" TargetMode="External"/><Relationship Id="rId12" Type="http://schemas.openxmlformats.org/officeDocument/2006/relationships/hyperlink" Target="https://rheaply.com/internal-reuse/" TargetMode="External"/><Relationship Id="rId13" Type="http://schemas.openxmlformats.org/officeDocument/2006/relationships/hyperlink" Target="https://flask.palletsprojects.com/en/stable/tutorial/database/" TargetMode="External"/><Relationship Id="rId14" Type="http://schemas.openxmlformats.org/officeDocument/2006/relationships/hyperlink" Target="https://u.ae/en/about-the-uae/digital-uae/data/data-protection-la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Item Exchange Feasibility Study Report</dc:title>
  <dc:subject>COSC 336 Phase 2 Feasibility Study</dc:subject>
  <dc:creator>Hamed Qayed; Zayed Alnuaimi; Mohammed Siam; Ali Alameri</dc:creator>
  <cp:keywords>Campus Item Exchange, feasibility, COSC 336, Phase 2</cp:keywords>
  <dc:description/>
  <cp:lastModifiedBy/>
  <cp:revision>1</cp:revision>
  <dcterms:created xsi:type="dcterms:W3CDTF">2013-12-23T23:15:00Z</dcterms:created>
  <dcterms:modified xsi:type="dcterms:W3CDTF">2013-12-23T23:15:00Z</dcterms:modified>
  <cp:category/>
</cp:coreProperties>
</file>