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685"/>
        <w:gridCol w:w="8220"/>
      </w:tblGrid>
      <w:tr>
        <w:trPr>
          <w:trHeight w:val="16781" w:hRule="exact"/>
        </w:trPr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shd w:fill="173D55"/>
            <w:tcMar>
              <w:top w:w="430" w:type="dxa"/>
              <w:start w:w="450" w:type="dxa"/>
              <w:bottom w:w="300" w:type="dxa"/>
              <w:end w:w="360" w:type="dxa"/>
            </w:tcMar>
            <w:vAlign w:val="top"/>
          </w:tcPr>
          <w:p>
            <w:pPr>
              <w:spacing w:before="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-email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CORE EXPERTISE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Design Governance &amp; Technical Leadership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Design Management &amp; QA/QC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Programme &amp; Project Delivery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Multidisciplinary Coordination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Constructability &amp; Compliance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BIM Resource &amp; Workflow Planning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Value Engineering &amp; Cost Planning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Contract Administration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Payment Certification &amp; Commercial Assessment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Variations &amp; EOT Analysis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Dispute Avoidance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Procurement &amp; Tender Evaluation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Client &amp; Stakeholder Leadership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HSE Performance Governance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KPI Systems &amp; Digital Controls</w:t>
            </w:r>
          </w:p>
          <w:p>
            <w:pPr>
              <w:spacing w:before="0" w:after="0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Authority Close-out &amp; Handover</w:t>
            </w:r>
          </w:p>
          <w:p>
            <w:pPr>
              <w:spacing w:before="8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CREDENTIALS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Saudi Council of Engineers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Classification: Consultant (مستشار)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Architectural Engineering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Valid to Nov 2027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Saudi Real Estate Institute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Off-Plan Sales Engineering Consultant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Contracts Management Professional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CMP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Jordanian Engineers Association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Member</w:t>
            </w:r>
          </w:p>
          <w:p>
            <w:pPr>
              <w:spacing w:before="8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SECTOR EXPERIENCE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Fuel &amp; mobility infrastructure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Logistics &amp; fulfilment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Healthcare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Entertainment &amp; sports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Workplace &amp; commercial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Residential &amp; mixed-use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Hospitality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Government facilities</w:t>
            </w:r>
          </w:p>
          <w:p>
            <w:pPr>
              <w:spacing w:before="8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TOOLS &amp; LANGUAGES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BIM / Revit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AutoCAD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Microsoft Project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Microsoft 365 &amp; live trackers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Arabic - Native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English - Fluent</w:t>
            </w:r>
          </w:p>
        </w:tc>
        <w:tc>
          <w:tcPr>
            <w:tcW w:type="dxa" w:w="8220"/>
            <w:tcBorders>
              <w:top w:val="nil"/>
              <w:left w:val="nil"/>
              <w:bottom w:val="nil"/>
              <w:right w:val="nil"/>
            </w:tcBorders>
            <w:tcMar>
              <w:top w:w="390" w:type="dxa"/>
              <w:start w:w="560" w:type="dxa"/>
              <w:bottom w:w="300" w:type="dxa"/>
              <w:end w:w="5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3D55"/>
                <w:sz w:val="38"/>
              </w:rPr>
              <w:t>Abdelhamid Farah, MBA, MSc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45677B"/>
                <w:sz w:val="18"/>
              </w:rPr>
              <w:t>[TARGET ROLE HEADLINE]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52606C"/>
                <w:sz w:val="14"/>
              </w:rPr>
              <w:t>Riyadh, Saudi Arabia | +966 53 079 6449 | hameedfarah@gmail.com | linkedin.com/in/abd-farah</w:t>
            </w:r>
          </w:p>
          <w:p>
            <w:pPr>
              <w:spacing w:before="20" w:after="40" w:line="240" w:lineRule="auto"/>
              <w:keepNext/>
              <w:pBdr>
                <w:bottom w:val="single" w:sz="5" w:space="2" w:color="A9BFCC"/>
              </w:pBdr>
            </w:pPr>
            <w:r>
              <w:rPr>
                <w:rFonts w:ascii="Arial" w:hAnsi="Arial" w:eastAsia="Arial"/>
                <w:b/>
                <w:i w:val="0"/>
                <w:color w:val="173D55"/>
                <w:sz w:val="18"/>
              </w:rPr>
              <w:t>LEADERSHIP PROFILE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6"/>
              </w:rPr>
              <w:t>[TAILORED PROFILE: 55 TO 75 WORDS. POSITION THE CANDIDATE FOR THE VACANCY, USE THE OFFICIAL TITLE ONLY IN CHRONOLOGY, AND LEAD WITH THE STRONGEST EVIDENCE-SUPPORTED VALUE PROPOSITION.]</w:t>
            </w:r>
          </w:p>
          <w:tbl>
            <w:tblPr>
              <w:tblW w:type="dxa" w:w="7262"/>
              <w:jc w:val="center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2421"/>
              <w:gridCol w:w="2421"/>
              <w:gridCol w:w="2421"/>
            </w:tblGrid>
            <w:tr>
              <w:trPr>
                <w:trHeight w:val="737" w:hRule="atLeast"/>
              </w:trPr>
              <w:tc>
                <w:tcPr>
                  <w:tcW w:type="dxa" w:w="2421"/>
                  <w:shd w:fill="EAF1F5"/>
                  <w:tcMar>
                    <w:top w:w="60" w:type="dxa"/>
                    <w:start w:w="90" w:type="dxa"/>
                    <w:bottom w:w="50" w:type="dxa"/>
                    <w:end w:w="70" w:type="dxa"/>
                  </w:tcMar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73D55"/>
                      <w:sz w:val="22"/>
                    </w:rPr>
                    <w:t>[M1]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3"/>
                    </w:rPr>
                    <w:t>[VACANCY-RELEVANT CAREER TOTAL]</w:t>
                  </w:r>
                </w:p>
              </w:tc>
              <w:tc>
                <w:tcPr>
                  <w:tcW w:type="dxa" w:w="2421"/>
                  <w:shd w:fill="EAF1F5"/>
                  <w:tcMar>
                    <w:top w:w="60" w:type="dxa"/>
                    <w:start w:w="90" w:type="dxa"/>
                    <w:bottom w:w="50" w:type="dxa"/>
                    <w:end w:w="70" w:type="dxa"/>
                  </w:tcMar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73D55"/>
                      <w:sz w:val="22"/>
                    </w:rPr>
                    <w:t>[M2]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3"/>
                    </w:rPr>
                    <w:t>[VACANCY-RELEVANT CAREER TOTAL]</w:t>
                  </w:r>
                </w:p>
              </w:tc>
              <w:tc>
                <w:tcPr>
                  <w:tcW w:type="dxa" w:w="2421"/>
                  <w:shd w:fill="EAF1F5"/>
                  <w:tcMar>
                    <w:top w:w="60" w:type="dxa"/>
                    <w:start w:w="90" w:type="dxa"/>
                    <w:bottom w:w="50" w:type="dxa"/>
                    <w:end w:w="70" w:type="dxa"/>
                  </w:tcMar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73D55"/>
                      <w:sz w:val="22"/>
                    </w:rPr>
                    <w:t>[M3]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3"/>
                    </w:rPr>
                    <w:t>[VACANCY-RELEVANT CAREER TOTAL]</w:t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2421"/>
                  <w:shd w:fill="EAF1F5"/>
                  <w:tcMar>
                    <w:top w:w="60" w:type="dxa"/>
                    <w:start w:w="90" w:type="dxa"/>
                    <w:bottom w:w="50" w:type="dxa"/>
                    <w:end w:w="70" w:type="dxa"/>
                  </w:tcMar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73D55"/>
                      <w:sz w:val="22"/>
                    </w:rPr>
                    <w:t>[M4]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3"/>
                    </w:rPr>
                    <w:t>[VACANCY-RELEVANT OUTCOME]</w:t>
                  </w:r>
                </w:p>
              </w:tc>
              <w:tc>
                <w:tcPr>
                  <w:tcW w:type="dxa" w:w="2421"/>
                  <w:shd w:fill="EAF1F5"/>
                  <w:tcMar>
                    <w:top w:w="60" w:type="dxa"/>
                    <w:start w:w="90" w:type="dxa"/>
                    <w:bottom w:w="50" w:type="dxa"/>
                    <w:end w:w="70" w:type="dxa"/>
                  </w:tcMar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73D55"/>
                      <w:sz w:val="22"/>
                    </w:rPr>
                    <w:t>[M5]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3"/>
                    </w:rPr>
                    <w:t>[VACANCY-RELEVANT OUTCOME]</w:t>
                  </w:r>
                </w:p>
              </w:tc>
              <w:tc>
                <w:tcPr>
                  <w:tcW w:type="dxa" w:w="2421"/>
                  <w:shd w:fill="EAF1F5"/>
                  <w:tcMar>
                    <w:top w:w="60" w:type="dxa"/>
                    <w:start w:w="90" w:type="dxa"/>
                    <w:bottom w:w="50" w:type="dxa"/>
                    <w:end w:w="70" w:type="dxa"/>
                  </w:tcMar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73D55"/>
                      <w:sz w:val="22"/>
                    </w:rPr>
                    <w:t>[M6]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3"/>
                    </w:rPr>
                    <w:t>[VACANCY-RELEVANT OUTCOME]</w:t>
                  </w:r>
                </w:p>
              </w:tc>
            </w:tr>
          </w:tbl>
          <w:p/>
          <w:p>
            <w:pPr>
              <w:spacing w:before="60" w:after="40" w:line="240" w:lineRule="auto"/>
              <w:keepNext/>
              <w:pBdr>
                <w:bottom w:val="single" w:sz="5" w:space="2" w:color="A9BFCC"/>
              </w:pBdr>
            </w:pPr>
            <w:r>
              <w:rPr>
                <w:rFonts w:ascii="Arial" w:hAnsi="Arial" w:eastAsia="Arial"/>
                <w:b/>
                <w:i w:val="0"/>
                <w:color w:val="173D55"/>
                <w:sz w:val="18"/>
              </w:rPr>
              <w:t>PROFESSIONAL EXPERIENCE</w:t>
            </w:r>
          </w:p>
          <w:tbl>
            <w:tblPr>
              <w:tblW w:type="dxa" w:w="7313"/>
              <w:jc w:val="center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5159"/>
              <w:gridCol w:w="2154"/>
            </w:tblGrid>
            <w:tr>
              <w:tc>
                <w:tcPr>
                  <w:tcW w:type="dxa" w:w="5159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7"/>
                    </w:rPr>
                    <w:t>District Manager | Design &amp; Technical Delivery Lead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7"/>
                    </w:rPr>
                    <w:t>Arab Sustainable Architecture / Tubaila Team Workshop (TTW)</w:t>
                  </w:r>
                </w:p>
              </w:tc>
              <w:tc>
                <w:tcPr>
                  <w:tcW w:type="dxa" w:w="21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06C"/>
                      <w:sz w:val="15"/>
                    </w:rPr>
                    <w:t>Dec 2022 - Present</w:t>
                  </w:r>
                </w:p>
                <w:p>
                  <w:pPr>
                    <w:spacing w:before="0" w:after="20" w:line="240" w:lineRule="auto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06C"/>
                      <w:sz w:val="15"/>
                    </w:rPr>
                    <w:t>Riyadh, Saudi Arabia</w:t>
                  </w:r>
                </w:p>
              </w:tc>
            </w:tr>
          </w:tbl>
          <w:p/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1: PEOPLE OR PORTFOLIO SCALE]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[Explain scope and leadership result with one specific number.]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2: DIGITAL OR GOVERNANCE IMPROVEMENT]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[State method and measurable operational outcome.]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3: VALUE ENGINEERING OR COST RESULT]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[Use one or two related numbers only.]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4: CONTRACT OR COMMERCIAL CONTROL]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[Use technical contract-administration language and avoid generic claims terminology.]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5: RESOURCE OR DELIVERY MODEL]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[Summarise the overall result without confidential project names.]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6: MAJOR CLIENT OR SECTOR PORTFOLIO]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[Use recognisable end-client context only when supported.]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[ACHIEVEMENT 7: CLIENT AND STAKEHOLDER LEADERSHIP]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 [Show decision-making and risk control.]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Directed end-to-end design and project delivery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>, from client briefing and feasibility through approvals, procurement, construction oversight, close-out and handover.</w:t>
            </w:r>
          </w:p>
          <w:p>
            <w:pPr>
              <w:spacing w:before="0" w:after="20" w:line="240" w:lineRule="auto"/>
              <w:ind w:left="238" w:hanging="181"/>
              <w:jc w:val="both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9222C"/>
                <w:sz w:val="15"/>
              </w:rPr>
              <w:t>Led multidisciplinary teams, consultants, contractors and stakeholders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>, aligning technical quality, resources, commercial priorities and programme commitments across concurrent assignments.</w:t>
            </w:r>
          </w:p>
          <w:p>
            <w:pPr>
              <w:spacing w:before="40" w:after="40" w:line="240" w:lineRule="auto"/>
              <w:keepNext/>
              <w:pBdr>
                <w:bottom w:val="single" w:sz="5" w:space="2" w:color="A9BFCC"/>
              </w:pBdr>
            </w:pPr>
            <w:r>
              <w:rPr>
                <w:rFonts w:ascii="Arial" w:hAnsi="Arial" w:eastAsia="Arial"/>
                <w:b/>
                <w:i w:val="0"/>
                <w:color w:val="173D55"/>
                <w:sz w:val="18"/>
              </w:rPr>
              <w:t>SELECTED SAUDI EVIDENCE</w:t>
            </w:r>
          </w:p>
          <w:tbl>
            <w:tblPr>
              <w:tblW w:type="dxa" w:w="7279"/>
              <w:jc w:val="center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3640"/>
              <w:gridCol w:w="3640"/>
            </w:tblGrid>
            <w:tr>
              <w:tc>
                <w:tcPr>
                  <w:tcW w:type="dxa" w:w="3640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0" w:type="dxa"/>
                    <w:start w:w="80" w:type="dxa"/>
                    <w:bottom w:w="60" w:type="dxa"/>
                    <w:end w:w="8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4"/>
                    </w:rPr>
                    <w:t>[EVIDENCE CARD 1]</w:t>
                  </w:r>
                </w:p>
                <w:p>
                  <w:pPr>
                    <w:spacing w:before="0" w:after="0" w:line="228" w:lineRule="auto"/>
                    <w:jc w:val="both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4"/>
                    </w:rPr>
                    <w:t>[One concise evidence statement with no more than two numbers.]</w:t>
                  </w:r>
                </w:p>
              </w:tc>
              <w:tc>
                <w:tcPr>
                  <w:tcW w:type="dxa" w:w="3640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0" w:type="dxa"/>
                    <w:start w:w="80" w:type="dxa"/>
                    <w:bottom w:w="60" w:type="dxa"/>
                    <w:end w:w="8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4"/>
                    </w:rPr>
                    <w:t>[EVIDENCE CARD 2]</w:t>
                  </w:r>
                </w:p>
                <w:p>
                  <w:pPr>
                    <w:spacing w:before="0" w:after="0" w:line="228" w:lineRule="auto"/>
                    <w:jc w:val="both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4"/>
                    </w:rPr>
                    <w:t>[One concise evidence statement. Protect confidential client and programme names.]</w:t>
                  </w:r>
                </w:p>
              </w:tc>
            </w:tr>
            <w:tr>
              <w:tc>
                <w:tcPr>
                  <w:tcW w:type="dxa" w:w="3640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0" w:type="dxa"/>
                    <w:start w:w="80" w:type="dxa"/>
                    <w:bottom w:w="60" w:type="dxa"/>
                    <w:end w:w="8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4"/>
                    </w:rPr>
                    <w:t>[EVIDENCE CARD 3]</w:t>
                  </w:r>
                </w:p>
                <w:p>
                  <w:pPr>
                    <w:spacing w:before="0" w:after="0" w:line="228" w:lineRule="auto"/>
                    <w:jc w:val="both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4"/>
                    </w:rPr>
                    <w:t>[One concise evidence statement using a recognised client or sector context.]</w:t>
                  </w:r>
                </w:p>
              </w:tc>
              <w:tc>
                <w:tcPr>
                  <w:tcW w:type="dxa" w:w="3640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0" w:type="dxa"/>
                    <w:start w:w="80" w:type="dxa"/>
                    <w:bottom w:w="60" w:type="dxa"/>
                    <w:end w:w="8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4"/>
                    </w:rPr>
                    <w:t>[EVIDENCE CARD 4]</w:t>
                  </w:r>
                </w:p>
                <w:p>
                  <w:pPr>
                    <w:spacing w:before="0" w:after="0" w:line="228" w:lineRule="auto"/>
                    <w:jc w:val="both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4"/>
                    </w:rPr>
                    <w:t>[One concise evidence statement focused on governance, cost, programme or contract outcome.]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8220"/>
            </w:tblGrid>
            <w:tr>
              <w:tc>
                <w:tcPr>
                  <w:tcW w:type="dxa" w:w="8220"/>
                  <w:shd w:fill="F1F4F6"/>
                  <w:tcMar>
                    <w:top w:w="60" w:type="dxa"/>
                    <w:start w:w="100" w:type="dxa"/>
                    <w:bottom w:w="50" w:type="dxa"/>
                    <w:end w:w="80" w:type="dxa"/>
                  </w:tcMar>
                  <w:tcBorders>
                    <w:top w:val="nil"/>
                    <w:left w:val="single" w:sz="18" w:color="60798A"/>
                    <w:bottom w:val="nil"/>
                    <w:right w:val="nil"/>
                  </w:tcBorders>
                </w:tcPr>
                <w:p>
                  <w:pPr>
                    <w:spacing w:before="0" w:after="0" w:line="228" w:lineRule="auto"/>
                    <w:jc w:val="both"/>
                  </w:pPr>
                  <w:r>
                    <w:rPr>
                      <w:rFonts w:ascii="Arial" w:hAnsi="Arial" w:eastAsia="Arial"/>
                      <w:b/>
                      <w:i w:val="0"/>
                      <w:color w:val="19222C"/>
                      <w:sz w:val="14"/>
                    </w:rPr>
                    <w:t xml:space="preserve">Representative KSA context: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9222C"/>
                      <w:sz w:val="14"/>
                    </w:rPr>
                    <w:t>[LIST ONLY VERIFIED, RECOGNISABLE CLIENTS OR SECTORS. DO NOT USE UNSUPPORTED PROJECTS, MINOR BRANDS OR CONFIDENTIAL NAMES.]</w:t>
                  </w:r>
                </w:p>
              </w:tc>
            </w:tr>
          </w:tbl>
          <w:p/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370"/>
        <w:gridCol w:w="2835"/>
      </w:tblGrid>
      <w:tr>
        <w:tc>
          <w:tcPr>
            <w:tcW w:type="dxa" w:w="737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3D55"/>
                <w:sz w:val="31"/>
              </w:rPr>
              <w:t>Abdelhamid Farah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45677B"/>
                <w:sz w:val="18"/>
              </w:rPr>
              <w:t>CAREER HISTORY &amp; QUALIFICATIONS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2606C"/>
                <w:sz w:val="15"/>
              </w:rPr>
              <w:t>+966 53 079 6449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2606C"/>
                <w:sz w:val="15"/>
              </w:rPr>
              <w:t>hameedfarah@gmail.com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2606C"/>
                <w:sz w:val="15"/>
              </w:rPr>
              <w:t>linkedin.com/in/abd-farah</w:t>
            </w:r>
          </w:p>
        </w:tc>
      </w:tr>
    </w:tbl>
    <w:p>
      <w:pPr>
        <w:spacing w:before="0" w:after="20" w:line="240" w:lineRule="auto"/>
        <w:pBdr>
          <w:bottom w:val="single" w:sz="14" w:color="173D55"/>
        </w:pBdr>
      </w:pPr>
    </w:p>
    <w:p>
      <w:pPr>
        <w:spacing w:before="20" w:after="40" w:line="240" w:lineRule="auto"/>
        <w:keepNext/>
        <w:pBdr>
          <w:bottom w:val="single" w:sz="5" w:space="2" w:color="A9BFCC"/>
        </w:pBdr>
      </w:pPr>
      <w:r>
        <w:rPr>
          <w:rFonts w:ascii="Arial" w:hAnsi="Arial" w:eastAsia="Arial"/>
          <w:b/>
          <w:i w:val="0"/>
          <w:color w:val="173D55"/>
          <w:sz w:val="18"/>
        </w:rPr>
        <w:t>DESIGN MANAGER / SENIOR ARCHITECT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Cube Architects</w:t>
            </w:r>
            <w:r>
              <w:rPr>
                <w:rFonts w:ascii="Arial" w:hAnsi="Arial" w:eastAsia="Arial"/>
                <w:b w:val="0"/>
                <w:i w:val="0"/>
                <w:color w:val="19222C"/>
                <w:sz w:val="16"/>
              </w:rPr>
              <w:t xml:space="preserve"> | Amman, Jordan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2606C"/>
                <w:sz w:val="15"/>
              </w:rPr>
              <w:t>Mar 2013 - Nov 2022</w:t>
            </w:r>
          </w:p>
        </w:tc>
      </w:tr>
    </w:tbl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Led multidisciplinary design delivery across 25 developments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 from concept through tender and construction information, covering residential, office, retail and mixed-use assets.</w:t>
      </w:r>
    </w:p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Directed a core team of 10+ designers and engineers</w:t>
      </w:r>
      <w:r>
        <w:rPr>
          <w:rFonts w:ascii="Arial" w:hAnsi="Arial" w:eastAsia="Arial"/>
          <w:b w:val="0"/>
          <w:i w:val="0"/>
          <w:color w:val="19222C"/>
          <w:sz w:val="16"/>
        </w:rPr>
        <w:t>, coordinating architecture, structure and MEP while enforcing QA/QC and maintaining design intent through tender and site-supervision stages.</w:t>
      </w:r>
    </w:p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Delivered major commercial assets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 including a 39,562-sqm executive office tower and a 79,682-sqm office complex.</w:t>
      </w:r>
    </w:p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Negotiated and formalised 30+ client and contractor agreements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 under FIDIC-based and local frameworks, aligning scope, deliverables, obligations and commercial risk.</w:t>
      </w:r>
    </w:p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Led BIM/Revit adoption and internal quality-management workflows</w:t>
      </w:r>
      <w:r>
        <w:rPr>
          <w:rFonts w:ascii="Arial" w:hAnsi="Arial" w:eastAsia="Arial"/>
          <w:b w:val="0"/>
          <w:i w:val="0"/>
          <w:color w:val="19222C"/>
          <w:sz w:val="16"/>
        </w:rPr>
        <w:t>, reducing design-cycle duration by up to 50% on relevant work.</w:t>
      </w:r>
    </w:p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Delivered construction-cost savings above 15%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 through value engineering, material substitution, design rationalisation and engineering optimisation.</w:t>
      </w:r>
    </w:p>
    <w:p>
      <w:pPr>
        <w:spacing w:before="0" w:after="20" w:line="240" w:lineRule="auto"/>
        <w:ind w:left="238" w:hanging="181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9222C"/>
          <w:sz w:val="16"/>
        </w:rPr>
        <w:t>Managed procurement and tender strategy</w:t>
      </w:r>
      <w:r>
        <w:rPr>
          <w:rFonts w:ascii="Arial" w:hAnsi="Arial" w:eastAsia="Arial"/>
          <w:b w:val="0"/>
          <w:i w:val="0"/>
          <w:color w:val="19222C"/>
          <w:sz w:val="16"/>
        </w:rPr>
        <w:t>, including contractor and supplier prequalification, RFPs, RFQs, TORs, technical evaluations and appointment recommendations.</w:t>
      </w:r>
    </w:p>
    <w:p>
      <w:pPr>
        <w:spacing w:before="40" w:after="40" w:line="240" w:lineRule="auto"/>
        <w:keepNext/>
        <w:pBdr>
          <w:bottom w:val="single" w:sz="5" w:space="2" w:color="A9BFCC"/>
        </w:pBdr>
      </w:pPr>
      <w:r>
        <w:rPr>
          <w:rFonts w:ascii="Arial" w:hAnsi="Arial" w:eastAsia="Arial"/>
          <w:b/>
          <w:i w:val="0"/>
          <w:color w:val="173D55"/>
          <w:sz w:val="18"/>
        </w:rPr>
        <w:t>EARLIER CAREER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Project Architect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Cube Architects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>Jan 2012 - Feb 2013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>Coordinated architectural design, construction documentation, consultant integration and client reviews across residential, commercial and mixed-use assignments.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Project Manager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Creative Urban Designs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>Sep 2010 - Dec 2011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>Managed a 750-sqm retail branch from client and landlord coordination through brand-compliant design development, site supervision, close-out and handover.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Project Architect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Al-Mehanya Real Estate Investment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>Jun 2008 - Aug 2010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>Prepared feasibility studies and budgets, produced 20+ RFP, TOR and scope packages, and coordinated seven real-estate developments while preventing more than 10% in potential overpayment through payment certification and contract enforcement.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Architect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Sigma Consulting Engineers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5"/>
              </w:rPr>
              <w:t>Jun 2004 - Feb 2008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eastAsia="Arial"/>
          <w:b w:val="0"/>
          <w:i w:val="0"/>
          <w:color w:val="19222C"/>
          <w:sz w:val="16"/>
        </w:rPr>
        <w:t>Developed coordinated design, tender and construction packages for banking, university, medical and residential developments, including five Arab Bank branches.</w:t>
      </w:r>
    </w:p>
    <w:p>
      <w:pPr>
        <w:spacing w:before="20" w:after="40" w:line="240" w:lineRule="auto"/>
        <w:keepNext/>
        <w:pBdr>
          <w:bottom w:val="single" w:sz="5" w:space="2" w:color="A9BFCC"/>
        </w:pBdr>
      </w:pPr>
      <w:r>
        <w:rPr>
          <w:rFonts w:ascii="Arial" w:hAnsi="Arial" w:eastAsia="Arial"/>
          <w:b/>
          <w:i w:val="0"/>
          <w:color w:val="173D55"/>
          <w:sz w:val="18"/>
        </w:rPr>
        <w:t>EDUCATION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Global Master's in Construction Project Management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6"/>
              </w:rPr>
              <w:t>2022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9222C"/>
          <w:sz w:val="16"/>
        </w:rPr>
        <w:t>Zigurat Institute / Barcelona University, Spain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Master of Business Administration (MBA)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6"/>
              </w:rPr>
              <w:t>2010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9222C"/>
          <w:sz w:val="16"/>
        </w:rPr>
        <w:t>New York Institute of Technology, USA | GPA 3.93/4.00, with honors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937"/>
        <w:gridCol w:w="2268"/>
      </w:tblGrid>
      <w:tr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9222C"/>
                <w:sz w:val="16"/>
              </w:rPr>
              <w:t>B.Sc. in Architectural Engineering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19222C"/>
                <w:sz w:val="16"/>
              </w:rPr>
              <w:t>2004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9222C"/>
          <w:sz w:val="16"/>
        </w:rPr>
        <w:t>University of Jordan, Jordan | GPA 3.14/4.00</w:t>
      </w:r>
    </w:p>
    <w:p>
      <w:pPr>
        <w:spacing w:before="20" w:after="40" w:line="240" w:lineRule="auto"/>
        <w:keepNext/>
        <w:pBdr>
          <w:bottom w:val="single" w:sz="5" w:space="2" w:color="A9BFCC"/>
        </w:pBdr>
      </w:pPr>
      <w:r>
        <w:rPr>
          <w:rFonts w:ascii="Arial" w:hAnsi="Arial" w:eastAsia="Arial"/>
          <w:b/>
          <w:i w:val="0"/>
          <w:color w:val="173D55"/>
          <w:sz w:val="18"/>
        </w:rPr>
        <w:t>PROFESSIONAL CREDENTIALS &amp; AFFILIATIONS</w:t>
      </w:r>
    </w:p>
    <w:p>
      <w:pPr>
        <w:spacing w:before="0" w:after="40" w:line="240" w:lineRule="auto"/>
        <w:jc w:val="both"/>
      </w:pPr>
      <w:r>
        <w:rPr>
          <w:rFonts w:ascii="Arial" w:hAnsi="Arial" w:eastAsia="Arial"/>
          <w:b/>
          <w:i w:val="0"/>
          <w:color w:val="19222C"/>
          <w:sz w:val="16"/>
        </w:rPr>
        <w:t xml:space="preserve">SCE: 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Consultant (مستشار) classification, Architectural Engineering, valid to Nov 2027  |  </w:t>
      </w:r>
      <w:r>
        <w:rPr>
          <w:rFonts w:ascii="Arial" w:hAnsi="Arial" w:eastAsia="Arial"/>
          <w:b/>
          <w:i w:val="0"/>
          <w:color w:val="19222C"/>
          <w:sz w:val="16"/>
        </w:rPr>
        <w:t xml:space="preserve">Off-Plan Sales Engineering Consultant: 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Saudi Real Estate Institute  |  </w:t>
      </w:r>
      <w:r>
        <w:rPr>
          <w:rFonts w:ascii="Arial" w:hAnsi="Arial" w:eastAsia="Arial"/>
          <w:b/>
          <w:i w:val="0"/>
          <w:color w:val="19222C"/>
          <w:sz w:val="16"/>
        </w:rPr>
        <w:t xml:space="preserve">CMP: 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Contracts Management Professional  |  </w:t>
      </w:r>
      <w:r>
        <w:rPr>
          <w:rFonts w:ascii="Arial" w:hAnsi="Arial" w:eastAsia="Arial"/>
          <w:b/>
          <w:i w:val="0"/>
          <w:color w:val="19222C"/>
          <w:sz w:val="16"/>
        </w:rPr>
        <w:t xml:space="preserve">JEA: </w:t>
      </w:r>
      <w:r>
        <w:rPr>
          <w:rFonts w:ascii="Arial" w:hAnsi="Arial" w:eastAsia="Arial"/>
          <w:b w:val="0"/>
          <w:i w:val="0"/>
          <w:color w:val="19222C"/>
          <w:sz w:val="16"/>
        </w:rPr>
        <w:t>Member</w:t>
      </w:r>
    </w:p>
    <w:p>
      <w:pPr>
        <w:spacing w:before="20" w:after="40" w:line="240" w:lineRule="auto"/>
        <w:keepNext/>
        <w:pBdr>
          <w:bottom w:val="single" w:sz="5" w:space="2" w:color="A9BFCC"/>
        </w:pBdr>
      </w:pPr>
      <w:r>
        <w:rPr>
          <w:rFonts w:ascii="Arial" w:hAnsi="Arial" w:eastAsia="Arial"/>
          <w:b/>
          <w:i w:val="0"/>
          <w:color w:val="173D55"/>
          <w:sz w:val="18"/>
        </w:rPr>
        <w:t>LANGUAGES &amp; NATIONALITY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9222C"/>
          <w:sz w:val="16"/>
        </w:rPr>
        <w:t xml:space="preserve">Arabic: 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Native  |  </w:t>
      </w:r>
      <w:r>
        <w:rPr>
          <w:rFonts w:ascii="Arial" w:hAnsi="Arial" w:eastAsia="Arial"/>
          <w:b/>
          <w:i w:val="0"/>
          <w:color w:val="19222C"/>
          <w:sz w:val="16"/>
        </w:rPr>
        <w:t xml:space="preserve">English: </w:t>
      </w:r>
      <w:r>
        <w:rPr>
          <w:rFonts w:ascii="Arial" w:hAnsi="Arial" w:eastAsia="Arial"/>
          <w:b w:val="0"/>
          <w:i w:val="0"/>
          <w:color w:val="19222C"/>
          <w:sz w:val="16"/>
        </w:rPr>
        <w:t xml:space="preserve">Fluent  |  </w:t>
      </w:r>
      <w:r>
        <w:rPr>
          <w:rFonts w:ascii="Arial" w:hAnsi="Arial" w:eastAsia="Arial"/>
          <w:b/>
          <w:i w:val="0"/>
          <w:color w:val="19222C"/>
          <w:sz w:val="16"/>
        </w:rPr>
        <w:t xml:space="preserve">Nationality: </w:t>
      </w:r>
      <w:r>
        <w:rPr>
          <w:rFonts w:ascii="Arial" w:hAnsi="Arial" w:eastAsia="Arial"/>
          <w:b w:val="0"/>
          <w:i w:val="0"/>
          <w:color w:val="19222C"/>
          <w:sz w:val="16"/>
        </w:rPr>
        <w:t>Jordanian and Brazilian</w:t>
      </w:r>
    </w:p>
    <w:sectPr w:rsidR="00FC693F" w:rsidRPr="0006063C" w:rsidSect="00034616">
      <w:pgSz w:w="11906" w:h="16838"/>
      <w:pgMar w:top="567" w:right="567" w:bottom="567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Abdelhamid Farah CV Template</dc:title>
  <dc:subject>Reusable two-page modern executive sidebar CV template</dc:subject>
  <dc:creator>Abdelhamid Farah</dc:creator>
  <cp:keywords>CV, design governance, architecture, project delivery,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