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486"/>
        <w:gridCol w:w="7172"/>
      </w:tblGrid>
      <w:tr>
        <w:trPr>
          <w:trHeight w:val="15704" w:hRule="exact"/>
        </w:trPr>
        <w:tc>
          <w:tcPr>
            <w:tcW w:type="dxa" w:w="3486"/>
            <w:tcBorders>
              <w:top w:val="nil"/>
              <w:left w:val="nil"/>
              <w:bottom w:val="nil"/>
              <w:right w:val="nil"/>
            </w:tcBorders>
            <w:shd w:fill="173D55"/>
            <w:vAlign w:val="top"/>
            <w:tcMar>
              <w:top w:w="120" w:type="dxa"/>
              <w:start w:w="180" w:type="dxa"/>
              <w:bottom w:w="100" w:type="dxa"/>
              <w:end w:w="160" w:type="dxa"/>
              <w:left w:w="180" w:type="dxa"/>
              <w:right w:w="160" w:type="dxa"/>
            </w:tcMar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shot-email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 w:after="40" w:line="240" w:lineRule="auto"/>
              <w:keepNext/>
              <w:pBdr>
                <w:bottom w:val="single" w:sz="5" w:space="2" w:color="66879A"/>
              </w:pBdr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CORE EXPERTISE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Design Governance &amp; Technical Leadership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Design Management &amp; QA/QC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Programme &amp; Project Delivery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Multidisciplinary Coordination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Constructability &amp; Compliance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BIM Resource &amp; Workflow Planning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Value Engineering &amp; Cost Planning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Contract Administration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Payment Certification &amp; Commercial Assessment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Variations &amp; EOT Analysis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Dispute Avoidance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Procurement &amp; Tender Evaluation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Client &amp; Stakeholder Leadership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HSE Performance Governance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KPI Systems &amp; Digital Controls</w:t>
            </w:r>
          </w:p>
          <w:p>
            <w:pPr>
              <w:spacing w:before="0" w:after="7" w:line="240" w:lineRule="auto"/>
              <w:pBdr>
                <w:bottom w:val="single" w:sz="3" w:space="1" w:color="55778B"/>
              </w:pBdr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Authority Close-out &amp; Handover</w:t>
            </w:r>
          </w:p>
          <w:p>
            <w:pPr>
              <w:spacing w:before="100" w:after="40" w:line="240" w:lineRule="auto"/>
              <w:keepNext/>
              <w:pBdr>
                <w:bottom w:val="single" w:sz="5" w:space="2" w:color="66879A"/>
              </w:pBdr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CREDENTIALS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Saudi Council of Engineers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/>
                <w:sz w:val="18"/>
              </w:rPr>
              <w:t>Classification: Consultant (</w:t>
            </w:r>
            <w:r>
              <w:rPr>
                <w:rFonts w:ascii="Arial" w:hAnsi="Arial" w:eastAsia="Arial" w:cs="Arial"/>
                <w:b/>
                <w:sz w:val="16"/>
              </w:rPr>
              <w:t>مستشار</w:t>
            </w:r>
            <w:r>
              <w:rPr>
                <w:rFonts w:ascii="Arial" w:hAnsi="Arial" w:eastAsia="Arial" w:cs="Arial"/>
                <w:b/>
                <w:sz w:val="18"/>
              </w:rPr>
              <w:t>)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Architectural Engineering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Valid to Nov 2027</w:t>
            </w:r>
          </w:p>
          <w:p>
            <w:pPr>
              <w:spacing w:before="0" w:after="0" w:line="228" w:lineRule="auto"/>
            </w:pP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Saudi Real Estate Institute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Off-Plan Sales Engineering Consultant</w:t>
            </w:r>
          </w:p>
          <w:p>
            <w:pPr>
              <w:spacing w:before="0" w:after="0" w:line="228" w:lineRule="auto"/>
            </w:pP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Contracts Management Professional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CMP</w:t>
            </w:r>
          </w:p>
          <w:p>
            <w:pPr>
              <w:spacing w:before="0" w:after="0" w:line="228" w:lineRule="auto"/>
            </w:pP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Jordanian Engineers Association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Member</w:t>
            </w:r>
          </w:p>
          <w:p>
            <w:pPr>
              <w:spacing w:before="100" w:after="40" w:line="240" w:lineRule="auto"/>
              <w:keepNext/>
              <w:pBdr>
                <w:bottom w:val="single" w:sz="5" w:space="2" w:color="66879A"/>
              </w:pBdr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SECTOR EXPERIENCE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Fuel &amp; mobility infrastructure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Logistics &amp; fulfilment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Healthcare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Entertainment &amp; sports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Workplace &amp; commercial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Residential &amp; mixed-use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Hospitality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Government facilities</w:t>
            </w:r>
          </w:p>
          <w:p>
            <w:pPr>
              <w:spacing w:before="100" w:after="40" w:line="240" w:lineRule="auto"/>
              <w:keepNext/>
              <w:pBdr>
                <w:bottom w:val="single" w:sz="5" w:space="2" w:color="66879A"/>
              </w:pBdr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TOOLS &amp; LANGUAGES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BIM / Revit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AutoCAD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Microsoft Project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Microsoft 365 &amp; live trackers</w:t>
            </w:r>
          </w:p>
          <w:p>
            <w:pPr>
              <w:spacing w:before="0" w:after="0" w:line="228" w:lineRule="auto"/>
            </w:pP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Arabic - Native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FFFFFF"/>
                <w:sz w:val="18"/>
              </w:rPr>
              <w:t>English - Fluent</w:t>
            </w:r>
          </w:p>
        </w:tc>
        <w:tc>
          <w:tcPr>
            <w:tcW w:type="dxa" w:w="7172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10" w:type="dxa"/>
              <w:start w:w="180" w:type="dxa"/>
              <w:bottom w:w="90" w:type="dxa"/>
              <w:end w:w="180" w:type="dxa"/>
              <w:left w:w="180" w:type="dxa"/>
              <w:right w:w="180" w:type="dxa"/>
            </w:tcMar>
          </w:tcPr>
          <w:p>
            <w:pPr>
              <w:spacing w:before="0" w:after="10" w:line="240" w:lineRule="auto"/>
            </w:pPr>
            <w:r>
              <w:rPr>
                <w:rFonts w:ascii="Arial" w:hAnsi="Arial" w:eastAsia="Arial" w:cs="Arial"/>
                <w:b/>
                <w:i w:val="0"/>
                <w:color w:val="1F4E67"/>
                <w:sz w:val="36"/>
              </w:rPr>
              <w:t>Abdelhamid Farah, MBA, MSc</w:t>
            </w:r>
          </w:p>
          <w:p>
            <w:pPr>
              <w:spacing w:before="0" w:after="34" w:line="240" w:lineRule="auto"/>
            </w:pPr>
            <w:r>
              <w:rPr>
                <w:rFonts w:ascii="Arial" w:hAnsi="Arial" w:eastAsia="Arial" w:cs="Arial"/>
                <w:b/>
                <w:i w:val="0"/>
                <w:color w:val="1F4E67"/>
                <w:sz w:val="21"/>
              </w:rPr>
              <w:t>[TARGET ROLE HEADLINE]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52606D"/>
                <w:sz w:val="16"/>
              </w:rPr>
              <w:t>Riyadh, Saudi Arabia | +966 53 079 6449 | hameedfarah@gmail.com | linkedin.com/in/abd-farah</w:t>
            </w:r>
          </w:p>
          <w:p>
            <w:pPr>
              <w:spacing w:before="100" w:after="52" w:line="240" w:lineRule="auto"/>
              <w:keepNext/>
              <w:pBdr>
                <w:bottom w:val="single" w:sz="5" w:space="2" w:color="A9BFCC"/>
              </w:pBdr>
            </w:pPr>
            <w:r>
              <w:rPr>
                <w:rFonts w:ascii="Arial" w:hAnsi="Arial" w:eastAsia="Arial" w:cs="Arial"/>
                <w:b/>
                <w:i w:val="0"/>
                <w:color w:val="1F4E67"/>
                <w:sz w:val="21"/>
              </w:rPr>
              <w:t>LEADERSHIP PROFILE</w:t>
            </w:r>
          </w:p>
          <w:p>
            <w:pPr>
              <w:spacing w:before="0" w:after="64" w:line="260" w:lineRule="auto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  <w:t>[TAILORED PROFILE: 55 TO 75 WORDS. POSITION THE CANDIDATE FOR THE VACANCY, USE THE OFFICIAL TITLE ONLY IN CHRONOLOGY, AND LEAD WITH THE STRONGEST EVIDENCE-SUPPORTED VALUE PROPOSITION.]</w:t>
            </w:r>
          </w:p>
          <w:tbl>
            <w:tblPr>
              <w:tblW w:type="dxa" w:w="6812"/>
              <w:tblLayout w:type="fixed"/>
              <w:tblLook w:firstColumn="1" w:firstRow="1" w:lastColumn="0" w:lastRow="0" w:noHBand="0" w:noVBand="1" w:val="04A0"/>
              <w:jc w:val="left"/>
              <w:tblInd w:w="0" w:type="dxa"/>
              <w:tblCellMar>
                <w:top w:w="105" w:type="dxa"/>
                <w:left w:w="125" w:type="dxa"/>
                <w:start w:w="125" w:type="dxa"/>
                <w:bottom w:w="105" w:type="dxa"/>
                <w:right w:w="125" w:type="dxa"/>
                <w:end w:w="125" w:type="dxa"/>
              </w:tblCellMar>
            </w:tblPr>
            <w:tblGrid>
              <w:gridCol w:w="2271"/>
              <w:gridCol w:w="2270"/>
              <w:gridCol w:w="2270"/>
            </w:tblGrid>
            <w:tr>
              <w:trPr>
                <w:trHeight w:val="737" w:hRule="atLeast"/>
              </w:trPr>
              <w:tc>
                <w:tcPr>
                  <w:tcW w:type="dxa" w:w="2271"/>
                  <w:shd w:fill="EAF1F5"/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4E67"/>
                      <w:sz w:val="22"/>
                    </w:rPr>
                    <w:t>[M1]</w:t>
                  </w:r>
                </w:p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3"/>
                    </w:rPr>
                    <w:t>[VACANCY-RELEVANT CAREER TOTAL]</w:t>
                  </w:r>
                </w:p>
              </w:tc>
              <w:tc>
                <w:tcPr>
                  <w:tcW w:type="dxa" w:w="2270"/>
                  <w:shd w:fill="EAF1F5"/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4E67"/>
                      <w:sz w:val="22"/>
                    </w:rPr>
                    <w:t>[M2]</w:t>
                  </w:r>
                </w:p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3"/>
                    </w:rPr>
                    <w:t>[VACANCY-RELEVANT CAREER TOTAL]</w:t>
                  </w:r>
                </w:p>
              </w:tc>
              <w:tc>
                <w:tcPr>
                  <w:tcW w:type="dxa" w:w="2270"/>
                  <w:shd w:fill="EAF1F5"/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4E67"/>
                      <w:sz w:val="22"/>
                    </w:rPr>
                    <w:t>[M3]</w:t>
                  </w:r>
                </w:p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3"/>
                    </w:rPr>
                    <w:t>[VACANCY-RELEVANT CAREER TOTAL]</w:t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2271"/>
                  <w:shd w:fill="EAF1F5"/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4E67"/>
                      <w:sz w:val="22"/>
                    </w:rPr>
                    <w:t>[M4]</w:t>
                  </w:r>
                </w:p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3"/>
                    </w:rPr>
                    <w:t>[VACANCY-RELEVANT OUTCOME]</w:t>
                  </w:r>
                </w:p>
              </w:tc>
              <w:tc>
                <w:tcPr>
                  <w:tcW w:type="dxa" w:w="2270"/>
                  <w:shd w:fill="EAF1F5"/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4E67"/>
                      <w:sz w:val="22"/>
                    </w:rPr>
                    <w:t>[M5]</w:t>
                  </w:r>
                </w:p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3"/>
                    </w:rPr>
                    <w:t>[VACANCY-RELEVANT OUTCOME]</w:t>
                  </w:r>
                </w:p>
              </w:tc>
              <w:tc>
                <w:tcPr>
                  <w:tcW w:type="dxa" w:w="2270"/>
                  <w:shd w:fill="EAF1F5"/>
                  <w:tcBorders>
                    <w:top w:val="single" w:sz="14" w:color="173D55"/>
                    <w:left w:val="single" w:sz="4" w:color="FFFFFF"/>
                    <w:bottom w:val="single" w:sz="4" w:color="FFFFFF"/>
                    <w:right w:val="single" w:sz="4" w:color="FFFFFF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4E67"/>
                      <w:sz w:val="22"/>
                    </w:rPr>
                    <w:t>[M6]</w:t>
                  </w:r>
                </w:p>
                <w:p>
                  <w:pPr>
                    <w:spacing w:before="0" w:after="4" w:line="240" w:lineRule="auto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3"/>
                    </w:rPr>
                    <w:t>[VACANCY-RELEVANT OUTCOME]</w:t>
                  </w:r>
                </w:p>
              </w:tc>
            </w:tr>
          </w:tbl>
          <w:p/>
          <w:p>
            <w:pPr>
              <w:spacing w:before="100" w:after="52" w:line="240" w:lineRule="auto"/>
              <w:keepNext/>
              <w:pBdr>
                <w:bottom w:val="single" w:sz="5" w:space="2" w:color="A9BFCC"/>
              </w:pBdr>
            </w:pPr>
            <w:r>
              <w:rPr>
                <w:rFonts w:ascii="Arial" w:hAnsi="Arial" w:eastAsia="Arial" w:cs="Arial"/>
                <w:b/>
                <w:i w:val="0"/>
                <w:color w:val="1F4E67"/>
                <w:sz w:val="21"/>
              </w:rPr>
              <w:t>PROFESSIONAL EXPERIENCE</w:t>
            </w:r>
          </w:p>
          <w:tbl>
            <w:tblPr>
              <w:tblW w:type="dxa" w:w="6812"/>
              <w:tblLayout w:type="fixed"/>
              <w:tblLook w:firstColumn="1" w:firstRow="1" w:lastColumn="0" w:lastRow="0" w:noHBand="0" w:noVBand="1" w:val="04A0"/>
              <w:jc w:val="left"/>
              <w:tblInd w:w="0" w:type="dxa"/>
              <w:tblCellMar>
                <w:top w:w="55" w:type="dxa"/>
                <w:left w:w="0" w:type="dxa"/>
                <w:start w:w="0" w:type="dxa"/>
                <w:bottom w:w="55" w:type="dxa"/>
                <w:right w:w="0" w:type="dxa"/>
                <w:end w:w="0" w:type="dxa"/>
              </w:tblCellMar>
            </w:tblPr>
            <w:tblGrid>
              <w:gridCol w:w="4805"/>
              <w:gridCol w:w="2006"/>
            </w:tblGrid>
            <w:tr>
              <w:tc>
                <w:tcPr>
                  <w:tcW w:type="dxa" w:w="480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16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2933"/>
                      <w:sz w:val="19"/>
                    </w:rPr>
                    <w:t>District Manager</w:t>
                  </w:r>
                </w:p>
                <w:p>
                  <w:pPr>
                    <w:spacing w:before="0" w:after="16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2933"/>
                      <w:sz w:val="19"/>
                    </w:rPr>
                    <w:t>Arab Sustainable Architecture / Tubaila Team Workshop (TTW)</w:t>
                  </w:r>
                </w:p>
              </w:tc>
              <w:tc>
                <w:tcPr>
                  <w:tcW w:type="dxa" w:w="2006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16" w:line="240" w:lineRule="auto"/>
                    <w:jc w:val="righ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52606D"/>
                      <w:sz w:val="17"/>
                    </w:rPr>
                    <w:t>Dec 2022 - Present</w:t>
                  </w:r>
                </w:p>
                <w:p>
                  <w:pPr>
                    <w:spacing w:before="0" w:after="16" w:line="240" w:lineRule="auto"/>
                    <w:jc w:val="righ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52606D"/>
                      <w:sz w:val="17"/>
                    </w:rPr>
                    <w:t>Riyadh, Saudi Arabia</w:t>
                  </w:r>
                </w:p>
              </w:tc>
            </w:tr>
          </w:tbl>
          <w:p/>
          <w:p>
            <w:pPr>
              <w:spacing w:before="0" w:after="30" w:line="245" w:lineRule="auto"/>
              <w:ind w:left="238" w:hanging="181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  <w:t>• [ACHIEVEMENT 1: PEOPLE OR PORTFOLIO SCALE] [Explain scope and leadership result with one specific number.]</w:t>
            </w:r>
            <w:r>
              <w:rPr>
                <w:rFonts w:ascii="Arial" w:hAnsi="Arial" w:eastAsia="Arial" w:cs="Arial"/>
                <w:b/>
                <w:i w:val="0"/>
                <w:color w:val="1F2933"/>
                <w:sz w:val="18"/>
              </w:rPr>
            </w: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</w:r>
          </w:p>
          <w:p>
            <w:pPr>
              <w:spacing w:before="0" w:after="30" w:line="245" w:lineRule="auto"/>
              <w:ind w:left="238" w:hanging="181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  <w:t>• [ACHIEVEMENT 2: DIGITAL OR GOVERNANCE IMPROVEMENT] [State method and measurable operational outcome.]</w:t>
            </w:r>
            <w:r>
              <w:rPr>
                <w:rFonts w:ascii="Arial" w:hAnsi="Arial" w:eastAsia="Arial" w:cs="Arial"/>
                <w:b/>
                <w:i w:val="0"/>
                <w:color w:val="1F2933"/>
                <w:sz w:val="18"/>
              </w:rPr>
            </w: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</w:r>
          </w:p>
          <w:p>
            <w:pPr>
              <w:spacing w:before="0" w:after="30" w:line="245" w:lineRule="auto"/>
              <w:ind w:left="238" w:hanging="181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  <w:t>• [ACHIEVEMENT 3: VALUE ENGINEERING OR COST RESULT] [Use one or two related numbers only.]</w:t>
            </w:r>
            <w:r>
              <w:rPr>
                <w:rFonts w:ascii="Arial" w:hAnsi="Arial" w:eastAsia="Arial" w:cs="Arial"/>
                <w:b/>
                <w:i w:val="0"/>
                <w:color w:val="1F2933"/>
                <w:sz w:val="18"/>
              </w:rPr>
            </w: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</w:r>
          </w:p>
          <w:p>
            <w:pPr>
              <w:spacing w:before="0" w:after="30" w:line="245" w:lineRule="auto"/>
              <w:ind w:left="238" w:hanging="181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  <w:t>• [ACHIEVEMENT 4: CONTRACT OR COMMERCIAL CONTROL] [Use technical contract-administration language and avoid generic claims terminology.]</w:t>
            </w:r>
            <w:r>
              <w:rPr>
                <w:rFonts w:ascii="Arial" w:hAnsi="Arial" w:eastAsia="Arial" w:cs="Arial"/>
                <w:b/>
                <w:i w:val="0"/>
                <w:color w:val="1F2933"/>
                <w:sz w:val="18"/>
              </w:rPr>
            </w: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</w:r>
          </w:p>
          <w:p>
            <w:pPr>
              <w:spacing w:before="0" w:after="30" w:line="245" w:lineRule="auto"/>
              <w:ind w:left="238" w:hanging="181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  <w:t>• [ACHIEVEMENT 5: RESOURCE OR DELIVERY MODEL] [Summarise the overall result without confidential project names.]</w:t>
            </w:r>
            <w:r>
              <w:rPr>
                <w:rFonts w:ascii="Arial" w:hAnsi="Arial" w:eastAsia="Arial" w:cs="Arial"/>
                <w:b/>
                <w:i w:val="0"/>
                <w:color w:val="1F2933"/>
                <w:sz w:val="18"/>
              </w:rPr>
            </w: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</w:r>
          </w:p>
          <w:p>
            <w:pPr>
              <w:spacing w:before="0" w:after="30" w:line="245" w:lineRule="auto"/>
              <w:ind w:left="238" w:hanging="181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  <w:t>• [ACHIEVEMENT 6: MAJOR CLIENT OR SECTOR PORTFOLIO] [Use recognisable end-client context only when supported.]</w:t>
            </w:r>
            <w:r>
              <w:rPr>
                <w:rFonts w:ascii="Arial" w:hAnsi="Arial" w:eastAsia="Arial" w:cs="Arial"/>
                <w:b/>
                <w:i w:val="0"/>
                <w:color w:val="1F2933"/>
                <w:sz w:val="18"/>
              </w:rPr>
            </w: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</w:r>
          </w:p>
          <w:p>
            <w:pPr>
              <w:spacing w:before="0" w:after="30" w:line="245" w:lineRule="auto"/>
              <w:ind w:left="238" w:hanging="181"/>
              <w:jc w:val="both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  <w:t>• [ACHIEVEMENT 7: CLIENT AND STAKEHOLDER LEADERSHIP] [Show decision-making and risk control.]</w:t>
            </w:r>
            <w:r>
              <w:rPr>
                <w:rFonts w:ascii="Arial" w:hAnsi="Arial" w:eastAsia="Arial" w:cs="Arial"/>
                <w:b/>
                <w:i w:val="0"/>
                <w:color w:val="1F2933"/>
                <w:sz w:val="18"/>
              </w:rPr>
            </w:r>
            <w:r>
              <w:rPr>
                <w:rFonts w:ascii="Arial" w:hAnsi="Arial" w:eastAsia="Arial" w:cs="Arial"/>
                <w:b w:val="0"/>
                <w:i w:val="0"/>
                <w:color w:val="1F2933"/>
                <w:sz w:val="18"/>
              </w:rPr>
            </w:r>
          </w:p>
          <w:p>
            <w:pPr>
              <w:spacing w:before="100" w:after="52" w:line="240" w:lineRule="auto"/>
              <w:keepNext/>
              <w:pBdr>
                <w:bottom w:val="single" w:sz="5" w:space="2" w:color="A9BFCC"/>
              </w:pBdr>
            </w:pPr>
            <w:r>
              <w:rPr>
                <w:rFonts w:ascii="Arial" w:hAnsi="Arial" w:eastAsia="Arial" w:cs="Arial"/>
                <w:b/>
                <w:i w:val="0"/>
                <w:color w:val="1F4E67"/>
                <w:sz w:val="21"/>
              </w:rPr>
              <w:t>SELECTED SAUDI EVIDENCE</w:t>
            </w:r>
          </w:p>
          <w:tbl>
            <w:tblPr>
              <w:tblW w:type="dxa" w:w="6812"/>
              <w:tblLayout w:type="fixed"/>
              <w:tblLook w:firstColumn="1" w:firstRow="1" w:lastColumn="0" w:lastRow="0" w:noHBand="0" w:noVBand="1" w:val="04A0"/>
              <w:jc w:val="left"/>
              <w:tblInd w:w="0" w:type="dxa"/>
              <w:tblCellMar>
                <w:top w:w="210" w:type="dxa"/>
                <w:left w:w="230" w:type="dxa"/>
                <w:start w:w="230" w:type="dxa"/>
                <w:bottom w:w="200" w:type="dxa"/>
                <w:right w:w="230" w:type="dxa"/>
                <w:end w:w="230" w:type="dxa"/>
              </w:tblCellMar>
            </w:tblPr>
            <w:tblGrid>
              <w:gridCol w:w="3406"/>
              <w:gridCol w:w="3406"/>
            </w:tblGrid>
            <w:tr>
              <w:tc>
                <w:tcPr>
                  <w:tcW w:type="dxa" w:w="3406"/>
                  <w:tcBorders>
                    <w:top w:val="single" w:sz="5" w:color="B4C6D2"/>
                    <w:left w:val="single" w:sz="5" w:color="B4C6D2"/>
                    <w:bottom w:val="single" w:sz="5" w:color="B4C6D2"/>
                    <w:right w:val="single" w:sz="5" w:color="B4C6D2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2933"/>
                      <w:sz w:val="15"/>
                    </w:rPr>
                    <w:t>[EVIDENCE CARD 1]</w:t>
                  </w:r>
                </w:p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5"/>
                    </w:rPr>
                    <w:t>[One concise evidence statement with no more than two numbers.]</w:t>
                  </w:r>
                </w:p>
              </w:tc>
              <w:tc>
                <w:tcPr>
                  <w:tcW w:type="dxa" w:w="3406"/>
                  <w:tcBorders>
                    <w:top w:val="single" w:sz="5" w:color="B4C6D2"/>
                    <w:left w:val="single" w:sz="5" w:color="B4C6D2"/>
                    <w:bottom w:val="single" w:sz="5" w:color="B4C6D2"/>
                    <w:right w:val="single" w:sz="5" w:color="B4C6D2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2933"/>
                      <w:sz w:val="15"/>
                    </w:rPr>
                    <w:t>[EVIDENCE CARD 2]</w:t>
                  </w:r>
                </w:p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5"/>
                    </w:rPr>
                    <w:t>[One concise evidence statement. Protect confidential client and programme names.]</w:t>
                  </w:r>
                </w:p>
              </w:tc>
            </w:tr>
            <w:tr>
              <w:tc>
                <w:tcPr>
                  <w:tcW w:type="dxa" w:w="3406"/>
                  <w:tcBorders>
                    <w:top w:val="single" w:sz="5" w:color="B4C6D2"/>
                    <w:left w:val="single" w:sz="5" w:color="B4C6D2"/>
                    <w:bottom w:val="single" w:sz="5" w:color="B4C6D2"/>
                    <w:right w:val="single" w:sz="5" w:color="B4C6D2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2933"/>
                      <w:sz w:val="15"/>
                    </w:rPr>
                    <w:t>[EVIDENCE CARD 3]</w:t>
                  </w:r>
                </w:p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5"/>
                    </w:rPr>
                    <w:t>[One concise evidence statement using a recognised client or sector context.]</w:t>
                  </w:r>
                </w:p>
              </w:tc>
              <w:tc>
                <w:tcPr>
                  <w:tcW w:type="dxa" w:w="3406"/>
                  <w:tcBorders>
                    <w:top w:val="single" w:sz="5" w:color="B4C6D2"/>
                    <w:left w:val="single" w:sz="5" w:color="B4C6D2"/>
                    <w:bottom w:val="single" w:sz="5" w:color="B4C6D2"/>
                    <w:right w:val="single" w:sz="5" w:color="B4C6D2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2933"/>
                      <w:sz w:val="15"/>
                    </w:rPr>
                    <w:t>[EVIDENCE CARD 4]</w:t>
                  </w:r>
                </w:p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1F2933"/>
                      <w:sz w:val="15"/>
                    </w:rPr>
                    <w:t>[One concise evidence statement focused on governance, cost, programme or contract outcome.]</w:t>
                  </w:r>
                </w:p>
              </w:tc>
            </w:tr>
          </w:tbl>
          <w:tbl>
            <w:tblPr>
              <w:tblW w:type="dxa" w:w="6812"/>
              <w:jc w:val="left"/>
              <w:tblLayout w:type="fixed"/>
              <w:tblLook w:firstColumn="1" w:firstRow="1" w:lastColumn="0" w:lastRow="0" w:noHBand="0" w:noVBand="1" w:val="04A0"/>
              <w:tblCellMar>
                <w:top w:w="170" w:type="dxa"/>
                <w:left w:w="230" w:type="dxa"/>
                <w:start w:w="230" w:type="dxa"/>
                <w:bottom w:w="170" w:type="dxa"/>
                <w:right w:w="230" w:type="dxa"/>
                <w:end w:w="230" w:type="dxa"/>
              </w:tblCellMar>
              <w:tblInd w:w="0" w:type="dxa"/>
            </w:tblPr>
            <w:tblGrid>
              <w:gridCol w:w="6812"/>
            </w:tblGrid>
            <w:tr>
              <w:tc>
                <w:tcPr>
                  <w:tcW w:type="dxa" w:w="6812"/>
                  <w:shd w:fill="F1F4F6"/>
                  <w:tcBorders>
                    <w:top w:val="nil"/>
                    <w:left w:val="single" w:sz="18" w:color="60798A"/>
                    <w:bottom w:val="nil"/>
                    <w:right w:val="nil"/>
                  </w:tcBorders>
                  <w:tcMar>
                    <w:top w:w="75" w:type="dxa"/>
                    <w:start w:w="135" w:type="dxa"/>
                    <w:bottom w:w="75" w:type="dxa"/>
                    <w:end w:w="135" w:type="dxa"/>
                    <w:left w:w="135" w:type="dxa"/>
                    <w:right w:w="135" w:type="dxa"/>
                  </w:tcMar>
                </w:tcPr>
                <w:p>
                  <w:pPr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1F2933"/>
                      <w:sz w:val="15"/>
                    </w:rPr>
                    <w:t>Representative KSA context: [LIST ONLY VERIFIED, RECOGNISABLE CLIENTS OR SECTORS. DO NOT USE UNSUPPORTED PROJECTS, MINOR BRANDS OR CONFIDENTIAL NAMES.]</w:t>
                  </w:r>
                </w:p>
              </w:tc>
            </w:tr>
          </w:tbl>
          <w:p>
            <w:pPr>
              <w:keepNext/>
              <w:spacing w:before="100" w:after="52" w:line="240" w:lineRule="auto"/>
              <w:pBdr>
                <w:bottom w:val="single" w:sz="7" w:space="1" w:color="A9C4D3"/>
              </w:pBdr>
            </w:pPr>
            <w:r>
              <w:rPr>
                <w:rFonts w:ascii="Arial" w:hAnsi="Arial" w:eastAsia="Arial" w:cs="Arial"/>
                <w:b/>
                <w:color w:val="1F4E67"/>
                <w:sz w:val="21"/>
              </w:rPr>
              <w:t>DESIGN MANAGER / SENIOR ARCHITECT</w:t>
            </w:r>
          </w:p>
          <w:p>
            <w:pPr>
              <w:spacing w:before="0" w:after="44" w:line="240" w:lineRule="auto"/>
            </w:pPr>
            <w:r>
              <w:rPr>
                <w:rFonts w:ascii="Arial" w:hAnsi="Arial" w:eastAsia="Arial" w:cs="Arial"/>
                <w:b/>
                <w:color w:val="1F2933"/>
                <w:sz w:val="17"/>
              </w:rPr>
              <w:t>Cube Architects | Amman, Jordan | Mar 2013 - Nov 2022</w:t>
            </w:r>
          </w:p>
          <w:p>
            <w:pPr>
              <w:spacing w:before="0" w:after="30" w:line="245" w:lineRule="auto"/>
              <w:ind w:left="144" w:hanging="144"/>
              <w:jc w:val="both"/>
            </w:pPr>
            <w:r>
              <w:rPr>
                <w:rFonts w:ascii="Arial" w:hAnsi="Arial" w:eastAsia="Arial" w:cs="Arial"/>
                <w:b w:val="0"/>
                <w:color w:val="1F2933"/>
                <w:sz w:val="18"/>
              </w:rPr>
              <w:t>• Led multidisciplinary design delivery across 25 developments from concept through tender and construction information, covering residential, office, retail and mixed-use assets.</w:t>
            </w:r>
          </w:p>
          <w:p>
            <w:pPr>
              <w:spacing w:before="0" w:after="30" w:line="245" w:lineRule="auto"/>
              <w:ind w:left="144" w:hanging="144"/>
              <w:jc w:val="both"/>
            </w:pPr>
            <w:r>
              <w:rPr>
                <w:rFonts w:ascii="Arial" w:hAnsi="Arial" w:eastAsia="Arial" w:cs="Arial"/>
                <w:b w:val="0"/>
                <w:color w:val="1F2933"/>
                <w:sz w:val="18"/>
              </w:rPr>
              <w:t>• Directed a core team of 10+ designers and engineers, coordinating architecture, structure and MEP while enforcing QA/QC and maintaining design intent through tender and site support.</w:t>
            </w:r>
          </w:p>
          <w:p>
            <w:pPr>
              <w:spacing w:before="0" w:after="30" w:line="245" w:lineRule="auto"/>
              <w:ind w:left="144" w:hanging="144"/>
              <w:jc w:val="both"/>
            </w:pPr>
            <w:r>
              <w:rPr>
                <w:rFonts w:ascii="Arial" w:hAnsi="Arial" w:eastAsia="Arial" w:cs="Arial"/>
                <w:b w:val="0"/>
                <w:color w:val="1F2933"/>
                <w:sz w:val="18"/>
              </w:rPr>
              <w:t>• Delivered major commercial assets including a 39,562-sqm executive office tower and a 79,682-sqm office complex, coordinating specialist consultants and design interfaces.</w:t>
            </w:r>
          </w:p>
        </w:tc>
      </w:tr>
    </w:tbl>
    <w:p>
      <w:pPr>
        <w:tabs>
          <w:tab w:val="right" w:pos="10658"/>
        </w:tabs>
        <w:keepNext/>
        <w:spacing w:before="0" w:after="40" w:line="240" w:lineRule="auto"/>
        <w:pageBreakBefore/>
        <w:ind w:left="0" w:right="0" w:firstLine="0"/>
      </w:pPr>
      <w:r>
        <w:rPr>
          <w:rFonts w:ascii="Arial" w:hAnsi="Arial"/>
          <w:b/>
          <w:color w:val="173D55"/>
          <w:sz w:val="33"/>
        </w:rPr>
        <w:t>Abdelhamid Farah</w:t>
      </w:r>
      <w:r>
        <w:rPr>
          <w:rFonts w:ascii="Arial" w:hAnsi="Arial"/>
          <w:color w:val="5A6973"/>
          <w:sz w:val="14"/>
        </w:rPr>
        <w:tab/>
        <w:t>+966 53 079 6449 | hameedfarah@gmail.com | linkedin.com/in/abd-farah</w:t>
      </w:r>
    </w:p>
    <w:p>
      <w:pPr>
        <w:spacing w:before="0" w:after="20" w:line="240" w:lineRule="auto"/>
        <w:pBdr>
          <w:bottom w:val="single" w:sz="14" w:color="173D55"/>
        </w:pBdr>
        <w:ind w:left="0" w:right="0" w:firstLine="0"/>
      </w:pPr>
    </w:p>
    <w:p>
      <w:pPr>
        <w:keepNext/>
        <w:spacing w:before="30" w:after="40" w:line="240" w:lineRule="auto"/>
        <w:pBdr>
          <w:bottom w:val="single" w:sz="7" w:space="1" w:color="A9C4D3"/>
        </w:pBdr>
        <w:ind w:left="0" w:right="0" w:firstLine="0"/>
      </w:pPr>
      <w:r>
        <w:rPr>
          <w:rFonts w:ascii="Arial" w:hAnsi="Arial" w:eastAsia="Arial" w:cs="Arial"/>
          <w:b/>
          <w:color w:val="1F4E67"/>
          <w:sz w:val="21"/>
        </w:rPr>
        <w:t>DESIGN MANAGER / SENIOR ARCHITECT - CONTINUED</w:t>
      </w:r>
    </w:p>
    <w:p>
      <w:pPr>
        <w:spacing w:before="0" w:after="40" w:line="240" w:lineRule="auto"/>
        <w:ind w:left="0" w:right="0" w:firstLine="0"/>
      </w:pPr>
      <w:r>
        <w:rPr>
          <w:rFonts w:ascii="Arial" w:hAnsi="Arial" w:eastAsia="Arial" w:cs="Arial"/>
          <w:b/>
          <w:color w:val="1F2933"/>
          <w:sz w:val="17"/>
        </w:rPr>
        <w:t>Cube Architects | Amman, Jordan | Mar 2013 - Nov 2022</w:t>
      </w:r>
    </w:p>
    <w:p>
      <w:pPr>
        <w:spacing w:before="0" w:after="40" w:line="247" w:lineRule="auto"/>
        <w:ind w:left="198" w:right="0" w:hanging="142"/>
        <w:jc w:val="both"/>
      </w:pPr>
      <w:r>
        <w:rPr>
          <w:rFonts w:ascii="Arial" w:hAnsi="Arial" w:eastAsia="Arial" w:cs="Arial"/>
          <w:b w:val="0"/>
          <w:color w:val="1F2933"/>
          <w:sz w:val="18"/>
        </w:rPr>
        <w:t>• Negotiated and formalised 30+ client and contractor agreements under FIDIC-based and local frameworks, aligning scope, deliverables and commercial risk.</w:t>
      </w:r>
    </w:p>
    <w:p>
      <w:pPr>
        <w:spacing w:before="0" w:after="40" w:line="247" w:lineRule="auto"/>
        <w:ind w:left="198" w:right="0" w:hanging="142"/>
        <w:jc w:val="both"/>
      </w:pPr>
      <w:r>
        <w:rPr>
          <w:rFonts w:ascii="Arial" w:hAnsi="Arial" w:eastAsia="Arial" w:cs="Arial"/>
          <w:b w:val="0"/>
          <w:color w:val="1F2933"/>
          <w:sz w:val="18"/>
        </w:rPr>
        <w:t>• Led BIM/Revit adoption and internal quality-management workflows, reducing design-cycle duration by up to 50% on relevant work.</w:t>
      </w:r>
    </w:p>
    <w:p>
      <w:pPr>
        <w:spacing w:before="0" w:after="40" w:line="247" w:lineRule="auto"/>
        <w:ind w:left="198" w:right="0" w:hanging="142"/>
        <w:jc w:val="both"/>
      </w:pPr>
      <w:r>
        <w:rPr>
          <w:rFonts w:ascii="Arial" w:hAnsi="Arial" w:eastAsia="Arial" w:cs="Arial"/>
          <w:b w:val="0"/>
          <w:color w:val="1F2933"/>
          <w:sz w:val="18"/>
        </w:rPr>
        <w:t>• Delivered construction-cost savings above 15% through value engineering, material substitutions and design optimisation.</w:t>
      </w:r>
    </w:p>
    <w:p>
      <w:pPr>
        <w:spacing w:before="0" w:after="40" w:line="247" w:lineRule="auto"/>
        <w:ind w:left="198" w:right="0" w:hanging="142"/>
        <w:jc w:val="both"/>
      </w:pPr>
      <w:r>
        <w:rPr>
          <w:rFonts w:ascii="Arial" w:hAnsi="Arial" w:eastAsia="Arial" w:cs="Arial"/>
          <w:b w:val="0"/>
          <w:color w:val="1F2933"/>
          <w:sz w:val="18"/>
        </w:rPr>
        <w:t>• Managed procurement and tender strategy, including contractor and supplier prequalification, RFP packages, bid reviews and technical-commercial evaluation.</w:t>
      </w:r>
    </w:p>
    <w:p>
      <w:pPr>
        <w:spacing w:before="80" w:after="40" w:line="240" w:lineRule="auto"/>
        <w:keepNext/>
        <w:pBdr>
          <w:bottom w:val="single" w:sz="6" w:space="1" w:color="A9C4D3"/>
        </w:pBdr>
        <w:ind w:left="0" w:right="0" w:firstLine="0"/>
      </w:pPr>
      <w:r>
        <w:rPr>
          <w:rFonts w:ascii="Arial" w:hAnsi="Arial" w:eastAsia="Arial" w:cs="Arial"/>
          <w:b/>
          <w:i w:val="0"/>
          <w:color w:val="1F4E67"/>
          <w:sz w:val="21"/>
        </w:rPr>
        <w:t>EARLIER CAREER</w:t>
      </w:r>
    </w:p>
    <w:tbl>
      <w:tblPr>
        <w:tblW w:type="dxa" w:w="1065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289"/>
        <w:gridCol w:w="2368"/>
      </w:tblGrid>
      <w:tr>
        <w:tc>
          <w:tcPr>
            <w:tcW w:type="dxa" w:w="8289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Project Architect</w:t>
            </w:r>
          </w:p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Cube Architects</w:t>
            </w:r>
          </w:p>
        </w:tc>
        <w:tc>
          <w:tcPr>
            <w:tcW w:type="dxa" w:w="236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7"/>
              </w:rPr>
              <w:t>Jan 2012 - Feb 2013</w:t>
            </w:r>
          </w:p>
        </w:tc>
      </w:tr>
    </w:tbl>
    <w:p>
      <w:pPr>
        <w:spacing w:before="0" w:after="40" w:line="247" w:lineRule="auto"/>
        <w:jc w:val="both"/>
        <w:ind w:left="0" w:right="0" w:firstLine="0"/>
      </w:pPr>
      <w:r>
        <w:rPr>
          <w:rFonts w:ascii="Arial" w:hAnsi="Arial" w:eastAsia="Arial" w:cs="Arial"/>
          <w:b w:val="0"/>
          <w:i w:val="0"/>
          <w:color w:val="1F2933"/>
          <w:sz w:val="18"/>
        </w:rPr>
        <w:t>Coordinated architectural design, construction documentation, consultant integration and client reviews across residential, commercial and mixed-use assignments.</w:t>
      </w:r>
    </w:p>
    <w:tbl>
      <w:tblPr>
        <w:tblW w:type="dxa" w:w="1065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289"/>
        <w:gridCol w:w="2368"/>
      </w:tblGrid>
      <w:tr>
        <w:tc>
          <w:tcPr>
            <w:tcW w:type="dxa" w:w="8289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Project Manager</w:t>
            </w:r>
          </w:p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Creative Urban Designs</w:t>
            </w:r>
          </w:p>
        </w:tc>
        <w:tc>
          <w:tcPr>
            <w:tcW w:type="dxa" w:w="236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7"/>
              </w:rPr>
              <w:t>Sep 2010 - Dec 2011</w:t>
            </w:r>
          </w:p>
        </w:tc>
      </w:tr>
    </w:tbl>
    <w:p>
      <w:pPr>
        <w:spacing w:before="0" w:after="40" w:line="247" w:lineRule="auto"/>
        <w:jc w:val="both"/>
        <w:ind w:left="0" w:right="0" w:firstLine="0"/>
      </w:pPr>
      <w:r>
        <w:rPr>
          <w:rFonts w:ascii="Arial" w:hAnsi="Arial" w:eastAsia="Arial" w:cs="Arial"/>
          <w:b w:val="0"/>
          <w:i w:val="0"/>
          <w:color w:val="1F2933"/>
          <w:sz w:val="18"/>
        </w:rPr>
        <w:t>Managed a 750-sqm retail branch from client and landlord coordination through brand-compliant design development, site supervision, close-out and handover.</w:t>
      </w:r>
    </w:p>
    <w:tbl>
      <w:tblPr>
        <w:tblW w:type="dxa" w:w="1065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289"/>
        <w:gridCol w:w="2368"/>
      </w:tblGrid>
      <w:tr>
        <w:tc>
          <w:tcPr>
            <w:tcW w:type="dxa" w:w="8289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Project Architect</w:t>
            </w:r>
          </w:p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Al-Mehanya Real Estate Investment</w:t>
            </w:r>
          </w:p>
        </w:tc>
        <w:tc>
          <w:tcPr>
            <w:tcW w:type="dxa" w:w="236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7"/>
              </w:rPr>
              <w:t>Jun 2008 - Aug 2010</w:t>
            </w:r>
          </w:p>
        </w:tc>
      </w:tr>
    </w:tbl>
    <w:p>
      <w:pPr>
        <w:spacing w:before="0" w:after="40" w:line="247" w:lineRule="auto"/>
        <w:jc w:val="both"/>
        <w:ind w:left="0" w:right="0" w:firstLine="0"/>
      </w:pPr>
      <w:r>
        <w:rPr>
          <w:rFonts w:ascii="Arial" w:hAnsi="Arial" w:eastAsia="Arial" w:cs="Arial"/>
          <w:b w:val="0"/>
          <w:i w:val="0"/>
          <w:color w:val="1F2933"/>
          <w:sz w:val="18"/>
        </w:rPr>
        <w:t>Prepared feasibility studies and budgets, produced 20+ RFP, TOR and scope packages, and coordinated seven real-estate developments while preventing more than 10% in potential overpayment through payment certification and contract enforcement.</w:t>
      </w:r>
    </w:p>
    <w:tbl>
      <w:tblPr>
        <w:tblW w:type="dxa" w:w="1065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289"/>
        <w:gridCol w:w="2368"/>
      </w:tblGrid>
      <w:tr>
        <w:tc>
          <w:tcPr>
            <w:tcW w:type="dxa" w:w="8289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Architect</w:t>
            </w:r>
          </w:p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Sigma Consulting Engineers</w:t>
            </w:r>
          </w:p>
        </w:tc>
        <w:tc>
          <w:tcPr>
            <w:tcW w:type="dxa" w:w="236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7"/>
              </w:rPr>
              <w:t>Jun 2004 - Feb 2008</w:t>
            </w:r>
          </w:p>
        </w:tc>
      </w:tr>
    </w:tbl>
    <w:p>
      <w:pPr>
        <w:spacing w:before="0" w:after="40" w:line="247" w:lineRule="auto"/>
        <w:jc w:val="both"/>
        <w:ind w:left="0" w:right="0" w:firstLine="0"/>
      </w:pPr>
      <w:r>
        <w:rPr>
          <w:rFonts w:ascii="Arial" w:hAnsi="Arial" w:eastAsia="Arial" w:cs="Arial"/>
          <w:b w:val="0"/>
          <w:i w:val="0"/>
          <w:color w:val="1F2933"/>
          <w:sz w:val="18"/>
        </w:rPr>
        <w:t>Developed coordinated design, tender and construction packages for banking, university, medical and residential developments, including five Arab Bank branches.</w:t>
      </w:r>
    </w:p>
    <w:p>
      <w:pPr>
        <w:spacing w:before="80" w:after="40" w:line="240" w:lineRule="auto"/>
        <w:keepNext/>
        <w:pBdr>
          <w:bottom w:val="single" w:sz="6" w:space="1" w:color="A9C4D3"/>
        </w:pBdr>
        <w:ind w:left="0" w:right="0" w:firstLine="0"/>
      </w:pPr>
      <w:r>
        <w:rPr>
          <w:rFonts w:ascii="Arial" w:hAnsi="Arial" w:eastAsia="Arial" w:cs="Arial"/>
          <w:b/>
          <w:i w:val="0"/>
          <w:color w:val="1F4E67"/>
          <w:sz w:val="21"/>
        </w:rPr>
        <w:t>EDUCATION</w:t>
      </w:r>
    </w:p>
    <w:tbl>
      <w:tblPr>
        <w:tblW w:type="dxa" w:w="1065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289"/>
        <w:gridCol w:w="2368"/>
      </w:tblGrid>
      <w:tr>
        <w:tc>
          <w:tcPr>
            <w:tcW w:type="dxa" w:w="8289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Global Master's in Construction Project Management</w:t>
            </w:r>
          </w:p>
        </w:tc>
        <w:tc>
          <w:tcPr>
            <w:tcW w:type="dxa" w:w="236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7"/>
              </w:rPr>
              <w:t>2022</w:t>
            </w:r>
          </w:p>
        </w:tc>
      </w:tr>
    </w:tbl>
    <w:p>
      <w:pPr>
        <w:spacing w:before="0" w:after="40" w:line="247" w:lineRule="auto"/>
        <w:jc w:val="both"/>
        <w:ind w:left="0" w:right="0" w:firstLine="0"/>
      </w:pPr>
      <w:r>
        <w:rPr>
          <w:rFonts w:ascii="Arial" w:hAnsi="Arial" w:eastAsia="Arial" w:cs="Arial"/>
          <w:b w:val="0"/>
          <w:i w:val="0"/>
          <w:color w:val="1F2933"/>
          <w:sz w:val="18"/>
        </w:rPr>
        <w:t>Zigurat Institute / Barcelona University, Spain</w:t>
      </w:r>
    </w:p>
    <w:tbl>
      <w:tblPr>
        <w:tblW w:type="dxa" w:w="1065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289"/>
        <w:gridCol w:w="2368"/>
      </w:tblGrid>
      <w:tr>
        <w:tc>
          <w:tcPr>
            <w:tcW w:type="dxa" w:w="8289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Master of Business Administration (MBA)</w:t>
            </w:r>
          </w:p>
        </w:tc>
        <w:tc>
          <w:tcPr>
            <w:tcW w:type="dxa" w:w="236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7"/>
              </w:rPr>
              <w:t>2010</w:t>
            </w:r>
          </w:p>
        </w:tc>
      </w:tr>
    </w:tbl>
    <w:p>
      <w:pPr>
        <w:spacing w:before="0" w:after="40" w:line="247" w:lineRule="auto"/>
        <w:jc w:val="both"/>
        <w:ind w:left="0" w:right="0" w:firstLine="0"/>
      </w:pPr>
      <w:r>
        <w:rPr>
          <w:rFonts w:ascii="Arial" w:hAnsi="Arial" w:eastAsia="Arial" w:cs="Arial"/>
          <w:b w:val="0"/>
          <w:i w:val="0"/>
          <w:color w:val="1F2933"/>
          <w:sz w:val="18"/>
        </w:rPr>
        <w:t>New York Institute of Technology, USA | GPA 3.93/4.00, with honors</w:t>
      </w:r>
    </w:p>
    <w:tbl>
      <w:tblPr>
        <w:tblW w:type="dxa" w:w="1065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8289"/>
        <w:gridCol w:w="2368"/>
      </w:tblGrid>
      <w:tr>
        <w:tc>
          <w:tcPr>
            <w:tcW w:type="dxa" w:w="8289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rFonts w:ascii="Arial" w:hAnsi="Arial" w:eastAsia="Arial" w:cs="Arial"/>
                <w:b/>
                <w:i w:val="0"/>
                <w:color w:val="1F2933"/>
                <w:sz w:val="19"/>
              </w:rPr>
              <w:t>B.Sc. in Architectural Engineering</w:t>
            </w:r>
          </w:p>
        </w:tc>
        <w:tc>
          <w:tcPr>
            <w:tcW w:type="dxa" w:w="2368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start w:w="90" w:type="dxa"/>
              <w:bottom w:w="45" w:type="dxa"/>
              <w:end w:w="90" w:type="dxa"/>
              <w:left w:w="90" w:type="dxa"/>
              <w:right w:w="90" w:type="dxa"/>
            </w:tcMar>
          </w:tcPr>
          <w:p>
            <w:pPr>
              <w:spacing w:before="0" w:after="30" w:line="25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1F2933"/>
                <w:sz w:val="17"/>
              </w:rPr>
              <w:t>2004</w:t>
            </w:r>
          </w:p>
        </w:tc>
      </w:tr>
    </w:tbl>
    <w:p>
      <w:pPr>
        <w:spacing w:before="0" w:after="40" w:line="247" w:lineRule="auto"/>
        <w:jc w:val="both"/>
        <w:ind w:left="0" w:right="0" w:firstLine="0"/>
      </w:pPr>
      <w:r>
        <w:rPr>
          <w:rFonts w:ascii="Arial" w:hAnsi="Arial" w:eastAsia="Arial" w:cs="Arial"/>
          <w:b w:val="0"/>
          <w:i w:val="0"/>
          <w:color w:val="1F2933"/>
          <w:sz w:val="18"/>
        </w:rPr>
        <w:t>University of Jordan, Jordan | GPA 3.14/4.00</w:t>
      </w:r>
    </w:p>
    <w:p>
      <w:pPr>
        <w:spacing w:before="80" w:after="40" w:line="240" w:lineRule="auto"/>
        <w:keepNext/>
        <w:pBdr>
          <w:bottom w:val="single" w:sz="6" w:space="1" w:color="A9C4D3"/>
        </w:pBdr>
        <w:ind w:left="0" w:right="0" w:firstLine="0"/>
      </w:pPr>
      <w:r>
        <w:rPr>
          <w:rFonts w:ascii="Arial" w:hAnsi="Arial" w:eastAsia="Arial" w:cs="Arial"/>
          <w:b/>
          <w:i w:val="0"/>
          <w:color w:val="1F4E67"/>
          <w:sz w:val="21"/>
        </w:rPr>
        <w:t>PROFESSIONAL CREDENTIALS &amp; AFFILIATIONS</w:t>
      </w:r>
    </w:p>
    <w:p>
      <w:pPr>
        <w:spacing w:before="0" w:after="20" w:line="247" w:lineRule="auto"/>
        <w:jc w:val="both"/>
        <w:ind w:left="0" w:right="0" w:firstLine="0"/>
      </w:pPr>
      <w:r>
        <w:rPr>
          <w:rFonts w:ascii="Arial" w:hAnsi="Arial" w:eastAsia="Arial" w:cs="Arial"/>
          <w:b/>
          <w:sz w:val="18"/>
        </w:rPr>
        <w:t>SCE: Consultant (</w:t>
      </w:r>
      <w:r>
        <w:rPr>
          <w:rFonts w:ascii="Arial" w:hAnsi="Arial" w:eastAsia="Arial" w:cs="Arial"/>
          <w:b/>
          <w:sz w:val="15"/>
        </w:rPr>
        <w:t>مستشار</w:t>
      </w:r>
      <w:r>
        <w:rPr>
          <w:rFonts w:ascii="Arial" w:hAnsi="Arial" w:eastAsia="Arial" w:cs="Arial"/>
          <w:b/>
          <w:sz w:val="18"/>
        </w:rPr>
        <w:t>) - Architectural Engineering, valid to Nov 2027  |  CMP: Contracts Management Professional  |  Off-Plan Sales Engineering Consultant: Saudi Real Estate Institute  |  PMP: Project Management Professional training course, 2024  |  JEA: Member</w:t>
      </w:r>
    </w:p>
    <w:p>
      <w:pPr>
        <w:spacing w:before="80" w:after="40" w:line="240" w:lineRule="auto"/>
        <w:keepNext/>
        <w:pBdr>
          <w:bottom w:val="single" w:sz="6" w:space="1" w:color="A9C4D3"/>
        </w:pBdr>
        <w:ind w:left="0" w:right="0" w:firstLine="0"/>
      </w:pPr>
      <w:r>
        <w:rPr>
          <w:rFonts w:ascii="Arial" w:hAnsi="Arial" w:eastAsia="Arial" w:cs="Arial"/>
          <w:b/>
          <w:i w:val="0"/>
          <w:color w:val="1F4E67"/>
          <w:sz w:val="21"/>
        </w:rPr>
        <w:t>LANGUAGES &amp; NATIONALITY</w:t>
      </w:r>
    </w:p>
    <w:p>
      <w:pPr>
        <w:spacing w:before="0" w:after="0" w:line="247" w:lineRule="auto"/>
        <w:jc w:val="both"/>
        <w:ind w:left="0" w:right="0" w:firstLine="0"/>
      </w:pPr>
      <w:r>
        <w:rPr>
          <w:rFonts w:ascii="Arial" w:hAnsi="Arial" w:eastAsia="Arial" w:cs="Arial"/>
          <w:b/>
          <w:i w:val="0"/>
          <w:color w:val="1F2933"/>
          <w:sz w:val="18"/>
        </w:rPr>
        <w:t xml:space="preserve">Arabic: </w:t>
      </w:r>
      <w:r>
        <w:rPr>
          <w:rFonts w:ascii="Arial" w:hAnsi="Arial" w:eastAsia="Arial" w:cs="Arial"/>
          <w:b w:val="0"/>
          <w:i w:val="0"/>
          <w:color w:val="1F2933"/>
          <w:sz w:val="18"/>
        </w:rPr>
        <w:t xml:space="preserve">Native  |  </w:t>
      </w:r>
      <w:r>
        <w:rPr>
          <w:rFonts w:ascii="Arial" w:hAnsi="Arial" w:eastAsia="Arial" w:cs="Arial"/>
          <w:b/>
          <w:i w:val="0"/>
          <w:color w:val="1F2933"/>
          <w:sz w:val="18"/>
        </w:rPr>
        <w:t xml:space="preserve">English: </w:t>
      </w:r>
      <w:r>
        <w:rPr>
          <w:rFonts w:ascii="Arial" w:hAnsi="Arial" w:eastAsia="Arial" w:cs="Arial"/>
          <w:b w:val="0"/>
          <w:i w:val="0"/>
          <w:color w:val="1F2933"/>
          <w:sz w:val="18"/>
        </w:rPr>
        <w:t xml:space="preserve">Fluent  |  </w:t>
      </w:r>
      <w:r>
        <w:rPr>
          <w:rFonts w:ascii="Arial" w:hAnsi="Arial" w:eastAsia="Arial" w:cs="Arial"/>
          <w:b/>
          <w:i w:val="0"/>
          <w:color w:val="1F2933"/>
          <w:sz w:val="18"/>
        </w:rPr>
        <w:t xml:space="preserve">Nationality: </w:t>
      </w:r>
      <w:r>
        <w:rPr>
          <w:rFonts w:ascii="Arial" w:hAnsi="Arial" w:eastAsia="Arial" w:cs="Arial"/>
          <w:b w:val="0"/>
          <w:i w:val="0"/>
          <w:color w:val="1F2933"/>
          <w:sz w:val="18"/>
        </w:rPr>
        <w:t>Jordanian and Brazilian</w:t>
      </w:r>
    </w:p>
    <w:sectPr w:rsidR="00FC693F" w:rsidRPr="0006063C" w:rsidSect="00034616">
      <w:pgSz w:w="11906" w:h="16838"/>
      <w:pgMar w:top="567" w:right="624" w:bottom="567" w:left="62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Abdelhamid Farah - Head of Project Management - Design Services</dc:title>
  <dc:subject>Tailored application CV</dc:subject>
  <dc:creator>Abdelhamid Farah</dc:creator>
  <cp:keywords>Project Management, Design Services, Design Management, Project Governance, Saudi Arabia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