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pec-1-table-of-contents-lucid-rdp"/>
    <w:p>
      <w:pPr>
        <w:pStyle w:val="Heading1"/>
      </w:pPr>
      <w:r>
        <w:t xml:space="preserve">SPEC-1 — Table of Contents (Lucid RDP)</w:t>
      </w:r>
    </w:p>
    <w:bookmarkStart w:id="20" w:name="documents"/>
    <w:p>
      <w:pPr>
        <w:pStyle w:val="Heading2"/>
      </w:pPr>
      <w:r>
        <w:t xml:space="preserve">Documents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SPEC-1A — Background &amp; Requirements</w:t>
      </w:r>
    </w:p>
    <w:p>
      <w:pPr>
        <w:pStyle w:val="Compact"/>
        <w:numPr>
          <w:ilvl w:val="1"/>
          <w:numId w:val="1002"/>
        </w:numPr>
      </w:pPr>
      <w:r>
        <w:t xml:space="preserve">Background</w:t>
      </w:r>
    </w:p>
    <w:p>
      <w:pPr>
        <w:pStyle w:val="Compact"/>
        <w:numPr>
          <w:ilvl w:val="1"/>
          <w:numId w:val="1002"/>
        </w:numPr>
      </w:pPr>
      <w:r>
        <w:t xml:space="preserve">Requirements</w:t>
      </w:r>
    </w:p>
    <w:p>
      <w:pPr>
        <w:pStyle w:val="Compact"/>
        <w:numPr>
          <w:ilvl w:val="2"/>
          <w:numId w:val="1003"/>
        </w:numPr>
      </w:pPr>
      <w:r>
        <w:t xml:space="preserve">Must Have (R‑MUST‑001 … R‑MUST‑020)</w:t>
      </w:r>
    </w:p>
    <w:p>
      <w:pPr>
        <w:pStyle w:val="Compact"/>
        <w:numPr>
          <w:ilvl w:val="2"/>
          <w:numId w:val="1003"/>
        </w:numPr>
      </w:pPr>
      <w:r>
        <w:t xml:space="preserve">Should Have (R‑SHOULD‑001 … R‑SHOULD‑008)</w:t>
      </w:r>
    </w:p>
    <w:p>
      <w:pPr>
        <w:pStyle w:val="Compact"/>
        <w:numPr>
          <w:ilvl w:val="2"/>
          <w:numId w:val="1003"/>
        </w:numPr>
      </w:pPr>
      <w:r>
        <w:t xml:space="preserve">Could Have (R‑COULD‑001 … R‑COULD‑006)</w:t>
      </w:r>
    </w:p>
    <w:p>
      <w:pPr>
        <w:pStyle w:val="Compact"/>
        <w:numPr>
          <w:ilvl w:val="2"/>
          <w:numId w:val="1003"/>
        </w:numPr>
      </w:pPr>
      <w:r>
        <w:t xml:space="preserve">Won’t Have (R‑WONT‑001 … R‑WONT‑002)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SPEC-1B — Method, Governance &amp; Consensus</w:t>
      </w:r>
    </w:p>
    <w:p>
      <w:pPr>
        <w:pStyle w:val="Compact"/>
        <w:numPr>
          <w:ilvl w:val="1"/>
          <w:numId w:val="1004"/>
        </w:numPr>
      </w:pPr>
      <w:r>
        <w:t xml:space="preserve">Method</w:t>
      </w:r>
    </w:p>
    <w:p>
      <w:pPr>
        <w:pStyle w:val="Compact"/>
        <w:numPr>
          <w:ilvl w:val="2"/>
          <w:numId w:val="1005"/>
        </w:numPr>
      </w:pPr>
      <w:r>
        <w:t xml:space="preserve">High‑Level Architecture (Pi 5, Tor‑only, MongoDB, On‑System Data Chain, TRON routers)</w:t>
      </w:r>
    </w:p>
    <w:p>
      <w:pPr>
        <w:pStyle w:val="Compact"/>
        <w:numPr>
          <w:ilvl w:val="2"/>
          <w:numId w:val="1005"/>
        </w:numPr>
      </w:pPr>
      <w:r>
        <w:t xml:space="preserve">On‑Chain Contracts (LucidAnchors, PayoutRouterV0, PayoutRouterKYC)</w:t>
      </w:r>
    </w:p>
    <w:p>
      <w:pPr>
        <w:pStyle w:val="Compact"/>
        <w:numPr>
          <w:ilvl w:val="2"/>
          <w:numId w:val="1005"/>
        </w:numPr>
      </w:pPr>
      <w:r>
        <w:t xml:space="preserve">Off‑Chain Data &amp; Proofs (manifests, chunking, Merkle roots)</w:t>
      </w:r>
    </w:p>
    <w:p>
      <w:pPr>
        <w:pStyle w:val="Compact"/>
        <w:numPr>
          <w:ilvl w:val="2"/>
          <w:numId w:val="1005"/>
        </w:numPr>
      </w:pPr>
      <w:r>
        <w:t xml:space="preserve">Key Management &amp; Roles (multisig, deploy/pauser/compliance)</w:t>
      </w:r>
    </w:p>
    <w:p>
      <w:pPr>
        <w:pStyle w:val="Compact"/>
        <w:numPr>
          <w:ilvl w:val="2"/>
          <w:numId w:val="1005"/>
        </w:numPr>
      </w:pPr>
      <w:r>
        <w:t xml:space="preserve">Sequence (Anchor &amp; Payout)</w:t>
      </w:r>
    </w:p>
    <w:p>
      <w:pPr>
        <w:pStyle w:val="Compact"/>
        <w:numPr>
          <w:ilvl w:val="1"/>
          <w:numId w:val="1004"/>
        </w:numPr>
      </w:pPr>
      <w:r>
        <w:t xml:space="preserve">Centralised Relay Point (Lucid Cloud Relay)</w:t>
      </w:r>
    </w:p>
    <w:p>
      <w:pPr>
        <w:pStyle w:val="Compact"/>
        <w:numPr>
          <w:ilvl w:val="1"/>
          <w:numId w:val="1004"/>
        </w:numPr>
      </w:pPr>
      <w:r>
        <w:t xml:space="preserve">Governance Addendum (Immutable at Launch)</w:t>
      </w:r>
    </w:p>
    <w:p>
      <w:pPr>
        <w:pStyle w:val="Compact"/>
        <w:numPr>
          <w:ilvl w:val="2"/>
          <w:numId w:val="1006"/>
        </w:numPr>
      </w:pPr>
      <w:r>
        <w:t xml:space="preserve">LucidGovernor + Timelock, ParamRegistry (bounded)</w:t>
      </w:r>
    </w:p>
    <w:p>
      <w:pPr>
        <w:pStyle w:val="Compact"/>
        <w:numPr>
          <w:ilvl w:val="2"/>
          <w:numId w:val="1006"/>
        </w:numPr>
      </w:pPr>
      <w:r>
        <w:t xml:space="preserve">Roles &amp; Voting Power (one‑node‑one‑vote eligibility)</w:t>
      </w:r>
    </w:p>
    <w:p>
      <w:pPr>
        <w:pStyle w:val="Compact"/>
        <w:numPr>
          <w:ilvl w:val="2"/>
          <w:numId w:val="1006"/>
        </w:numPr>
      </w:pPr>
      <w:r>
        <w:t xml:space="preserve">Cross‑Chain Governance (signer rotation for TRON)</w:t>
      </w:r>
    </w:p>
    <w:p>
      <w:pPr>
        <w:pStyle w:val="Compact"/>
        <w:numPr>
          <w:ilvl w:val="1"/>
          <w:numId w:val="1004"/>
        </w:numPr>
      </w:pPr>
      <w:r>
        <w:t xml:space="preserve">Consensus (PoOT — Proof of Operational Tasks)</w:t>
      </w:r>
    </w:p>
    <w:p>
      <w:pPr>
        <w:pStyle w:val="Compact"/>
        <w:numPr>
          <w:ilvl w:val="2"/>
          <w:numId w:val="1007"/>
        </w:numPr>
      </w:pPr>
      <w:r>
        <w:t xml:space="preserve">WorkCredits inputs, leader selection, pools, anti‑grief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Consensus Parameters</w:t>
      </w:r>
      <w:r>
        <w:t xml:space="preserve"> </w:t>
      </w:r>
      <w:r>
        <w:t xml:space="preserve">(slotDurationSec=120s → 30 blocks/hour, timeouts, cooldown)</w:t>
      </w:r>
    </w:p>
    <w:p>
      <w:pPr>
        <w:pStyle w:val="Compact"/>
        <w:numPr>
          <w:ilvl w:val="1"/>
          <w:numId w:val="1004"/>
        </w:numPr>
      </w:pPr>
      <w:r>
        <w:t xml:space="preserve">Metrics &amp; Collections (session_events, slot_metrics)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SPEC-1C — Tokenomics, Wallet, Client Controls &amp; Execution</w:t>
      </w:r>
    </w:p>
    <w:p>
      <w:pPr>
        <w:pStyle w:val="Compact"/>
        <w:numPr>
          <w:ilvl w:val="1"/>
          <w:numId w:val="1008"/>
        </w:numPr>
      </w:pPr>
      <w:r>
        <w:t xml:space="preserve">Reward Policy Addendum (finalized &amp; immutable)</w:t>
      </w:r>
    </w:p>
    <w:p>
      <w:pPr>
        <w:pStyle w:val="Compact"/>
        <w:numPr>
          <w:ilvl w:val="2"/>
          <w:numId w:val="1009"/>
        </w:numPr>
      </w:pPr>
      <w:r>
        <w:t xml:space="preserve">Max 30 blocks/hour, fallback blocks (2 LUCID), halving every 5% of 42B</w:t>
      </w:r>
    </w:p>
    <w:p>
      <w:pPr>
        <w:pStyle w:val="Compact"/>
        <w:numPr>
          <w:ilvl w:val="2"/>
          <w:numId w:val="1009"/>
        </w:numPr>
      </w:pPr>
      <w:r>
        <w:t xml:space="preserve">Node‑density‑aware per‑block rewards</w:t>
      </w:r>
    </w:p>
    <w:p>
      <w:pPr>
        <w:pStyle w:val="Compact"/>
        <w:numPr>
          <w:ilvl w:val="1"/>
          <w:numId w:val="1008"/>
        </w:numPr>
      </w:pPr>
      <w:r>
        <w:t xml:space="preserve">Node Worker Duties (VM processing, in‑house transfers)</w:t>
      </w:r>
    </w:p>
    <w:p>
      <w:pPr>
        <w:pStyle w:val="Compact"/>
        <w:numPr>
          <w:ilvl w:val="1"/>
          <w:numId w:val="1008"/>
        </w:numPr>
      </w:pPr>
      <w:r>
        <w:t xml:space="preserve">Tokenomics &amp; Voting (transferable LUCID, snapshots, stimulus targets, net‑of‑fees)</w:t>
      </w:r>
    </w:p>
    <w:p>
      <w:pPr>
        <w:pStyle w:val="Compact"/>
        <w:numPr>
          <w:ilvl w:val="2"/>
          <w:numId w:val="1010"/>
        </w:numPr>
      </w:pPr>
      <w:r>
        <w:t xml:space="preserve">Revenue Split 18%/2%/40%/40% + Stimulus (10% × Goal_k)</w:t>
      </w:r>
    </w:p>
    <w:p>
      <w:pPr>
        <w:pStyle w:val="Compact"/>
        <w:numPr>
          <w:ilvl w:val="2"/>
          <w:numId w:val="1010"/>
        </w:numPr>
      </w:pPr>
      <w:r>
        <w:t xml:space="preserve">Min payout $10; fees from local TRON node; USDT unit of account</w:t>
      </w:r>
    </w:p>
    <w:p>
      <w:pPr>
        <w:pStyle w:val="Compact"/>
        <w:numPr>
          <w:ilvl w:val="1"/>
          <w:numId w:val="1008"/>
        </w:numPr>
      </w:pPr>
      <w:r>
        <w:t xml:space="preserve">Wallet &amp; Cash‑Out (USDT direct only)</w:t>
      </w:r>
    </w:p>
    <w:p>
      <w:pPr>
        <w:pStyle w:val="Compact"/>
        <w:numPr>
          <w:ilvl w:val="2"/>
          <w:numId w:val="1011"/>
        </w:numPr>
      </w:pPr>
      <w:r>
        <w:t xml:space="preserve">Any‑time withdrawals; TRX staking for energy/bandwidth; connectors (Exchange/OTC/PSP)</w:t>
      </w:r>
    </w:p>
    <w:p>
      <w:pPr>
        <w:pStyle w:val="Compact"/>
        <w:numPr>
          <w:ilvl w:val="1"/>
          <w:numId w:val="1008"/>
        </w:numPr>
      </w:pPr>
      <w:r>
        <w:t xml:space="preserve">Client‑Controlled Session Policy &amp; P2P Paths</w:t>
      </w:r>
    </w:p>
    <w:p>
      <w:pPr>
        <w:pStyle w:val="Compact"/>
        <w:numPr>
          <w:ilvl w:val="2"/>
          <w:numId w:val="1012"/>
        </w:numPr>
      </w:pPr>
      <w:r>
        <w:t xml:space="preserve">Path 1 (Rendezvous), Path 2 (VM Contract Re‑Entry)</w:t>
      </w:r>
    </w:p>
    <w:p>
      <w:pPr>
        <w:pStyle w:val="Compact"/>
        <w:numPr>
          <w:ilvl w:val="1"/>
          <w:numId w:val="1008"/>
        </w:numPr>
      </w:pPr>
      <w:r>
        <w:t xml:space="preserve">Client Control Policy — Expanded Settings &amp; Rolling Limits</w:t>
      </w:r>
    </w:p>
    <w:p>
      <w:pPr>
        <w:pStyle w:val="Compact"/>
        <w:numPr>
          <w:ilvl w:val="2"/>
          <w:numId w:val="1013"/>
        </w:numPr>
      </w:pPr>
      <w:r>
        <w:t xml:space="preserve">Rolling 24h free tier (2 actions), de‑clutter, file allow/deny, shell/USB/audio/webcam/keyboard/mouse, privacy shield/redaction</w:t>
      </w:r>
    </w:p>
    <w:p>
      <w:pPr>
        <w:pStyle w:val="Compact"/>
        <w:numPr>
          <w:ilvl w:val="1"/>
          <w:numId w:val="1008"/>
        </w:numPr>
      </w:pPr>
      <w:r>
        <w:t xml:space="preserve">Implementation, Milestones &amp; Gathering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SPEC-1 — Combined (Monolithic)</w:t>
      </w:r>
      <w:r>
        <w:t xml:space="preserve"> </w:t>
      </w:r>
      <w:r>
        <w:rPr>
          <w:i/>
          <w:iCs/>
        </w:rPr>
        <w:t xml:space="preserve">(optional reference)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Spec-1-lucid Rdp</w:t>
      </w:r>
      <w:r>
        <w:t xml:space="preserve"> </w:t>
      </w:r>
      <w:r>
        <w:t xml:space="preserve">(single‑file consolidated draft kept for comparison and quick search)</w:t>
      </w:r>
    </w:p>
    <w:p>
      <w:r>
        <w:pict>
          <v:rect style="width:0;height:1.5pt" o:hralign="center" o:hrstd="t" o:hr="t"/>
        </w:pict>
      </w:r>
    </w:p>
    <w:bookmarkEnd w:id="20"/>
    <w:bookmarkStart w:id="21" w:name="quick-index-by-requirement-code"/>
    <w:p>
      <w:pPr>
        <w:pStyle w:val="Heading2"/>
      </w:pPr>
      <w:r>
        <w:t xml:space="preserve">Quick Index by Requirement Code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R‑MUST</w:t>
      </w:r>
      <w:r>
        <w:t xml:space="preserve">: 001–020 (core platform); 021–024 (governance/relay/Mongo); 033–037 (consensus &amp; rewards); 041–049 (tokenomics/wallet); 056–057 (off‑ramp); 061 (USDT direct only); 063–071 (client controls &amp; limits).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R‑SHOULD</w:t>
      </w:r>
      <w:r>
        <w:t xml:space="preserve">: 001–008 (performance, identity, APIs, backups, bootstrap).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R‑COULD</w:t>
      </w:r>
      <w:r>
        <w:t xml:space="preserve">: 001–006 (SSO, federation, mobile, PQ crypto, advanced privacy).</w:t>
      </w:r>
    </w:p>
    <w:p>
      <w:pPr>
        <w:pStyle w:val="BlockText"/>
      </w:pPr>
      <w:r>
        <w:t xml:space="preserve">Tip: Use the canvas search box to jump to a code (e.g.,</w:t>
      </w:r>
      <w:r>
        <w:t xml:space="preserve"> </w:t>
      </w:r>
      <w:r>
        <w:rPr>
          <w:rStyle w:val="VerbatimChar"/>
        </w:rPr>
        <w:t xml:space="preserve">R‑MUST‑033</w:t>
      </w:r>
      <w:r>
        <w:t xml:space="preserve">) in the relevant document.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2025-08-29T23:54:18Z</dcterms:created>
  <dcterms:modified xsi:type="dcterms:W3CDTF">2025-08-29T23:54:18Z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