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fd08cd742f11f8280b7a850b6befc2b0540dc92"/>
    <w:p>
      <w:pPr>
        <w:pStyle w:val="Heading1"/>
      </w:pPr>
      <w:r>
        <w:t xml:space="preserve">SPEC-1C — Lucid RDP: Tokenomics, Wallet, Client Controls &amp; Execution</w:t>
      </w:r>
    </w:p>
    <w:bookmarkStart w:id="24" w:name="Xdf31282642bf7b4d744185cf0808c9f991d0e5b"/>
    <w:p>
      <w:pPr>
        <w:pStyle w:val="Heading2"/>
      </w:pPr>
      <w:r>
        <w:t xml:space="preserve">Reward Policy Addendum (Finalized &amp; Immutable)</w:t>
      </w:r>
    </w:p>
    <w:bookmarkStart w:id="20" w:name="fixed-block-rate"/>
    <w:p>
      <w:pPr>
        <w:pStyle w:val="Heading3"/>
      </w:pPr>
      <w:r>
        <w:t xml:space="preserve">Fixed Block Rate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slotDurationSec = 120s</w:t>
      </w:r>
      <w:r>
        <w:t xml:space="preserve"> </w:t>
      </w:r>
      <w:r>
        <w:t xml:space="preserve">⇒</w:t>
      </w:r>
      <w:r>
        <w:t xml:space="preserve"> </w:t>
      </w:r>
      <w:r>
        <w:rPr>
          <w:b/>
          <w:bCs/>
        </w:rPr>
        <w:t xml:space="preserve">max 30 blocks/hour</w:t>
      </w:r>
      <w:r>
        <w:t xml:space="preserve"> </w:t>
      </w:r>
      <w:r>
        <w:t xml:space="preserve">(immutable).</w:t>
      </w:r>
    </w:p>
    <w:bookmarkEnd w:id="20"/>
    <w:bookmarkStart w:id="21" w:name="fallback-publisher-reward"/>
    <w:p>
      <w:pPr>
        <w:pStyle w:val="Heading3"/>
      </w:pPr>
      <w:r>
        <w:t xml:space="preserve">Fallback Publisher &amp; Reward</w:t>
      </w:r>
    </w:p>
    <w:p>
      <w:pPr>
        <w:pStyle w:val="Compact"/>
        <w:numPr>
          <w:ilvl w:val="0"/>
          <w:numId w:val="1002"/>
        </w:numPr>
      </w:pPr>
      <w:r>
        <w:t xml:space="preserve">If a slot observes</w:t>
      </w:r>
      <w:r>
        <w:t xml:space="preserve"> </w:t>
      </w:r>
      <w:r>
        <w:rPr>
          <w:b/>
          <w:bCs/>
        </w:rPr>
        <w:t xml:space="preserve">no sessions</w:t>
      </w:r>
      <w:r>
        <w:t xml:space="preserve">, the</w:t>
      </w:r>
      <w:r>
        <w:t xml:space="preserve"> </w:t>
      </w:r>
      <w:r>
        <w:rPr>
          <w:b/>
          <w:bCs/>
        </w:rPr>
        <w:t xml:space="preserve">Server (Original node)</w:t>
      </w:r>
      <w:r>
        <w:t xml:space="preserve"> </w:t>
      </w:r>
      <w:r>
        <w:t xml:space="preserve">must publish the block and receives a</w:t>
      </w:r>
      <w:r>
        <w:t xml:space="preserve"> </w:t>
      </w:r>
      <w:r>
        <w:rPr>
          <w:b/>
          <w:bCs/>
        </w:rPr>
        <w:t xml:space="preserve">fixed reward of 2 LUCID</w:t>
      </w:r>
      <w:r>
        <w:t xml:space="preserve"> </w:t>
      </w:r>
      <w:r>
        <w:t xml:space="preserve">(exempt from halving/stabilizer).</w:t>
      </w:r>
    </w:p>
    <w:bookmarkEnd w:id="21"/>
    <w:bookmarkStart w:id="22" w:name="halving-schedule-supplydriven"/>
    <w:p>
      <w:pPr>
        <w:pStyle w:val="Heading3"/>
      </w:pPr>
      <w:r>
        <w:t xml:space="preserve">Halving Schedule (Supply‑Driven)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Max supply reference</w:t>
      </w:r>
      <w:r>
        <w:t xml:space="preserve">:</w:t>
      </w:r>
      <w:r>
        <w:t xml:space="preserve"> </w:t>
      </w:r>
      <w:r>
        <w:rPr>
          <w:b/>
          <w:bCs/>
        </w:rPr>
        <w:t xml:space="preserve">42,000,000,000 LUCID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Halving trigger:</w:t>
      </w:r>
      <w:r>
        <w:t xml:space="preserve"> </w:t>
      </w:r>
      <w:r>
        <w:t xml:space="preserve">every</w:t>
      </w:r>
      <w:r>
        <w:t xml:space="preserve"> </w:t>
      </w:r>
      <w:r>
        <w:rPr>
          <w:b/>
          <w:bCs/>
        </w:rPr>
        <w:t xml:space="preserve">2.1B</w:t>
      </w:r>
      <w:r>
        <w:t xml:space="preserve"> </w:t>
      </w:r>
      <w:r>
        <w:t xml:space="preserve">tokens minted (5% of max), the</w:t>
      </w:r>
      <w:r>
        <w:t xml:space="preserve"> </w:t>
      </w:r>
      <w:r>
        <w:rPr>
          <w:b/>
          <w:bCs/>
        </w:rPr>
        <w:t xml:space="preserve">per‑block maximum reward halves</w:t>
      </w:r>
      <w:r>
        <w:t xml:space="preserve">; never below</w:t>
      </w:r>
      <w:r>
        <w:t xml:space="preserve"> </w:t>
      </w:r>
      <w:r>
        <w:rPr>
          <w:b/>
          <w:bCs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slotMax(H) = max(1, floor( 50 / 2^H ))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H = floor(totalMinted / 2_100_000_000)</w:t>
      </w:r>
      <w:r>
        <w:t xml:space="preserve">.</w:t>
      </w:r>
    </w:p>
    <w:bookmarkEnd w:id="22"/>
    <w:bookmarkStart w:id="23" w:name="nodedensityaware-reward"/>
    <w:p>
      <w:pPr>
        <w:pStyle w:val="Heading3"/>
      </w:pPr>
      <w:r>
        <w:t xml:space="preserve">Node‑Density‑Aware Reward</w:t>
      </w:r>
    </w:p>
    <w:p>
      <w:pPr>
        <w:pStyle w:val="Compact"/>
        <w:numPr>
          <w:ilvl w:val="0"/>
          <w:numId w:val="1004"/>
        </w:numPr>
      </w:pPr>
      <w:r>
        <w:t xml:space="preserve">Inputs per slot:</w:t>
      </w:r>
      <w:r>
        <w:t xml:space="preserve"> </w:t>
      </w:r>
      <w:r>
        <w:rPr>
          <w:rStyle w:val="VerbatimChar"/>
        </w:rPr>
        <w:t xml:space="preserve">S_t</w:t>
      </w:r>
      <w:r>
        <w:t xml:space="preserve"> </w:t>
      </w:r>
      <w:r>
        <w:t xml:space="preserve">sessions,</w:t>
      </w:r>
      <w:r>
        <w:t xml:space="preserve"> </w:t>
      </w:r>
      <w:r>
        <w:rPr>
          <w:rStyle w:val="VerbatimChar"/>
        </w:rPr>
        <w:t xml:space="preserve">N_active_t</w:t>
      </w:r>
      <w:r>
        <w:t xml:space="preserve"> </w:t>
      </w:r>
      <w:r>
        <w:t xml:space="preserve">active nodes,</w:t>
      </w:r>
      <w:r>
        <w:t xml:space="preserve"> </w:t>
      </w:r>
      <w:r>
        <w:rPr>
          <w:rStyle w:val="VerbatimChar"/>
        </w:rPr>
        <w:t xml:space="preserve">B_t</w:t>
      </w:r>
      <w:r>
        <w:t xml:space="preserve"> </w:t>
      </w:r>
      <w:r>
        <w:t xml:space="preserve">total compressed bytes;</w:t>
      </w:r>
      <w:r>
        <w:t xml:space="preserve"> </w:t>
      </w:r>
      <w:r>
        <w:rPr>
          <w:rStyle w:val="VerbatimChar"/>
        </w:rPr>
        <w:t xml:space="preserve">BASE_MB_PER_SESSION</w:t>
      </w:r>
      <w:r>
        <w:t xml:space="preserve"> </w:t>
      </w:r>
      <w:r>
        <w:t xml:space="preserve">(default</w:t>
      </w:r>
      <w:r>
        <w:t xml:space="preserve"> </w:t>
      </w:r>
      <w:r>
        <w:rPr>
          <w:b/>
          <w:bCs/>
        </w:rPr>
        <w:t xml:space="preserve">5 MB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Work units:</w:t>
      </w:r>
      <w:r>
        <w:t xml:space="preserve"> </w:t>
      </w:r>
      <w:r>
        <w:rPr>
          <w:rStyle w:val="VerbatimChar"/>
        </w:rPr>
        <w:t xml:space="preserve">W_t = max(S_t, ceil(B_t / BASE_MB_PER_SESSION))</w:t>
      </w:r>
      <w:r>
        <w:t xml:space="preserve">; density:</w:t>
      </w:r>
      <w:r>
        <w:t xml:space="preserve"> </w:t>
      </w:r>
      <w:r>
        <w:rPr>
          <w:rStyle w:val="VerbatimChar"/>
        </w:rPr>
        <w:t xml:space="preserve">D_t = W_t / max(1, N_active_t)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Reward: with</w:t>
      </w:r>
      <w:r>
        <w:t xml:space="preserve"> </w:t>
      </w:r>
      <w:r>
        <w:rPr>
          <w:rStyle w:val="VerbatimChar"/>
        </w:rPr>
        <w:t xml:space="preserve">minReward=1</w:t>
      </w:r>
      <w:r>
        <w:t xml:space="preserve">,</w:t>
      </w:r>
      <w:r>
        <w:t xml:space="preserve"> </w:t>
      </w:r>
      <w:r>
        <w:rPr>
          <w:rStyle w:val="VerbatimChar"/>
        </w:rPr>
        <w:t xml:space="preserve">g_sessions = clamp((S_t-1)/9,0,1)</w:t>
      </w:r>
      <w:r>
        <w:t xml:space="preserve">,</w:t>
      </w:r>
      <w:r>
        <w:t xml:space="preserve"> </w:t>
      </w:r>
      <w:r>
        <w:rPr>
          <w:rStyle w:val="VerbatimChar"/>
        </w:rPr>
        <w:t xml:space="preserve">g_density = 0 if D_t &lt; D_min else (D_t-D_min)/(1-D_min)</w:t>
      </w:r>
      <w:r>
        <w:t xml:space="preserve">;</w:t>
      </w:r>
      <w:r>
        <w:t xml:space="preserve"> </w:t>
      </w:r>
      <w:r>
        <w:rPr>
          <w:rStyle w:val="VerbatimChar"/>
        </w:rPr>
        <w:t xml:space="preserve">reward_raw = minReward + floor((slotMax(H) - minReward) * g_sessions * g_density)</w:t>
      </w:r>
      <w:r>
        <w:t xml:space="preserve">; stabilizer may scale minting down; if</w:t>
      </w:r>
      <w:r>
        <w:t xml:space="preserve"> </w:t>
      </w:r>
      <w:r>
        <w:rPr>
          <w:rStyle w:val="VerbatimChar"/>
        </w:rPr>
        <w:t xml:space="preserve">S_t=0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reward=2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ParamRegistry</w:t>
      </w:r>
      <w:r>
        <w:t xml:space="preserve">:</w:t>
      </w:r>
      <w:r>
        <w:t xml:space="preserve"> </w:t>
      </w:r>
      <w:r>
        <w:rPr>
          <w:rStyle w:val="VerbatimChar"/>
        </w:rPr>
        <w:t xml:space="preserve">BASE_MB_PER_SESSION</w:t>
      </w:r>
      <w:r>
        <w:t xml:space="preserve"> </w:t>
      </w:r>
      <w:r>
        <w:t xml:space="preserve">(5),</w:t>
      </w:r>
      <w:r>
        <w:t xml:space="preserve"> </w:t>
      </w:r>
      <w:r>
        <w:rPr>
          <w:rStyle w:val="VerbatimChar"/>
        </w:rPr>
        <w:t xml:space="preserve">D_min</w:t>
      </w:r>
      <w:r>
        <w:t xml:space="preserve"> </w:t>
      </w:r>
      <w:r>
        <w:t xml:space="preserve">(0.2),</w:t>
      </w:r>
      <w:r>
        <w:t xml:space="preserve"> </w:t>
      </w:r>
      <w:r>
        <w:rPr>
          <w:rStyle w:val="VerbatimChar"/>
        </w:rPr>
        <w:t xml:space="preserve">slotDurationSec</w:t>
      </w:r>
      <w:r>
        <w:t xml:space="preserve"> </w:t>
      </w:r>
      <w:r>
        <w:t xml:space="preserve">(120 fixed), plus stabilizer params elsewhere.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Xfb9d8447fa219683b8cba358e2baec33b426b75"/>
    <w:p>
      <w:pPr>
        <w:pStyle w:val="Heading2"/>
      </w:pPr>
      <w:r>
        <w:t xml:space="preserve">Node Worker Duties — VM Processing &amp; In‑House Transfers</w:t>
      </w:r>
    </w:p>
    <w:p>
      <w:pPr>
        <w:pStyle w:val="Compact"/>
        <w:numPr>
          <w:ilvl w:val="0"/>
          <w:numId w:val="1005"/>
        </w:numPr>
      </w:pPr>
      <w:r>
        <w:t xml:space="preserve">Execute/validate VM transactions (LucidAnchors, LucidChunkStore, LucidGovernor, ParamRegistry, LucidToken, EligibilityManager, WorkCreditsOracle).</w:t>
      </w:r>
    </w:p>
    <w:p>
      <w:pPr>
        <w:pStyle w:val="Compact"/>
        <w:numPr>
          <w:ilvl w:val="0"/>
          <w:numId w:val="1005"/>
        </w:numPr>
      </w:pPr>
      <w:r>
        <w:t xml:space="preserve">Index events/receipts; expose proofs; produce VM traces on demand.</w:t>
      </w:r>
    </w:p>
    <w:p>
      <w:pPr>
        <w:pStyle w:val="Compact"/>
        <w:numPr>
          <w:ilvl w:val="0"/>
          <w:numId w:val="1005"/>
        </w:numPr>
      </w:pPr>
      <w:r>
        <w:t xml:space="preserve">Assemble &amp; attest payout batches; relay TRON transfers; reconcile entitlements; only multisig‑authorized nodes co‑sign.</w:t>
      </w:r>
    </w:p>
    <w:p>
      <w:pPr>
        <w:pStyle w:val="FirstParagraph"/>
      </w:pPr>
      <w:r>
        <w:rPr>
          <w:b/>
          <w:bCs/>
        </w:rPr>
        <w:t xml:space="preserve">MongoDB</w:t>
      </w:r>
      <w:r>
        <w:t xml:space="preserve">:</w:t>
      </w:r>
      <w:r>
        <w:t xml:space="preserve"> </w:t>
      </w:r>
      <w:r>
        <w:rPr>
          <w:rStyle w:val="VerbatimChar"/>
        </w:rPr>
        <w:t xml:space="preserve">tx_index</w:t>
      </w:r>
      <w:r>
        <w:t xml:space="preserve">,</w:t>
      </w:r>
      <w:r>
        <w:t xml:space="preserve"> </w:t>
      </w:r>
      <w:r>
        <w:rPr>
          <w:rStyle w:val="VerbatimChar"/>
        </w:rPr>
        <w:t xml:space="preserve">vm_traces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contract_states</w:t>
      </w:r>
      <w:r>
        <w:t xml:space="preserve">,</w:t>
      </w:r>
      <w:r>
        <w:t xml:space="preserve"> </w:t>
      </w:r>
      <w:r>
        <w:rPr>
          <w:rStyle w:val="VerbatimChar"/>
        </w:rPr>
        <w:t xml:space="preserve">payout_batches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transfers_internal</w:t>
      </w:r>
      <w:r>
        <w:t xml:space="preserve">,</w:t>
      </w:r>
      <w:r>
        <w:t xml:space="preserve"> </w:t>
      </w:r>
      <w:r>
        <w:rPr>
          <w:rStyle w:val="VerbatimChar"/>
        </w:rPr>
        <w:t xml:space="preserve">tron_receipts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31" w:name="Xbec638381cc193d80b5aaea83b4e8d7ba0e96ca"/>
    <w:p>
      <w:pPr>
        <w:pStyle w:val="Heading2"/>
      </w:pPr>
      <w:r>
        <w:t xml:space="preserve">Tokenomics &amp; Voting (Transferable Token, Stimulus Targets, Net‑of‑Fees)</w:t>
      </w:r>
    </w:p>
    <w:bookmarkStart w:id="26" w:name="governance-recap"/>
    <w:p>
      <w:pPr>
        <w:pStyle w:val="Heading3"/>
      </w:pPr>
      <w:r>
        <w:t xml:space="preserve">Governance (recap)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One‑node‑one‑vote</w:t>
      </w:r>
      <w:r>
        <w:t xml:space="preserve"> </w:t>
      </w:r>
      <w:r>
        <w:t xml:space="preserve">among eligible nodes (≥80% uptime in last 3 months and ≥1 LUCID earned). Token balances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influence votes.</w:t>
      </w:r>
    </w:p>
    <w:bookmarkEnd w:id="26"/>
    <w:bookmarkStart w:id="27" w:name="lucid-token"/>
    <w:p>
      <w:pPr>
        <w:pStyle w:val="Heading3"/>
      </w:pPr>
      <w:r>
        <w:t xml:space="preserve">LUCID Token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Transferable</w:t>
      </w:r>
      <w:r>
        <w:t xml:space="preserve"> </w:t>
      </w:r>
      <w:r>
        <w:t xml:space="preserve">ERC‑20‑style token with</w:t>
      </w:r>
      <w:r>
        <w:t xml:space="preserve"> </w:t>
      </w:r>
      <w:r>
        <w:rPr>
          <w:b/>
          <w:bCs/>
        </w:rPr>
        <w:t xml:space="preserve">monthly snapshot</w:t>
      </w:r>
      <w:r>
        <w:t xml:space="preserve"> </w:t>
      </w:r>
      <w:r>
        <w:t xml:space="preserve">balances (</w:t>
      </w:r>
      <w:r>
        <w:rPr>
          <w:rStyle w:val="VerbatimChar"/>
        </w:rPr>
        <w:t xml:space="preserve">Snapshot_t</w:t>
      </w:r>
      <w:r>
        <w:t xml:space="preserve">) for payout apportionment.</w:t>
      </w:r>
    </w:p>
    <w:p>
      <w:pPr>
        <w:pStyle w:val="Compact"/>
        <w:numPr>
          <w:ilvl w:val="0"/>
          <w:numId w:val="1007"/>
        </w:numPr>
      </w:pPr>
      <w:r>
        <w:t xml:space="preserve">Not immediately redeemable; holders</w:t>
      </w:r>
      <w:r>
        <w:t xml:space="preserve"> </w:t>
      </w:r>
      <w:r>
        <w:rPr>
          <w:b/>
          <w:bCs/>
        </w:rPr>
        <w:t xml:space="preserve">lodge monthly claims</w:t>
      </w:r>
      <w:r>
        <w:t xml:space="preserve"> </w:t>
      </w:r>
      <w:r>
        <w:t xml:space="preserve">(then any‑time withdrawals once posted to PayoutsVault).</w:t>
      </w:r>
    </w:p>
    <w:bookmarkEnd w:id="27"/>
    <w:bookmarkStart w:id="28" w:name="revenue-split-stimulus-tron-side"/>
    <w:p>
      <w:pPr>
        <w:pStyle w:val="Heading3"/>
      </w:pPr>
      <w:r>
        <w:t xml:space="preserve">Revenue Split &amp; Stimulus (TRON side)</w:t>
      </w:r>
    </w:p>
    <w:p>
      <w:pPr>
        <w:pStyle w:val="Compact"/>
        <w:numPr>
          <w:ilvl w:val="0"/>
          <w:numId w:val="1008"/>
        </w:numPr>
      </w:pPr>
      <w:r>
        <w:t xml:space="preserve">Split GrossIncome_t:</w:t>
      </w:r>
      <w:r>
        <w:t xml:space="preserve"> </w:t>
      </w:r>
      <w:r>
        <w:rPr>
          <w:b/>
          <w:bCs/>
        </w:rPr>
        <w:t xml:space="preserve">18% Tax</w:t>
      </w:r>
      <w:r>
        <w:t xml:space="preserve">,</w:t>
      </w:r>
      <w:r>
        <w:t xml:space="preserve"> </w:t>
      </w:r>
      <w:r>
        <w:rPr>
          <w:b/>
          <w:bCs/>
        </w:rPr>
        <w:t xml:space="preserve">2% Management</w:t>
      </w:r>
      <w:r>
        <w:t xml:space="preserve">,</w:t>
      </w:r>
      <w:r>
        <w:t xml:space="preserve"> </w:t>
      </w:r>
      <w:r>
        <w:rPr>
          <w:b/>
          <w:bCs/>
        </w:rPr>
        <w:t xml:space="preserve">40% HoldingsVault</w:t>
      </w:r>
      <w:r>
        <w:t xml:space="preserve">,</w:t>
      </w:r>
      <w:r>
        <w:t xml:space="preserve"> </w:t>
      </w:r>
      <w:r>
        <w:rPr>
          <w:b/>
          <w:bCs/>
        </w:rPr>
        <w:t xml:space="preserve">40% BaseDistributable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Stimulus</w:t>
      </w:r>
      <w:r>
        <w:t xml:space="preserve">: if</w:t>
      </w:r>
      <w:r>
        <w:t xml:space="preserve"> </w:t>
      </w:r>
      <w:r>
        <w:rPr>
          <w:b/>
          <w:bCs/>
        </w:rPr>
        <w:t xml:space="preserve">HoldingsVault ≥ Goal_k</w:t>
      </w:r>
      <w:r>
        <w:t xml:space="preserve">, add</w:t>
      </w:r>
      <w:r>
        <w:t xml:space="preserve"> </w:t>
      </w:r>
      <w:r>
        <w:rPr>
          <w:b/>
          <w:bCs/>
        </w:rPr>
        <w:t xml:space="preserve">10% × Goal_k</w:t>
      </w:r>
      <w:r>
        <w:t xml:space="preserve"> </w:t>
      </w:r>
      <w:r>
        <w:t xml:space="preserve">to the month’s distributable pool, then decrement HoldingsVault and bump</w:t>
      </w:r>
      <w:r>
        <w:t xml:space="preserve"> </w:t>
      </w:r>
      <w:r>
        <w:rPr>
          <w:rStyle w:val="VerbatimChar"/>
        </w:rPr>
        <w:t xml:space="preserve">Goal_{k+1} = Goal_k + $5M</w:t>
      </w:r>
      <w:r>
        <w:t xml:space="preserve"> </w:t>
      </w:r>
      <w:r>
        <w:t xml:space="preserve">(20M → 25M → 30M → …).</w:t>
      </w:r>
    </w:p>
    <w:bookmarkEnd w:id="28"/>
    <w:bookmarkStart w:id="29" w:name="X9ccc6b69902315df95bb41de0b352980b6122ea"/>
    <w:p>
      <w:pPr>
        <w:pStyle w:val="Heading3"/>
      </w:pPr>
      <w:r>
        <w:t xml:space="preserve">Per‑Token Rate &amp; Net Payout (Local Fee Estimation)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Supply_t = Σ Snapshot_t balances</w:t>
      </w:r>
      <w:r>
        <w:t xml:space="preserve">;</w:t>
      </w:r>
      <w:r>
        <w:t xml:space="preserve"> </w:t>
      </w:r>
      <w:r>
        <w:rPr>
          <w:rStyle w:val="VerbatimChar"/>
        </w:rPr>
        <w:t xml:space="preserve">GRate_t = Distributable_t / Supply_t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Min payout threshold</w:t>
      </w:r>
      <w:r>
        <w:t xml:space="preserve">:</w:t>
      </w:r>
      <w:r>
        <w:t xml:space="preserve"> </w:t>
      </w:r>
      <w:r>
        <w:rPr>
          <w:b/>
          <w:bCs/>
        </w:rPr>
        <w:t xml:space="preserve">$10.00 USD</w:t>
      </w:r>
      <w:r>
        <w:t xml:space="preserve"> </w:t>
      </w:r>
      <w:r>
        <w:t xml:space="preserve">pre‑fee → smaller entitlements roll to next month.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TRON fee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local full node</w:t>
      </w:r>
      <w:r>
        <w:t xml:space="preserve"> </w:t>
      </w:r>
      <w:r>
        <w:t xml:space="preserve">(energy/bandwidth, staked resources, configured TRX→USD),</w:t>
      </w:r>
      <w:r>
        <w:t xml:space="preserve"> </w:t>
      </w:r>
      <w:r>
        <w:rPr>
          <w:b/>
          <w:bCs/>
        </w:rPr>
        <w:t xml:space="preserve">no external oracle</w:t>
      </w:r>
      <w:r>
        <w:t xml:space="preserve">.</w:t>
      </w:r>
      <w:r>
        <w:t xml:space="preserve"> </w:t>
      </w:r>
      <w:r>
        <w:rPr>
          <w:rStyle w:val="VerbatimChar"/>
        </w:rPr>
        <w:t xml:space="preserve">Receivable = Gross − NetworkFee − PlatformFee%</w:t>
      </w:r>
      <w:r>
        <w:t xml:space="preserve">.</w:t>
      </w:r>
    </w:p>
    <w:bookmarkEnd w:id="29"/>
    <w:bookmarkStart w:id="30" w:name="worked-examples"/>
    <w:p>
      <w:pPr>
        <w:pStyle w:val="Heading3"/>
      </w:pPr>
      <w:r>
        <w:t xml:space="preserve">Worked Examples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Stimulus</w:t>
      </w:r>
      <w:r>
        <w:t xml:space="preserve">: Goal 20M, Income 100k, Supply 1M →</w:t>
      </w:r>
      <w:r>
        <w:t xml:space="preserve"> </w:t>
      </w:r>
      <w:r>
        <w:rPr>
          <w:rStyle w:val="VerbatimChar"/>
        </w:rPr>
        <w:t xml:space="preserve">Distributable = 2,040,000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$2.04/token</w:t>
      </w:r>
      <w:r>
        <w:t xml:space="preserve">; 10k tokens →</w:t>
      </w:r>
      <w:r>
        <w:t xml:space="preserve"> </w:t>
      </w:r>
      <w:r>
        <w:rPr>
          <w:rStyle w:val="VerbatimChar"/>
        </w:rPr>
        <w:t xml:space="preserve">$20,400</w:t>
      </w:r>
      <w:r>
        <w:t xml:space="preserve"> </w:t>
      </w:r>
      <w:r>
        <w:t xml:space="preserve">gross (minus fees); HoldingsVault → 18M; next goal 25M.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No stimulus</w:t>
      </w:r>
      <w:r>
        <w:t xml:space="preserve">: Distributable 40k →</w:t>
      </w:r>
      <w:r>
        <w:t xml:space="preserve"> </w:t>
      </w:r>
      <w:r>
        <w:rPr>
          <w:rStyle w:val="VerbatimChar"/>
        </w:rPr>
        <w:t xml:space="preserve">$0.04/token</w:t>
      </w:r>
      <w:r>
        <w:t xml:space="preserve">; 10k tokens →</w:t>
      </w:r>
      <w:r>
        <w:t xml:space="preserve"> </w:t>
      </w:r>
      <w:r>
        <w:rPr>
          <w:rStyle w:val="VerbatimChar"/>
        </w:rPr>
        <w:t xml:space="preserve">$400</w:t>
      </w:r>
      <w:r>
        <w:t xml:space="preserve"> </w:t>
      </w:r>
      <w:r>
        <w:t xml:space="preserve">gross (minus fees).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wallet-cashout-usdt-direct-only"/>
    <w:p>
      <w:pPr>
        <w:pStyle w:val="Heading2"/>
      </w:pPr>
      <w:r>
        <w:t xml:space="preserve">Wallet &amp; Cash‑Out (USDT Direct Only)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Any‑time withdrawals</w:t>
      </w:r>
      <w:r>
        <w:t xml:space="preserve"> </w:t>
      </w:r>
      <w:r>
        <w:t xml:space="preserve">after monthly entitlements are posted;</w:t>
      </w:r>
      <w:r>
        <w:t xml:space="preserve"> </w:t>
      </w:r>
      <w:r>
        <w:rPr>
          <w:b/>
          <w:bCs/>
        </w:rPr>
        <w:t xml:space="preserve">$10 pre‑fee minimum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TRX staking</w:t>
      </w:r>
      <w:r>
        <w:t xml:space="preserve"> </w:t>
      </w:r>
      <w:r>
        <w:t xml:space="preserve">for Energy/Bandwidth; per‑holder prepay option; TRX buffer targets.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USDT off‑ramp connectors</w:t>
      </w:r>
      <w:r>
        <w:t xml:space="preserve">: Exchange/OTC/PSP to bank/PayPal (after fiat conversion). No XRP bridge in MVP.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Controls</w:t>
      </w:r>
      <w:r>
        <w:t xml:space="preserve">: 2‑of‑3 multisig approvals; off‑ramp platform fee (%) supported; daily/tx caps in ParamRegistry.</w:t>
      </w:r>
    </w:p>
    <w:p>
      <w:r>
        <w:pict>
          <v:rect style="width:0;height:1.5pt" o:hralign="center" o:hrstd="t" o:hr="t"/>
        </w:pict>
      </w:r>
    </w:p>
    <w:bookmarkEnd w:id="32"/>
    <w:bookmarkStart w:id="36" w:name="Xfc9495a239d9dd93a2bd529d95b90a67942cc66"/>
    <w:p>
      <w:pPr>
        <w:pStyle w:val="Heading2"/>
      </w:pPr>
      <w:r>
        <w:t xml:space="preserve">Client‑Controlled Session Policy &amp; Connection Paths (P2P)</w:t>
      </w:r>
    </w:p>
    <w:bookmarkStart w:id="33" w:name="Xf416d10d6c98c4efc00b899e0688af7fdc2ea27"/>
    <w:p>
      <w:pPr>
        <w:pStyle w:val="Heading3"/>
      </w:pPr>
      <w:r>
        <w:t xml:space="preserve">Client‑Enforced Controls (Trust‑Nothing at the Console)</w:t>
      </w:r>
    </w:p>
    <w:p>
      <w:pPr>
        <w:pStyle w:val="Compact"/>
        <w:numPr>
          <w:ilvl w:val="0"/>
          <w:numId w:val="1012"/>
        </w:numPr>
      </w:pPr>
      <w:r>
        <w:t xml:space="preserve">Owner defines a</w:t>
      </w:r>
      <w:r>
        <w:t xml:space="preserve"> </w:t>
      </w:r>
      <w:r>
        <w:rPr>
          <w:b/>
          <w:bCs/>
        </w:rPr>
        <w:t xml:space="preserve">Control Policy</w:t>
      </w:r>
      <w:r>
        <w:t xml:space="preserve"> </w:t>
      </w:r>
      <w:r>
        <w:t xml:space="preserve">for each session; hashed/anchored on‑chain with the session ID; signed by owner.</w:t>
      </w:r>
    </w:p>
    <w:p>
      <w:pPr>
        <w:pStyle w:val="Compact"/>
        <w:numPr>
          <w:ilvl w:val="0"/>
          <w:numId w:val="1012"/>
        </w:numPr>
      </w:pPr>
      <w:r>
        <w:t xml:space="preserve">Runtime enforcer on the client blocks disallowed inputs (mouse/keyboard/shell/USB/audio/webcam/clipboard), enforces file allow/deny and replace‑same‑name guard, and applies</w:t>
      </w:r>
      <w:r>
        <w:t xml:space="preserve"> </w:t>
      </w:r>
      <w:r>
        <w:rPr>
          <w:b/>
          <w:bCs/>
        </w:rPr>
        <w:t xml:space="preserve">Privacy Shield</w:t>
      </w:r>
      <w:r>
        <w:t xml:space="preserve"> </w:t>
      </w:r>
      <w:r>
        <w:t xml:space="preserve">(hide client data, redaction zones, app allowlist). Violations terminate the session and log an incident.</w:t>
      </w:r>
    </w:p>
    <w:p>
      <w:pPr>
        <w:pStyle w:val="Compact"/>
        <w:numPr>
          <w:ilvl w:val="0"/>
          <w:numId w:val="1012"/>
        </w:numPr>
      </w:pPr>
      <w:r>
        <w:t xml:space="preserve">Re‑entry contracts</w:t>
      </w:r>
      <w:r>
        <w:t xml:space="preserve"> </w:t>
      </w:r>
      <w:r>
        <w:rPr>
          <w:b/>
          <w:bCs/>
        </w:rPr>
        <w:t xml:space="preserve">inherit</w:t>
      </w:r>
      <w:r>
        <w:t xml:space="preserve"> </w:t>
      </w:r>
      <w:r>
        <w:t xml:space="preserve">the exact</w:t>
      </w:r>
      <w:r>
        <w:t xml:space="preserve"> </w:t>
      </w:r>
      <w:r>
        <w:rPr>
          <w:rStyle w:val="VerbatimChar"/>
        </w:rPr>
        <w:t xml:space="preserve">policyHash</w:t>
      </w:r>
      <w:r>
        <w:t xml:space="preserve"> </w:t>
      </w:r>
      <w:r>
        <w:t xml:space="preserve">(immutable during the contract term).</w:t>
      </w:r>
    </w:p>
    <w:p>
      <w:pPr>
        <w:pStyle w:val="FirstParagraph"/>
      </w:pPr>
      <w:r>
        <w:rPr>
          <w:b/>
          <w:bCs/>
        </w:rPr>
        <w:t xml:space="preserve">MongoDB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control_policies</w:t>
      </w:r>
      <w:r>
        <w:t xml:space="preserve"> </w:t>
      </w:r>
      <w:r>
        <w:t xml:space="preserve">with expanded schema.</w:t>
      </w:r>
    </w:p>
    <w:bookmarkEnd w:id="33"/>
    <w:bookmarkStart w:id="34" w:name="rolling-freetier-declutter"/>
    <w:p>
      <w:pPr>
        <w:pStyle w:val="Heading3"/>
      </w:pPr>
      <w:r>
        <w:t xml:space="preserve">Rolling Free‑Tier &amp; De‑Clutter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2 actions per rolling 24h</w:t>
      </w:r>
      <w:r>
        <w:t xml:space="preserve"> </w:t>
      </w:r>
      <w:r>
        <w:t xml:space="preserve">(join/search combined) with per‑action TTL enforcement.</w:t>
      </w:r>
    </w:p>
    <w:p>
      <w:pPr>
        <w:pStyle w:val="Compact"/>
        <w:numPr>
          <w:ilvl w:val="0"/>
          <w:numId w:val="1013"/>
        </w:numPr>
      </w:pPr>
      <w:r>
        <w:t xml:space="preserve">If a user owns multiple active session IDs,</w:t>
      </w:r>
      <w:r>
        <w:t xml:space="preserve"> </w:t>
      </w:r>
      <w:r>
        <w:rPr>
          <w:b/>
          <w:bCs/>
        </w:rPr>
        <w:t xml:space="preserve">keep the most recent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archive the rest</w:t>
      </w:r>
      <w:r>
        <w:t xml:space="preserve">.</w:t>
      </w:r>
    </w:p>
    <w:bookmarkEnd w:id="34"/>
    <w:bookmarkStart w:id="35" w:name="allowed-p2p-paths-toronly"/>
    <w:p>
      <w:pPr>
        <w:pStyle w:val="Heading3"/>
      </w:pPr>
      <w:r>
        <w:t xml:space="preserve">Allowed P2P Paths (Tor‑only)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Path 1 — Session Rendezvous:</w:t>
      </w:r>
      <w:r>
        <w:t xml:space="preserve"> </w:t>
      </w:r>
      <w:r>
        <w:rPr>
          <w:rStyle w:val="VerbatimChar"/>
        </w:rPr>
        <w:t xml:space="preserve">User → Server/Node → sessions_db → session_id</w:t>
      </w:r>
      <w:r>
        <w:t xml:space="preserve">, where both parties meet at the session ID.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Path 2 — VM Contract Re‑Entry:</w:t>
      </w:r>
      <w:r>
        <w:t xml:space="preserve"> </w:t>
      </w:r>
      <w:r>
        <w:t xml:space="preserve">requires a prior Path‑1 session,</w:t>
      </w:r>
      <w:r>
        <w:t xml:space="preserve"> </w:t>
      </w:r>
      <w:r>
        <w:rPr>
          <w:b/>
          <w:bCs/>
        </w:rPr>
        <w:t xml:space="preserve">set phrase + reentry key</w:t>
      </w:r>
      <w:r>
        <w:t xml:space="preserve">, fixed term (</w:t>
      </w:r>
      <w:r>
        <w:rPr>
          <w:b/>
          <w:bCs/>
        </w:rPr>
        <w:t xml:space="preserve">30d</w:t>
      </w:r>
      <w:r>
        <w:t xml:space="preserve"> </w:t>
      </w:r>
      <w:r>
        <w:t xml:space="preserve">default or</w:t>
      </w:r>
      <w:r>
        <w:t xml:space="preserve"> </w:t>
      </w:r>
      <w:r>
        <w:rPr>
          <w:b/>
          <w:bCs/>
        </w:rPr>
        <w:t xml:space="preserve">90d</w:t>
      </w:r>
      <w:r>
        <w:t xml:space="preserve"> </w:t>
      </w:r>
      <w:r>
        <w:t xml:space="preserve">option; writer may set up to</w:t>
      </w:r>
      <w:r>
        <w:t xml:space="preserve"> </w:t>
      </w:r>
      <w:r>
        <w:rPr>
          <w:b/>
          <w:bCs/>
        </w:rPr>
        <w:t xml:space="preserve">2 years</w:t>
      </w:r>
      <w:r>
        <w:t xml:space="preserve">), and</w:t>
      </w:r>
      <w:r>
        <w:t xml:space="preserve"> </w:t>
      </w:r>
      <w:r>
        <w:rPr>
          <w:b/>
          <w:bCs/>
        </w:rPr>
        <w:t xml:space="preserve">policy inheritance</w:t>
      </w:r>
      <w:r>
        <w:t xml:space="preserve"> </w:t>
      </w:r>
      <w:r>
        <w:t xml:space="preserve">from the original session.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implementation"/>
    <w:p>
      <w:pPr>
        <w:pStyle w:val="Heading2"/>
      </w:pPr>
      <w:r>
        <w:t xml:space="preserve">Implementation</w:t>
      </w:r>
    </w:p>
    <w:bookmarkStart w:id="37" w:name="mvp-rollout-plan-s-c"/>
    <w:p>
      <w:pPr>
        <w:pStyle w:val="Heading3"/>
      </w:pPr>
      <w:r>
        <w:t xml:space="preserve">MVP Rollout Plan (S &amp; C)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Included in MVP?</w:t>
            </w:r>
          </w:p>
        </w:tc>
        <w:tc>
          <w:tcPr/>
          <w:p>
            <w:pPr>
              <w:pStyle w:val="Compact"/>
            </w:pPr>
            <w:r>
              <w:t xml:space="preserve">Scope in MVP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Hardware‑accelerated video encode (V4L2/FFmpeg)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Enable h264_v4l2m2m on Pi; bitrate caps via admin 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QUIC/UDP fallback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Tor‑only stack; no non‑Tor transport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Identity (email magic + TOTP)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Local accounts, 2FA; no external IdP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endpoints (manifests/proofs)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Read‑only REST + JWT on 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Encrypted S3 backups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Client‑side encrypted exports; MinIO/S3 compatible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Rate‑limiting &amp; anomaly detection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Partial</w:t>
            </w:r>
          </w:p>
        </w:tc>
        <w:tc>
          <w:tcPr/>
          <w:p>
            <w:pPr>
              <w:pStyle w:val="Compact"/>
            </w:pPr>
            <w:r>
              <w:t xml:space="preserve">Nginx rate‑limit + simple heuristics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Headless bootstrap + QR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Cloud‑init + QR provisioning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Observer role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Read‑only viewer when sharer permits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KYC &amp; payout caps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 (deployed)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PRKYC contract deployed now; runtime‑selectable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Federation across Pis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Phase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Mobile viewer apps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Phase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PQ crypto experiments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Yes (testnet only)</w:t>
            </w:r>
          </w:p>
        </w:tc>
        <w:tc>
          <w:tcPr/>
          <w:p>
            <w:pPr>
              <w:pStyle w:val="Compact"/>
            </w:pPr>
            <w:r>
              <w:t xml:space="preserve">Dilithium key wrapping for chunk keys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Privacy filters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Partial</w:t>
            </w:r>
          </w:p>
        </w:tc>
        <w:tc>
          <w:tcPr/>
          <w:p>
            <w:pPr>
              <w:pStyle w:val="Compact"/>
            </w:pPr>
            <w:r>
              <w:t xml:space="preserve">Window/keystroke redaction pre‑encryption</w:t>
            </w:r>
          </w:p>
        </w:tc>
      </w:tr>
    </w:tbl>
    <w:bookmarkEnd w:id="37"/>
    <w:bookmarkStart w:id="38" w:name="concrete-steps"/>
    <w:p>
      <w:pPr>
        <w:pStyle w:val="Heading3"/>
      </w:pPr>
      <w:r>
        <w:t xml:space="preserve">Concrete Steps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Smart Contracts</w:t>
      </w:r>
      <w:r>
        <w:t xml:space="preserve">: Implement/freeze</w:t>
      </w:r>
      <w:r>
        <w:t xml:space="preserve"> </w:t>
      </w:r>
      <w:r>
        <w:rPr>
          <w:rStyle w:val="VerbatimChar"/>
        </w:rPr>
        <w:t xml:space="preserve">LucidAnchors</w:t>
      </w:r>
      <w:r>
        <w:t xml:space="preserve">,</w:t>
      </w:r>
      <w:r>
        <w:t xml:space="preserve"> </w:t>
      </w:r>
      <w:r>
        <w:rPr>
          <w:rStyle w:val="VerbatimChar"/>
        </w:rPr>
        <w:t xml:space="preserve">PayoutRouterV0</w:t>
      </w:r>
      <w:r>
        <w:t xml:space="preserve">,</w:t>
      </w:r>
      <w:r>
        <w:t xml:space="preserve"> </w:t>
      </w:r>
      <w:r>
        <w:rPr>
          <w:rStyle w:val="VerbatimChar"/>
        </w:rPr>
        <w:t xml:space="preserve">PayoutRouterKYC</w:t>
      </w:r>
      <w:r>
        <w:t xml:space="preserve">, PoOT/minter, ParamRegistry; audits.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Deployments</w:t>
      </w:r>
      <w:r>
        <w:t xml:space="preserve">: Shasta + Mainnet; fund vaults; record addresses in image; set multisig roles.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Wallets</w:t>
      </w:r>
      <w:r>
        <w:t xml:space="preserve">: Ledger 2‑of‑3 multisig; appliance keystore; device binding.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Pi Build</w:t>
      </w:r>
      <w:r>
        <w:t xml:space="preserve">: Docker Compose; Tor; Node 20 + TronWeb;</w:t>
      </w:r>
      <w:r>
        <w:t xml:space="preserve"> </w:t>
      </w:r>
      <w:r>
        <w:rPr>
          <w:b/>
          <w:bCs/>
        </w:rPr>
        <w:t xml:space="preserve">MongoDB 7 (arm64)</w:t>
      </w:r>
      <w:r>
        <w:t xml:space="preserve">; FFmpeg with Pi hardware codecs.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Admin UI</w:t>
      </w:r>
      <w:r>
        <w:t xml:space="preserve">: Ledger signing; router toggle; payout and withdrawal flows; policy editor for client controls.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Ops</w:t>
      </w:r>
      <w:r>
        <w:t xml:space="preserve">: TRX staking/energy rental; monitoring; daily reconciliations.</w:t>
      </w:r>
    </w:p>
    <w:bookmarkEnd w:id="38"/>
    <w:bookmarkStart w:id="39" w:name="milestones"/>
    <w:p>
      <w:pPr>
        <w:pStyle w:val="Heading3"/>
      </w:pPr>
      <w:r>
        <w:t xml:space="preserve">Milestones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M1 (Week 1‑2)</w:t>
      </w:r>
      <w:r>
        <w:t xml:space="preserve">: Contracts + tests; audit started.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M2 (Week 3)</w:t>
      </w:r>
      <w:r>
        <w:t xml:space="preserve">: Shasta deploy; Pi image alpha; end‑to‑end anchor+payout on testnet.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M3 (Week 4)</w:t>
      </w:r>
      <w:r>
        <w:t xml:space="preserve">: Mainnet deploy; addresses baked; compliance signer live.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M4 (Week 5‑6)</w:t>
      </w:r>
      <w:r>
        <w:t xml:space="preserve">: S‑features complete; KYC router wired (optional); performance hardening.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M5 (Week 7)</w:t>
      </w:r>
      <w:r>
        <w:t xml:space="preserve">: Release Candidate; OTA key rotation; docs.</w:t>
      </w:r>
    </w:p>
    <w:bookmarkEnd w:id="39"/>
    <w:bookmarkStart w:id="40" w:name="gathering-results"/>
    <w:p>
      <w:pPr>
        <w:pStyle w:val="Heading3"/>
      </w:pPr>
      <w:r>
        <w:t xml:space="preserve">Gathering Results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On‑chain</w:t>
      </w:r>
      <w:r>
        <w:t xml:space="preserve">: export anchor/payout txids; cross‑check vs local DB.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Performance</w:t>
      </w:r>
      <w:r>
        <w:t xml:space="preserve">: &lt;300 ms anchor submit latency (ex‑confirmation); &lt;2 s USDT transfer initiation.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Security</w:t>
      </w:r>
      <w:r>
        <w:t xml:space="preserve">: quarterly key rotation drill; testnet chaos runs.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2025-08-29T23:52:00Z</dcterms:created>
  <dcterms:modified xsi:type="dcterms:W3CDTF">2025-08-29T23:52:00Z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