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BE16EA">
      <w:pPr>
        <w:jc w:val="center"/>
        <w:divId w:val="89975354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Civil Affidavit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follows: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That I am making this affidavit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property, family, settlement, etc.)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That th</w:t>
      </w:r>
      <w:r>
        <w:rPr>
          <w:sz w:val="28"/>
          <w:szCs w:val="28"/>
        </w:rPr>
        <w:t>e facts stated below are true and correct to the best of my knowledge and belief: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That I have not concealed any material fact and nothing st</w:t>
      </w:r>
      <w:r>
        <w:rPr>
          <w:sz w:val="28"/>
          <w:szCs w:val="28"/>
        </w:rPr>
        <w:t>ated herein is false or misleading.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That I understand that any false statement or concealment may render me liable to legal action under the relevant laws of Pakistan.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BE16EA">
      <w:pPr>
        <w:pStyle w:val="NormalWeb"/>
        <w:jc w:val="both"/>
        <w:divId w:val="1890143734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E16EA"/>
    <w:rsid w:val="00BE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E801B-B6A1-4940-978F-5773827A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94090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9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9975354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600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</Words>
  <Characters>973</Characters>
  <Application>Microsoft Office Word</Application>
  <DocSecurity>4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