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B3A5C"/>
          <w:sz w:val="60"/>
          <w:szCs w:val="60"/>
        </w:rPr>
        <w:t xml:space="preserve">WUKALAGPT</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b/>
          <w:bCs/>
          <w:color w:val="1B3A5C"/>
          <w:sz w:val="34"/>
          <w:szCs w:val="34"/>
        </w:rPr>
        <w:t xml:space="preserve">BLOCKCHAIN TRUST RESEARCH REPORT</w:t>
      </w:r>
    </w:p>
    <w:p>
      <w:pPr>
        <w:jc w:val="center"/>
      </w:pPr>
      <w:r>
        <w:rPr>
          <w:rFonts w:ascii="Arial" w:cs="Arial" w:eastAsia="Arial" w:hAnsi="Arial"/>
          <w:i/>
          <w:iCs/>
          <w:color w:val="4A5568"/>
          <w:sz w:val="21"/>
          <w:szCs w:val="21"/>
        </w:rPr>
        <w:t xml:space="preserve">How Blockchain Makes WukalaGPT the Most Trusted Legal Platform in Pakistan</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color w:val="4A5568"/>
          <w:sz w:val="20"/>
          <w:szCs w:val="20"/>
        </w:rPr>
        <w:t xml:space="preserve">For Lawyers · Judges · Clients · Bar Councils · Investors</w:t>
      </w:r>
    </w:p>
    <w:p>
      <w:pPr>
        <w:spacing w:before="3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shd w:fill="1B3A5C" w:val="clear"/>
            <w:tcMar>
              <w:top w:type="dxa" w:w="100"/>
              <w:left w:type="dxa" w:w="140"/>
              <w:bottom w:type="dxa" w:w="100"/>
              <w:right w:type="dxa" w:w="100"/>
            </w:tcMar>
          </w:tcPr>
          <w:p>
            <w:pPr>
              <w:jc w:val="center"/>
            </w:pPr>
            <w:r>
              <w:rPr>
                <w:rFonts w:ascii="Arial" w:cs="Arial" w:eastAsia="Arial" w:hAnsi="Arial"/>
                <w:b/>
                <w:bCs/>
                <w:color w:val="FFFFFF"/>
                <w:sz w:val="18"/>
                <w:szCs w:val="18"/>
              </w:rPr>
              <w:t xml:space="preserve">Code Envision Technologies</w:t>
            </w:r>
          </w:p>
        </w:tc>
        <w:tc>
          <w:tcPr>
            <w:tcW w:type="dxa" w:w="2400"/>
            <w:tcBorders>
              <w:top w:val="none" w:color="FFFFFF" w:sz="0"/>
              <w:left w:val="none" w:color="FFFFFF" w:sz="0"/>
              <w:bottom w:val="none" w:color="FFFFFF" w:sz="0"/>
              <w:right w:val="none" w:color="FFFFFF" w:sz="0"/>
            </w:tcBorders>
            <w:shd w:fill="EEF2F7" w:val="clear"/>
            <w:tcMar>
              <w:top w:type="dxa" w:w="100"/>
              <w:left w:type="dxa" w:w="140"/>
              <w:bottom w:type="dxa" w:w="100"/>
              <w:right w:type="dxa" w:w="100"/>
            </w:tcMar>
          </w:tcPr>
          <w:p>
            <w:pPr>
              <w:jc w:val="center"/>
            </w:pPr>
            <w:r>
              <w:rPr>
                <w:rFonts w:ascii="Arial" w:cs="Arial" w:eastAsia="Arial" w:hAnsi="Arial"/>
                <w:b/>
                <w:bCs/>
                <w:color w:val="1B3A5C"/>
                <w:sz w:val="15"/>
                <w:szCs w:val="15"/>
              </w:rPr>
              <w:t xml:space="preserve">WKL-RES-BlockchainTrust-v1.0</w:t>
            </w:r>
          </w:p>
        </w:tc>
        <w:tc>
          <w:tcPr>
            <w:tcW w:type="dxa" w:w="2400"/>
            <w:tcBorders>
              <w:top w:val="none" w:color="FFFFFF" w:sz="0"/>
              <w:left w:val="none" w:color="FFFFFF" w:sz="0"/>
              <w:bottom w:val="none" w:color="FFFFFF" w:sz="0"/>
              <w:right w:val="none" w:color="FFFFFF" w:sz="0"/>
            </w:tcBorders>
            <w:shd w:fill="FDF6E8" w:val="clear"/>
            <w:tcMar>
              <w:top w:type="dxa" w:w="100"/>
              <w:left w:type="dxa" w:w="140"/>
              <w:bottom w:type="dxa" w:w="100"/>
              <w:right w:type="dxa" w:w="100"/>
            </w:tcMar>
          </w:tcPr>
          <w:p>
            <w:pPr>
              <w:jc w:val="center"/>
            </w:pPr>
            <w:r>
              <w:rPr>
                <w:rFonts w:ascii="Arial" w:cs="Arial" w:eastAsia="Arial" w:hAnsi="Arial"/>
                <w:b/>
                <w:bCs/>
                <w:color w:val="1B3A5C"/>
                <w:sz w:val="18"/>
                <w:szCs w:val="18"/>
              </w:rPr>
              <w:t xml:space="preserve">March 2026</w:t>
            </w:r>
          </w:p>
        </w:tc>
      </w:tr>
    </w:tbl>
    <w:p>
      <w:pPr>
        <w:spacing w:before="500" w:after="0"/>
      </w:pPr>
      <w:r>
        <w:t xml:space="preserve"/>
      </w:r>
    </w:p>
    <w:p>
      <w:pPr>
        <w:jc w:val="center"/>
      </w:pPr>
      <w:r>
        <w:rPr>
          <w:rFonts w:ascii="Arial" w:cs="Arial" w:eastAsia="Arial" w:hAnsi="Arial"/>
          <w:b/>
          <w:bCs/>
          <w:color w:val="4A5568"/>
          <w:sz w:val="18"/>
          <w:szCs w:val="18"/>
        </w:rPr>
        <w:t xml:space="preserve">CONFIDENTIAL — FOR INTERNAL USE ONLY</w:t>
      </w:r>
    </w:p>
    <w:p>
      <w:pPr>
        <w:pageBreakBefore/>
      </w:pPr>
      <w:r>
        <w:br/>
      </w:r>
    </w:p>
    <w:p>
      <w:pPr>
        <w:pStyle w:val="Heading1"/>
        <w:pBdr>
          <w:bottom w:val="single" w:color="C8972B" w:sz="4" w:space="4"/>
        </w:pBdr>
        <w:spacing w:before="300" w:after="100"/>
      </w:pPr>
      <w:r>
        <w:rPr>
          <w:rFonts w:ascii="Arial" w:cs="Arial" w:eastAsia="Arial" w:hAnsi="Arial"/>
          <w:b/>
          <w:bCs/>
          <w:color w:val="1B3A5C"/>
          <w:sz w:val="28"/>
          <w:szCs w:val="28"/>
        </w:rPr>
        <w:t xml:space="preserve">Critical Distinction: Blockchain vs. Cryptocurrency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00"/>
              <w:left w:type="dxa" w:w="160"/>
              <w:bottom w:type="dxa" w:w="100"/>
              <w:right w:type="dxa" w:w="160"/>
            </w:tcMar>
          </w:tcPr>
          <w:p>
            <w:r>
              <w:rPr>
                <w:rFonts w:ascii="Arial" w:cs="Arial" w:eastAsia="Arial" w:hAnsi="Arial"/>
                <w:b/>
                <w:bCs/>
                <w:color w:val="A32D2D"/>
                <w:sz w:val="19"/>
                <w:szCs w:val="19"/>
              </w:rPr>
              <w:t xml:space="preserve">Read this first — it is the most important paragraph in this report</w:t>
            </w:r>
          </w:p>
          <w:p>
            <w:pPr>
              <w:spacing w:before="40"/>
            </w:pPr>
            <w:r>
              <w:rPr>
                <w:rFonts w:ascii="Arial" w:cs="Arial" w:eastAsia="Arial" w:hAnsi="Arial"/>
                <w:color w:val="1A1A2E"/>
                <w:sz w:val="19"/>
                <w:szCs w:val="19"/>
              </w:rPr>
              <w:t xml:space="preserve">Blockchain and cryptocurrency are NOT the same thing. Cryptocurrency (Bitcoin, Ethereum as financial instruments) remains in a legal grey area in Pakistan under the Virtual Assets Ordinance 2025. But BLOCKCHAIN TECHNOLOGY — the underlying ledger system used for records, verification, and document hashing — is entirely separate from cryptocurrency and carries NO legal restriction in Pakistan. WukalaGPT will use blockchain as a trust and verification infrastructure, not as a financial instrument. This distinction must be clearly communicated to every lawyer, judge, and client who asks about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50"/>
              <w:bottom w:type="dxa" w:w="100"/>
              <w:right w:type="dxa" w:w="100"/>
            </w:tcMar>
          </w:tcPr>
          <w:p>
            <w:r>
              <w:rPr>
                <w:rFonts w:ascii="Arial" w:cs="Arial" w:eastAsia="Arial" w:hAnsi="Arial"/>
                <w:b/>
                <w:bCs/>
                <w:color w:val="1B7A3E"/>
                <w:sz w:val="19"/>
                <w:szCs w:val="19"/>
              </w:rPr>
              <w:t xml:space="preserve">What WukalaGPT uses (legal, safe)</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hashing — proving a file existed at a specific time</w:t>
            </w:r>
          </w:p>
          <w:p>
            <w:pPr>
              <w:pStyle w:val="ListParagraph"/>
              <w:numPr>
                <w:ilvl w:val="0"/>
                <w:numId w:val="2"/>
              </w:numPr>
              <w:spacing w:before="30" w:after="30"/>
            </w:pPr>
            <w:r>
              <w:rPr>
                <w:rFonts w:ascii="Arial" w:cs="Arial" w:eastAsia="Arial" w:hAnsi="Arial"/>
                <w:b w:val="false"/>
                <w:bCs w:val="false"/>
                <w:color w:val="4A5568"/>
                <w:sz w:val="20"/>
                <w:szCs w:val="20"/>
              </w:rPr>
              <w:t xml:space="preserve">Lawyer credential records — tamper-proof enrollment verification</w:t>
            </w:r>
          </w:p>
          <w:p>
            <w:pPr>
              <w:pStyle w:val="ListParagraph"/>
              <w:numPr>
                <w:ilvl w:val="0"/>
                <w:numId w:val="2"/>
              </w:numPr>
              <w:spacing w:before="30" w:after="30"/>
            </w:pPr>
            <w:r>
              <w:rPr>
                <w:rFonts w:ascii="Arial" w:cs="Arial" w:eastAsia="Arial" w:hAnsi="Arial"/>
                <w:b w:val="false"/>
                <w:bCs w:val="false"/>
                <w:color w:val="4A5568"/>
                <w:sz w:val="20"/>
                <w:szCs w:val="20"/>
              </w:rPr>
              <w:t xml:space="preserve">Audit trails — who accessed what, when, cannot be altered</w:t>
            </w:r>
          </w:p>
          <w:p>
            <w:pPr>
              <w:pStyle w:val="ListParagraph"/>
              <w:numPr>
                <w:ilvl w:val="0"/>
                <w:numId w:val="2"/>
              </w:numPr>
              <w:spacing w:before="30" w:after="30"/>
            </w:pPr>
            <w:r>
              <w:rPr>
                <w:rFonts w:ascii="Arial" w:cs="Arial" w:eastAsia="Arial" w:hAnsi="Arial"/>
                <w:b w:val="false"/>
                <w:bCs w:val="false"/>
                <w:color w:val="4A5568"/>
                <w:sz w:val="20"/>
                <w:szCs w:val="20"/>
              </w:rPr>
              <w:t xml:space="preserve">Digital signatures — cryptographically verified document signing</w:t>
            </w:r>
          </w:p>
          <w:p>
            <w:pPr>
              <w:pStyle w:val="ListParagraph"/>
              <w:numPr>
                <w:ilvl w:val="0"/>
                <w:numId w:val="2"/>
              </w:numPr>
              <w:spacing w:before="30" w:after="30"/>
            </w:pPr>
            <w:r>
              <w:rPr>
                <w:rFonts w:ascii="Arial" w:cs="Arial" w:eastAsia="Arial" w:hAnsi="Arial"/>
                <w:b w:val="false"/>
                <w:bCs w:val="false"/>
                <w:color w:val="4A5568"/>
                <w:sz w:val="20"/>
                <w:szCs w:val="20"/>
              </w:rPr>
              <w:t xml:space="preserve">Smart contracts for fee escrow — conditional payment release</w:t>
            </w:r>
          </w:p>
          <w:p>
            <w:pPr>
              <w:pStyle w:val="ListParagraph"/>
              <w:numPr>
                <w:ilvl w:val="0"/>
                <w:numId w:val="2"/>
              </w:numPr>
              <w:spacing w:before="30" w:after="30"/>
            </w:pPr>
            <w:r>
              <w:rPr>
                <w:rFonts w:ascii="Arial" w:cs="Arial" w:eastAsia="Arial" w:hAnsi="Arial"/>
                <w:b w:val="false"/>
                <w:bCs w:val="false"/>
                <w:color w:val="4A5568"/>
                <w:sz w:val="20"/>
                <w:szCs w:val="20"/>
              </w:rPr>
              <w:t xml:space="preserve">Evidence chain of custody — immutable evidence logs</w:t>
            </w:r>
          </w:p>
          <w:p>
            <w:pPr>
              <w:pStyle w:val="ListParagraph"/>
              <w:numPr>
                <w:ilvl w:val="0"/>
                <w:numId w:val="2"/>
              </w:numPr>
              <w:spacing w:before="30" w:after="30"/>
            </w:pPr>
            <w:r>
              <w:rPr>
                <w:rFonts w:ascii="Arial" w:cs="Arial" w:eastAsia="Arial" w:hAnsi="Arial"/>
                <w:b w:val="false"/>
                <w:bCs w:val="false"/>
                <w:color w:val="4A5568"/>
                <w:sz w:val="20"/>
                <w:szCs w:val="20"/>
              </w:rPr>
              <w:t xml:space="preserve">Case file integrity — proving documents have not been tampered with</w:t>
            </w:r>
          </w:p>
        </w:tc>
        <w:tc>
          <w:tcPr>
            <w:tcW w:type="dxa" w:w="4680"/>
            <w:tcBorders>
              <w:top w:val="none" w:color="FFFFFF" w:sz="0"/>
              <w:left w:val="none" w:color="FFFFFF" w:sz="0"/>
              <w:bottom w:val="none" w:color="FFFFFF" w:sz="0"/>
              <w:right w:val="none" w:color="FFFFFF" w:sz="0"/>
            </w:tcBorders>
            <w:shd w:fill="FDE8E8" w:val="clear"/>
            <w:tcMar>
              <w:top w:type="dxa" w:w="100"/>
              <w:left w:type="dxa" w:w="150"/>
              <w:bottom w:type="dxa" w:w="100"/>
              <w:right w:type="dxa" w:w="100"/>
            </w:tcMar>
          </w:tcPr>
          <w:p>
            <w:r>
              <w:rPr>
                <w:rFonts w:ascii="Arial" w:cs="Arial" w:eastAsia="Arial" w:hAnsi="Arial"/>
                <w:b/>
                <w:bCs/>
                <w:color w:val="A32D2D"/>
                <w:sz w:val="19"/>
                <w:szCs w:val="19"/>
              </w:rPr>
              <w:t xml:space="preserve">What WukalaGPT does NOT use</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Bitcoin, Ethereum, or any cryptocurrency as payment</w:t>
            </w:r>
          </w:p>
          <w:p>
            <w:pPr>
              <w:pStyle w:val="ListParagraph"/>
              <w:numPr>
                <w:ilvl w:val="0"/>
                <w:numId w:val="2"/>
              </w:numPr>
              <w:spacing w:before="30" w:after="30"/>
            </w:pPr>
            <w:r>
              <w:rPr>
                <w:rFonts w:ascii="Arial" w:cs="Arial" w:eastAsia="Arial" w:hAnsi="Arial"/>
                <w:b w:val="false"/>
                <w:bCs w:val="false"/>
                <w:color w:val="4A5568"/>
                <w:sz w:val="20"/>
                <w:szCs w:val="20"/>
              </w:rPr>
              <w:t xml:space="preserve">Token sales or ICOs of any kind</w:t>
            </w:r>
          </w:p>
          <w:p>
            <w:pPr>
              <w:pStyle w:val="ListParagraph"/>
              <w:numPr>
                <w:ilvl w:val="0"/>
                <w:numId w:val="2"/>
              </w:numPr>
              <w:spacing w:before="30" w:after="30"/>
            </w:pPr>
            <w:r>
              <w:rPr>
                <w:rFonts w:ascii="Arial" w:cs="Arial" w:eastAsia="Arial" w:hAnsi="Arial"/>
                <w:b w:val="false"/>
                <w:bCs w:val="false"/>
                <w:color w:val="4A5568"/>
                <w:sz w:val="20"/>
                <w:szCs w:val="20"/>
              </w:rPr>
              <w:t xml:space="preserve">Crypto wallets for client funds</w:t>
            </w:r>
          </w:p>
          <w:p>
            <w:pPr>
              <w:pStyle w:val="ListParagraph"/>
              <w:numPr>
                <w:ilvl w:val="0"/>
                <w:numId w:val="2"/>
              </w:numPr>
              <w:spacing w:before="30" w:after="30"/>
            </w:pPr>
            <w:r>
              <w:rPr>
                <w:rFonts w:ascii="Arial" w:cs="Arial" w:eastAsia="Arial" w:hAnsi="Arial"/>
                <w:b w:val="false"/>
                <w:bCs w:val="false"/>
                <w:color w:val="4A5568"/>
                <w:sz w:val="20"/>
                <w:szCs w:val="20"/>
              </w:rPr>
              <w:t xml:space="preserve">DeFi (Decentralised Finance) protocols</w:t>
            </w:r>
          </w:p>
          <w:p>
            <w:pPr>
              <w:pStyle w:val="ListParagraph"/>
              <w:numPr>
                <w:ilvl w:val="0"/>
                <w:numId w:val="2"/>
              </w:numPr>
              <w:spacing w:before="30" w:after="30"/>
            </w:pPr>
            <w:r>
              <w:rPr>
                <w:rFonts w:ascii="Arial" w:cs="Arial" w:eastAsia="Arial" w:hAnsi="Arial"/>
                <w:b w:val="false"/>
                <w:bCs w:val="false"/>
                <w:color w:val="4A5568"/>
                <w:sz w:val="20"/>
                <w:szCs w:val="20"/>
              </w:rPr>
              <w:t xml:space="preserve">Public blockchain for sensitive client data storage</w:t>
            </w:r>
          </w:p>
          <w:p>
            <w:pPr>
              <w:pStyle w:val="ListParagraph"/>
              <w:numPr>
                <w:ilvl w:val="0"/>
                <w:numId w:val="2"/>
              </w:numPr>
              <w:spacing w:before="30" w:after="30"/>
            </w:pPr>
            <w:r>
              <w:rPr>
                <w:rFonts w:ascii="Arial" w:cs="Arial" w:eastAsia="Arial" w:hAnsi="Arial"/>
                <w:b w:val="false"/>
                <w:bCs w:val="false"/>
                <w:color w:val="4A5568"/>
                <w:sz w:val="20"/>
                <w:szCs w:val="20"/>
              </w:rPr>
              <w:t xml:space="preserve">Any virtual asset regulated under PVARA</w:t>
            </w:r>
          </w:p>
          <w:p>
            <w:pPr>
              <w:pStyle w:val="ListParagraph"/>
              <w:numPr>
                <w:ilvl w:val="0"/>
                <w:numId w:val="2"/>
              </w:numPr>
              <w:spacing w:before="30" w:after="30"/>
            </w:pPr>
            <w:r>
              <w:rPr>
                <w:rFonts w:ascii="Arial" w:cs="Arial" w:eastAsia="Arial" w:hAnsi="Arial"/>
                <w:b w:val="false"/>
                <w:bCs w:val="false"/>
                <w:color w:val="4A5568"/>
                <w:sz w:val="20"/>
                <w:szCs w:val="20"/>
              </w:rPr>
              <w:t xml:space="preserve">Any speculative digital asset of any kind</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Executive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A" w:val="clear"/>
            <w:tcMar>
              <w:top w:type="dxa" w:w="120"/>
              <w:left w:type="dxa" w:w="130"/>
              <w:bottom w:type="dxa" w:w="120"/>
              <w:right w:type="dxa" w:w="100"/>
            </w:tcMar>
          </w:tcPr>
          <w:p>
            <w:r>
              <w:rPr>
                <w:rFonts w:ascii="Arial" w:cs="Arial" w:eastAsia="Arial" w:hAnsi="Arial"/>
                <w:b/>
                <w:bCs/>
                <w:color w:val="185FA5"/>
                <w:sz w:val="32"/>
                <w:szCs w:val="32"/>
              </w:rPr>
              <w:t xml:space="preserve">7</w:t>
            </w:r>
          </w:p>
          <w:p>
            <w:pPr>
              <w:spacing w:before="20"/>
            </w:pPr>
            <w:r>
              <w:rPr>
                <w:rFonts w:ascii="Arial" w:cs="Arial" w:eastAsia="Arial" w:hAnsi="Arial"/>
                <w:color w:val="4A5568"/>
                <w:sz w:val="17"/>
                <w:szCs w:val="17"/>
              </w:rPr>
              <w:t xml:space="preserve">Blockchain use cases identified</w:t>
            </w:r>
          </w:p>
          <w:p>
            <w:pPr>
              <w:spacing w:before="8"/>
            </w:pPr>
            <w:r>
              <w:rPr>
                <w:rFonts w:ascii="Arial" w:cs="Arial" w:eastAsia="Arial" w:hAnsi="Arial"/>
                <w:i/>
                <w:iCs/>
                <w:color w:val="4A5568"/>
                <w:sz w:val="15"/>
                <w:szCs w:val="15"/>
              </w:rPr>
              <w:t xml:space="preserve">For WukalaGPT platform</w:t>
            </w:r>
          </w:p>
        </w:tc>
        <w:tc>
          <w:tcPr>
            <w:tcW w:type="dxa" w:w="2340"/>
            <w:tcBorders>
              <w:top w:val="none" w:color="FFFFFF" w:sz="0"/>
              <w:left w:val="none" w:color="FFFFFF" w:sz="0"/>
              <w:bottom w:val="none" w:color="FFFFFF" w:sz="0"/>
              <w:right w:val="none" w:color="FFFFFF" w:sz="0"/>
            </w:tcBorders>
            <w:shd w:fill="FDF6E8" w:val="clear"/>
            <w:tcMar>
              <w:top w:type="dxa" w:w="120"/>
              <w:left w:type="dxa" w:w="130"/>
              <w:bottom w:type="dxa" w:w="120"/>
              <w:right w:type="dxa" w:w="100"/>
            </w:tcMar>
          </w:tcPr>
          <w:p>
            <w:r>
              <w:rPr>
                <w:rFonts w:ascii="Arial" w:cs="Arial" w:eastAsia="Arial" w:hAnsi="Arial"/>
                <w:b/>
                <w:bCs/>
                <w:color w:val="854F0B"/>
                <w:sz w:val="32"/>
                <w:szCs w:val="32"/>
              </w:rPr>
              <w:t xml:space="preserve">3</w:t>
            </w:r>
          </w:p>
          <w:p>
            <w:pPr>
              <w:spacing w:before="20"/>
            </w:pPr>
            <w:r>
              <w:rPr>
                <w:rFonts w:ascii="Arial" w:cs="Arial" w:eastAsia="Arial" w:hAnsi="Arial"/>
                <w:color w:val="4A5568"/>
                <w:sz w:val="17"/>
                <w:szCs w:val="17"/>
              </w:rPr>
              <w:t xml:space="preserve">Stakeholder groups protected</w:t>
            </w:r>
          </w:p>
          <w:p>
            <w:pPr>
              <w:spacing w:before="8"/>
            </w:pPr>
            <w:r>
              <w:rPr>
                <w:rFonts w:ascii="Arial" w:cs="Arial" w:eastAsia="Arial" w:hAnsi="Arial"/>
                <w:i/>
                <w:iCs/>
                <w:color w:val="4A5568"/>
                <w:sz w:val="15"/>
                <w:szCs w:val="15"/>
              </w:rPr>
              <w:t xml:space="preserve">Lawyers, judges, clients</w:t>
            </w:r>
          </w:p>
        </w:tc>
        <w:tc>
          <w:tcPr>
            <w:tcW w:type="dxa" w:w="2340"/>
            <w:tcBorders>
              <w:top w:val="none" w:color="FFFFFF" w:sz="0"/>
              <w:left w:val="none" w:color="FFFFFF" w:sz="0"/>
              <w:bottom w:val="none" w:color="FFFFFF" w:sz="0"/>
              <w:right w:val="none" w:color="FFFFFF" w:sz="0"/>
            </w:tcBorders>
            <w:shd w:fill="D1ECF1" w:val="clear"/>
            <w:tcMar>
              <w:top w:type="dxa" w:w="120"/>
              <w:left w:type="dxa" w:w="130"/>
              <w:bottom w:type="dxa" w:w="120"/>
              <w:right w:type="dxa" w:w="100"/>
            </w:tcMar>
          </w:tcPr>
          <w:p>
            <w:r>
              <w:rPr>
                <w:rFonts w:ascii="Arial" w:cs="Arial" w:eastAsia="Arial" w:hAnsi="Arial"/>
                <w:b/>
                <w:bCs/>
                <w:color w:val="0F6E56"/>
                <w:sz w:val="32"/>
                <w:szCs w:val="32"/>
              </w:rPr>
              <w:t xml:space="preserve">2025</w:t>
            </w:r>
          </w:p>
          <w:p>
            <w:pPr>
              <w:spacing w:before="20"/>
            </w:pPr>
            <w:r>
              <w:rPr>
                <w:rFonts w:ascii="Arial" w:cs="Arial" w:eastAsia="Arial" w:hAnsi="Arial"/>
                <w:color w:val="4A5568"/>
                <w:sz w:val="17"/>
                <w:szCs w:val="17"/>
              </w:rPr>
              <w:t xml:space="preserve">Pakistan Virtual Assets Ordinance</w:t>
            </w:r>
          </w:p>
          <w:p>
            <w:pPr>
              <w:spacing w:before="8"/>
            </w:pPr>
            <w:r>
              <w:rPr>
                <w:rFonts w:ascii="Arial" w:cs="Arial" w:eastAsia="Arial" w:hAnsi="Arial"/>
                <w:i/>
                <w:iCs/>
                <w:color w:val="4A5568"/>
                <w:sz w:val="15"/>
                <w:szCs w:val="15"/>
              </w:rPr>
              <w:t xml:space="preserve">PVARA established July 2025</w:t>
            </w:r>
          </w:p>
        </w:tc>
        <w:tc>
          <w:tcPr>
            <w:tcW w:type="dxa" w:w="2340"/>
            <w:tcBorders>
              <w:top w:val="none" w:color="FFFFFF" w:sz="0"/>
              <w:left w:val="none" w:color="FFFFFF" w:sz="0"/>
              <w:bottom w:val="none" w:color="FFFFFF" w:sz="0"/>
              <w:right w:val="none" w:color="FFFFFF" w:sz="0"/>
            </w:tcBorders>
            <w:shd w:fill="EDE9F6" w:val="clear"/>
            <w:tcMar>
              <w:top w:type="dxa" w:w="120"/>
              <w:left w:type="dxa" w:w="130"/>
              <w:bottom w:type="dxa" w:w="120"/>
              <w:right w:type="dxa" w:w="100"/>
            </w:tcMar>
          </w:tcPr>
          <w:p>
            <w:r>
              <w:rPr>
                <w:rFonts w:ascii="Arial" w:cs="Arial" w:eastAsia="Arial" w:hAnsi="Arial"/>
                <w:b/>
                <w:bCs/>
                <w:color w:val="3C3489"/>
                <w:sz w:val="32"/>
                <w:szCs w:val="32"/>
              </w:rPr>
              <w:t xml:space="preserve">0</w:t>
            </w:r>
          </w:p>
          <w:p>
            <w:pPr>
              <w:spacing w:before="20"/>
            </w:pPr>
            <w:r>
              <w:rPr>
                <w:rFonts w:ascii="Arial" w:cs="Arial" w:eastAsia="Arial" w:hAnsi="Arial"/>
                <w:color w:val="4A5568"/>
                <w:sz w:val="17"/>
                <w:szCs w:val="17"/>
              </w:rPr>
              <w:t xml:space="preserve">No competitor offers this</w:t>
            </w:r>
          </w:p>
          <w:p>
            <w:pPr>
              <w:spacing w:before="8"/>
            </w:pPr>
            <w:r>
              <w:rPr>
                <w:rFonts w:ascii="Arial" w:cs="Arial" w:eastAsia="Arial" w:hAnsi="Arial"/>
                <w:i/>
                <w:iCs/>
                <w:color w:val="4A5568"/>
                <w:sz w:val="15"/>
                <w:szCs w:val="15"/>
              </w:rPr>
              <w:t xml:space="preserve">First-mover blockchain trust</w:t>
            </w:r>
          </w:p>
        </w:tc>
      </w:tr>
    </w:tbl>
    <w:p>
      <w:pPr>
        <w:spacing w:before="80" w:after="0"/>
      </w:pPr>
      <w:r>
        <w:t xml:space="preserve"/>
      </w:r>
    </w:p>
    <w:p>
      <w:pPr>
        <w:spacing w:before="40" w:after="60"/>
        <w:jc w:val="both"/>
      </w:pPr>
      <w:r>
        <w:rPr>
          <w:rFonts w:ascii="Arial" w:cs="Arial" w:eastAsia="Arial" w:hAnsi="Arial"/>
          <w:color w:val="4A5568"/>
          <w:sz w:val="20"/>
          <w:szCs w:val="20"/>
        </w:rPr>
        <w:t xml:space="preserve">Trust is the single largest barrier to technology adoption in Pakistani legal circles. Lawyers are conservative professionals who have operated on handshakes, physical seals, and personal relationships for decades. For WukalaGPT to achieve wide adoption — not just among tech-forward junior lawyers but among senior advocates and the judiciary — it must answer one question before any lawyer will pay for it: "Is my data safe? Is this platform trustworthy?"</w:t>
      </w:r>
    </w:p>
    <w:p>
      <w:pPr>
        <w:spacing w:before="40" w:after="0"/>
      </w:pPr>
      <w:r>
        <w:t xml:space="preserve"/>
      </w:r>
    </w:p>
    <w:p>
      <w:pPr>
        <w:spacing w:before="40" w:after="60"/>
        <w:jc w:val="both"/>
      </w:pPr>
      <w:r>
        <w:rPr>
          <w:rFonts w:ascii="Arial" w:cs="Arial" w:eastAsia="Arial" w:hAnsi="Arial"/>
          <w:color w:val="4A5568"/>
          <w:sz w:val="20"/>
          <w:szCs w:val="20"/>
        </w:rPr>
        <w:t xml:space="preserve">Blockchain technology answers that question in a way no other technology can. While AI can be wrong, servers can be hacked, and databases can be manipulated, blockchain-based records are mathematically immutable. What is written cannot be unwritten. What is timestamped cannot be backdated. This is the foundation of a trust architecture that makes WukalaGPT not just a useful tool, but a credible institution in the eyes of Pakistani lawyers, judges, and clients.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Strategic positioning: blockchain as WukalaGPT's moat</w:t>
            </w:r>
          </w:p>
          <w:p>
            <w:pPr>
              <w:spacing w:before="40"/>
            </w:pPr>
            <w:r>
              <w:rPr>
                <w:rFonts w:ascii="Arial" w:cs="Arial" w:eastAsia="Arial" w:hAnsi="Arial"/>
                <w:color w:val="1A1A2E"/>
                <w:sz w:val="19"/>
                <w:szCs w:val="19"/>
              </w:rPr>
              <w:t xml:space="preserve">Every Pakistani LegalTech competitor — DigiLawyer, LawGPT, YourMunshi, AI Attorney — is an AI tool. None of them has built a trust infrastructure. WukalaGPT can become the first and only Pakistani legal platform that is not just intelligent but provably trustworthy. "Tamper-proof" and "court-admissible" are marketing messages no AI research tool can make. WukalaGPT can.</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1 — Pakistan's Blockchain Regulatory Landscape in 2025–2026</w:t>
      </w:r>
    </w:p>
    <w:p>
      <w:pPr>
        <w:spacing w:before="40" w:after="60"/>
        <w:jc w:val="both"/>
      </w:pPr>
      <w:r>
        <w:rPr>
          <w:rFonts w:ascii="Arial" w:cs="Arial" w:eastAsia="Arial" w:hAnsi="Arial"/>
          <w:color w:val="4A5568"/>
          <w:sz w:val="20"/>
          <w:szCs w:val="20"/>
        </w:rPr>
        <w:t xml:space="preserve">Understanding Pakistan's legal and regulatory position on blockchain is essential before designing any blockchain features. The good news: Pakistan has moved rapidly in 2025 from hostility toward digital assets to active regulation and institutional embrace.</w:t>
      </w:r>
    </w:p>
    <w:p>
      <w:pPr>
        <w:spacing w:before="80" w:after="0"/>
      </w:pPr>
      <w:r>
        <w:t xml:space="preserve"/>
      </w:r>
    </w:p>
    <w:p>
      <w:pPr>
        <w:spacing w:before="200" w:after="70"/>
      </w:pPr>
      <w:r>
        <w:rPr>
          <w:rFonts w:ascii="Arial" w:cs="Arial" w:eastAsia="Arial" w:hAnsi="Arial"/>
          <w:b/>
          <w:bCs/>
          <w:color w:val="1B3A5C"/>
          <w:sz w:val="22"/>
          <w:szCs w:val="22"/>
        </w:rPr>
        <w:t xml:space="preserve">1.1 Key regulatory developments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Development</w:t>
            </w:r>
          </w:p>
        </w:tc>
        <w:tc>
          <w:tcPr>
            <w:tcW w:type="dxa" w:w="16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Date</w:t>
            </w:r>
          </w:p>
        </w:tc>
        <w:tc>
          <w:tcPr>
            <w:tcW w:type="dxa" w:w="45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Significance for WukalaGPT</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 Crypto Council (PCC) formed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March 2025</w:t>
            </w:r>
          </w:p>
        </w:tc>
        <w:tc>
          <w:tcPr>
            <w:tcW w:type="dxa" w:w="4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Government signal: blockchain is being embraced at policy level</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Binance founder CZ appointed as PCC strategic adviser</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April 2025</w:t>
            </w:r>
          </w:p>
        </w:tc>
        <w:tc>
          <w:tcPr>
            <w:tcW w:type="dxa" w:w="4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World's largest crypto exchange now advising Pakistan — credibility signal</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PM appointed Bilal Bin Saqib as Minister of State for Blockchain &amp; Crypto</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May 2025</w:t>
            </w:r>
          </w:p>
        </w:tc>
        <w:tc>
          <w:tcPr>
            <w:tcW w:type="dxa" w:w="4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First-ever minister specifically for blockchain — government is serious</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Virtual Assets Ordinance 2025 promulgated</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July 8, 2025</w:t>
            </w:r>
          </w:p>
        </w:tc>
        <w:tc>
          <w:tcPr>
            <w:tcW w:type="dxa" w:w="4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PVARA created — formal regulatory body for virtual assets now exists</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PVARA inaugural meeting held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August 2025</w:t>
            </w:r>
          </w:p>
        </w:tc>
        <w:tc>
          <w:tcPr>
            <w:tcW w:type="dxa" w:w="4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Regulator is active — clear legal pathway for blockchain businesses</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SBP announced CBDC pilot program</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July 2025</w:t>
            </w:r>
          </w:p>
        </w:tc>
        <w:tc>
          <w:tcPr>
            <w:tcW w:type="dxa" w:w="4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State Bank itself is building on blockchain — institutional legitimacy</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Binance and HTX received NOCs from PVARA</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December 2025</w:t>
            </w:r>
          </w:p>
        </w:tc>
        <w:tc>
          <w:tcPr>
            <w:tcW w:type="dxa" w:w="4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Major exchanges getting licensed — blockchain ecosystem formalising</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Virtual Assets Act 2025 approved</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Late 2025</w:t>
            </w:r>
          </w:p>
        </w:tc>
        <w:tc>
          <w:tcPr>
            <w:tcW w:type="dxa" w:w="4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Full Act replacing temporary ordinance — permanent legal framework</w:t>
            </w:r>
          </w:p>
        </w:tc>
      </w:tr>
    </w:tbl>
    <w:p>
      <w:pPr>
        <w:spacing w:before="40" w:after="0"/>
      </w:pPr>
      <w:r>
        <w:t xml:space="preserve"/>
      </w:r>
    </w:p>
    <w:p>
      <w:pPr>
        <w:spacing w:before="20" w:after="30"/>
      </w:pPr>
      <w:r>
        <w:rPr>
          <w:rFonts w:ascii="Arial" w:cs="Arial" w:eastAsia="Arial" w:hAnsi="Arial"/>
          <w:i/>
          <w:iCs/>
          <w:color w:val="4A5568"/>
          <w:sz w:val="17"/>
          <w:szCs w:val="17"/>
        </w:rPr>
        <w:t xml:space="preserve">Source: Pakistan Crypto Council Wikipedia; PVARA Ordinance 2025 — FAFEN analysis; Dawn.com SBP CBDC announcement; Sumsub Pakistan Crypto 2026 report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Key insight for WukalaGPT's pitch deck</w:t>
            </w:r>
          </w:p>
          <w:p>
            <w:pPr>
              <w:spacing w:before="40"/>
            </w:pPr>
            <w:r>
              <w:rPr>
                <w:rFonts w:ascii="Arial" w:cs="Arial" w:eastAsia="Arial" w:hAnsi="Arial"/>
                <w:color w:val="1A1A2E"/>
                <w:sz w:val="19"/>
                <w:szCs w:val="19"/>
              </w:rPr>
              <w:t xml:space="preserve">Pakistan now has a Minister of State specifically for Blockchain and Cryptocurrency — a position that did not exist in 2024. The State Bank of Pakistan is piloting a Central Bank Digital Currency (CBDC). The government has established PVARA as a formal regulatory authority. WukalaGPT is building its blockchain trust layer at precisely the moment Pakistan's institutional infrastructure for blockchain is being constructed. This is not a risk — it is a timing advantage.</w:t>
            </w:r>
          </w:p>
        </w:tc>
      </w:tr>
    </w:tbl>
    <w:p>
      <w:pPr>
        <w:spacing w:before="80" w:after="0"/>
      </w:pPr>
      <w:r>
        <w:t xml:space="preserve"/>
      </w:r>
    </w:p>
    <w:p>
      <w:pPr>
        <w:spacing w:before="200" w:after="70"/>
      </w:pPr>
      <w:r>
        <w:rPr>
          <w:rFonts w:ascii="Arial" w:cs="Arial" w:eastAsia="Arial" w:hAnsi="Arial"/>
          <w:b/>
          <w:bCs/>
          <w:color w:val="1B3A5C"/>
          <w:sz w:val="22"/>
          <w:szCs w:val="22"/>
        </w:rPr>
        <w:t xml:space="preserve">1.2 Blockchain vs. cryptocurrency: the legal position</w:t>
      </w:r>
    </w:p>
    <w:p>
      <w:pPr>
        <w:spacing w:before="40" w:after="60"/>
        <w:jc w:val="both"/>
      </w:pPr>
      <w:r>
        <w:rPr>
          <w:rFonts w:ascii="Arial" w:cs="Arial" w:eastAsia="Arial" w:hAnsi="Arial"/>
          <w:color w:val="4A5568"/>
          <w:sz w:val="20"/>
          <w:szCs w:val="20"/>
        </w:rPr>
        <w:t xml:space="preserve">The Pakistan Virtual Assets Ordinance 2025 regulates "virtual assets" — defined as digital representations of value used for payment or investment. This explicitly does NOT cover blockchain technology used for record-keeping, document hashing, credential verification, or audit trails. WukalaGPT's use of blockchain falls entirely outside PVARA's jurisdiction. This distinction should be documented in WukalaGPT's legal compliance file and disclosed to lawyers who ask.</w:t>
      </w:r>
    </w:p>
    <w:p>
      <w:pPr>
        <w:spacing w:before="40" w:after="0"/>
      </w:pPr>
      <w:r>
        <w:t xml:space="preserve"/>
      </w:r>
    </w:p>
    <w:p>
      <w:pPr>
        <w:spacing w:before="20" w:after="30"/>
      </w:pPr>
      <w:r>
        <w:rPr>
          <w:rFonts w:ascii="Arial" w:cs="Arial" w:eastAsia="Arial" w:hAnsi="Arial"/>
          <w:i/>
          <w:iCs/>
          <w:color w:val="4A5568"/>
          <w:sz w:val="17"/>
          <w:szCs w:val="17"/>
        </w:rPr>
        <w:t xml:space="preserve">Source: Pakistan Virtual Assets Ordinance 2025 Section 2 definitions; FAFEN PVAR Ordinance analysis October 2025</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2 — Why Trust Is Pakistan's Legal Sector's Biggest Problem</w:t>
      </w:r>
    </w:p>
    <w:p>
      <w:pPr>
        <w:spacing w:before="40" w:after="60"/>
        <w:jc w:val="both"/>
      </w:pPr>
      <w:r>
        <w:rPr>
          <w:rFonts w:ascii="Arial" w:cs="Arial" w:eastAsia="Arial" w:hAnsi="Arial"/>
          <w:color w:val="4A5568"/>
          <w:sz w:val="20"/>
          <w:szCs w:val="20"/>
        </w:rPr>
        <w:t xml:space="preserve">Before designing blockchain features, it is essential to understand the specific trust failures that exist today in Pakistan's legal ecosystem. Blockchain should solve real problems, not be applied as a marketing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vAlign w:val="center"/>
          </w:tcPr>
          <w:p>
            <w:pPr>
              <w:jc w:val="center"/>
            </w:pPr>
            <w:r>
              <w:rPr>
                <w:rFonts w:ascii="Arial" w:cs="Arial" w:eastAsia="Arial" w:hAnsi="Arial"/>
                <w:b/>
                <w:bCs/>
                <w:color w:val="FFFFFF"/>
                <w:sz w:val="30"/>
                <w:szCs w:val="30"/>
              </w:rPr>
              <w:t xml:space="preserve">L</w:t>
            </w:r>
          </w:p>
        </w:tc>
        <w:tc>
          <w:tcPr>
            <w:tcW w:type="dxa" w:w="8460"/>
            <w:tcBorders>
              <w:top w:val="none" w:color="FFFFFF" w:sz="0"/>
              <w:left w:val="none" w:color="FFFFFF" w:sz="0"/>
              <w:bottom w:val="none" w:color="FFFFFF" w:sz="0"/>
              <w:right w:val="none" w:color="FFFFFF" w:sz="0"/>
            </w:tcBorders>
            <w:shd w:fill="D6E8FA" w:val="clear"/>
            <w:tcMar>
              <w:top w:type="dxa" w:w="100"/>
              <w:left w:type="dxa" w:w="200"/>
              <w:bottom w:type="dxa" w:w="100"/>
              <w:right w:type="dxa" w:w="120"/>
            </w:tcMar>
            <w:vAlign w:val="center"/>
          </w:tcPr>
          <w:p>
            <w:r>
              <w:rPr>
                <w:rFonts w:ascii="Arial" w:cs="Arial" w:eastAsia="Arial" w:hAnsi="Arial"/>
                <w:b/>
                <w:bCs/>
                <w:color w:val="1B3A5C"/>
                <w:sz w:val="22"/>
                <w:szCs w:val="22"/>
              </w:rPr>
              <w:t xml:space="preserve">Trust problems faced by Lawyers</w:t>
            </w:r>
          </w:p>
          <w:p>
            <w:r>
              <w:rPr>
                <w:rFonts w:ascii="Arial" w:cs="Arial" w:eastAsia="Arial" w:hAnsi="Arial"/>
                <w:i/>
                <w:iCs/>
                <w:color w:val="4A5568"/>
                <w:sz w:val="18"/>
                <w:szCs w:val="18"/>
              </w:rPr>
              <w:t xml:space="preserve">Professional credibility, client confidence, document integrity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8E8" w:val="clear"/>
            <w:tcMar>
              <w:top w:type="dxa" w:w="100"/>
              <w:left w:type="dxa" w:w="150"/>
              <w:bottom w:type="dxa" w:w="100"/>
              <w:right w:type="dxa" w:w="100"/>
            </w:tcMar>
          </w:tcPr>
          <w:p>
            <w:r>
              <w:rPr>
                <w:rFonts w:ascii="Arial" w:cs="Arial" w:eastAsia="Arial" w:hAnsi="Arial"/>
                <w:b/>
                <w:bCs/>
                <w:color w:val="A32D2D"/>
                <w:sz w:val="19"/>
                <w:szCs w:val="19"/>
              </w:rPr>
              <w:t xml:space="preserve">The actual trust failures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Fake lawyer credentials — unverified advocates misleading clients</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tampering — court orders and evidence altered between filing and hearing</w:t>
            </w:r>
          </w:p>
          <w:p>
            <w:pPr>
              <w:pStyle w:val="ListParagraph"/>
              <w:numPr>
                <w:ilvl w:val="0"/>
                <w:numId w:val="2"/>
              </w:numPr>
              <w:spacing w:before="30" w:after="30"/>
            </w:pPr>
            <w:r>
              <w:rPr>
                <w:rFonts w:ascii="Arial" w:cs="Arial" w:eastAsia="Arial" w:hAnsi="Arial"/>
                <w:b w:val="false"/>
                <w:bCs w:val="false"/>
                <w:color w:val="4A5568"/>
                <w:sz w:val="20"/>
                <w:szCs w:val="20"/>
              </w:rPr>
              <w:t xml:space="preserve">Physical files destroyed in floods, fires, or theft — no verifiable backup</w:t>
            </w:r>
          </w:p>
          <w:p>
            <w:pPr>
              <w:pStyle w:val="ListParagraph"/>
              <w:numPr>
                <w:ilvl w:val="0"/>
                <w:numId w:val="2"/>
              </w:numPr>
              <w:spacing w:before="30" w:after="30"/>
            </w:pPr>
            <w:r>
              <w:rPr>
                <w:rFonts w:ascii="Arial" w:cs="Arial" w:eastAsia="Arial" w:hAnsi="Arial"/>
                <w:b w:val="false"/>
                <w:bCs w:val="false"/>
                <w:color w:val="4A5568"/>
                <w:sz w:val="20"/>
                <w:szCs w:val="20"/>
              </w:rPr>
              <w:t xml:space="preserve">Ex-parte decisions because hearing reminders are informal</w:t>
            </w:r>
          </w:p>
          <w:p>
            <w:pPr>
              <w:pStyle w:val="ListParagraph"/>
              <w:numPr>
                <w:ilvl w:val="0"/>
                <w:numId w:val="2"/>
              </w:numPr>
              <w:spacing w:before="30" w:after="30"/>
            </w:pPr>
            <w:r>
              <w:rPr>
                <w:rFonts w:ascii="Arial" w:cs="Arial" w:eastAsia="Arial" w:hAnsi="Arial"/>
                <w:b w:val="false"/>
                <w:bCs w:val="false"/>
                <w:color w:val="4A5568"/>
                <w:sz w:val="20"/>
                <w:szCs w:val="20"/>
              </w:rPr>
              <w:t xml:space="preserve">Clients cannot verify if their case is actually filed</w:t>
            </w:r>
          </w:p>
          <w:p>
            <w:pPr>
              <w:pStyle w:val="ListParagraph"/>
              <w:numPr>
                <w:ilvl w:val="0"/>
                <w:numId w:val="2"/>
              </w:numPr>
              <w:spacing w:before="30" w:after="30"/>
            </w:pPr>
            <w:r>
              <w:rPr>
                <w:rFonts w:ascii="Arial" w:cs="Arial" w:eastAsia="Arial" w:hAnsi="Arial"/>
                <w:b w:val="false"/>
                <w:bCs w:val="false"/>
                <w:color w:val="4A5568"/>
                <w:sz w:val="20"/>
                <w:szCs w:val="20"/>
              </w:rPr>
              <w:t xml:space="preserve">No proof of when a document was created vs when it was dated</w:t>
            </w:r>
          </w:p>
          <w:p>
            <w:pPr>
              <w:pStyle w:val="ListParagraph"/>
              <w:numPr>
                <w:ilvl w:val="0"/>
                <w:numId w:val="2"/>
              </w:numPr>
              <w:spacing w:before="30" w:after="30"/>
            </w:pPr>
            <w:r>
              <w:rPr>
                <w:rFonts w:ascii="Arial" w:cs="Arial" w:eastAsia="Arial" w:hAnsi="Arial"/>
                <w:b w:val="false"/>
                <w:bCs w:val="false"/>
                <w:color w:val="4A5568"/>
                <w:sz w:val="20"/>
                <w:szCs w:val="20"/>
              </w:rPr>
              <w:t xml:space="preserve">Legal notices disputed — parties deny receiving them</w:t>
            </w:r>
          </w:p>
        </w:tc>
        <w:tc>
          <w:tcPr>
            <w:tcW w:type="dxa" w:w="4680"/>
            <w:tcBorders>
              <w:top w:val="none" w:color="FFFFFF" w:sz="0"/>
              <w:left w:val="none" w:color="FFFFFF" w:sz="0"/>
              <w:bottom w:val="none" w:color="FFFFFF" w:sz="0"/>
              <w:right w:val="none" w:color="FFFFFF" w:sz="0"/>
            </w:tcBorders>
            <w:shd w:fill="D4EDDA" w:val="clear"/>
            <w:tcMar>
              <w:top w:type="dxa" w:w="100"/>
              <w:left w:type="dxa" w:w="150"/>
              <w:bottom w:type="dxa" w:w="100"/>
              <w:right w:type="dxa" w:w="100"/>
            </w:tcMar>
          </w:tcPr>
          <w:p>
            <w:r>
              <w:rPr>
                <w:rFonts w:ascii="Arial" w:cs="Arial" w:eastAsia="Arial" w:hAnsi="Arial"/>
                <w:b/>
                <w:bCs/>
                <w:color w:val="1B7A3E"/>
                <w:sz w:val="19"/>
                <w:szCs w:val="19"/>
              </w:rPr>
              <w:t xml:space="preserve">What blockchain specifically solves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On-chain Bar Council verification — fake lawyers cannot impersonate licensed advocates</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hashing — any alteration to a stored file is mathematically detectable</w:t>
            </w:r>
          </w:p>
          <w:p>
            <w:pPr>
              <w:pStyle w:val="ListParagraph"/>
              <w:numPr>
                <w:ilvl w:val="0"/>
                <w:numId w:val="2"/>
              </w:numPr>
              <w:spacing w:before="30" w:after="30"/>
            </w:pPr>
            <w:r>
              <w:rPr>
                <w:rFonts w:ascii="Arial" w:cs="Arial" w:eastAsia="Arial" w:hAnsi="Arial"/>
                <w:b w:val="false"/>
                <w:bCs w:val="false"/>
                <w:color w:val="4A5568"/>
                <w:sz w:val="20"/>
                <w:szCs w:val="20"/>
              </w:rPr>
              <w:t xml:space="preserve">Timestamped, immutable document vault — physical destruction does not erase the record</w:t>
            </w:r>
          </w:p>
          <w:p>
            <w:pPr>
              <w:pStyle w:val="ListParagraph"/>
              <w:numPr>
                <w:ilvl w:val="0"/>
                <w:numId w:val="2"/>
              </w:numPr>
              <w:spacing w:before="30" w:after="30"/>
            </w:pPr>
            <w:r>
              <w:rPr>
                <w:rFonts w:ascii="Arial" w:cs="Arial" w:eastAsia="Arial" w:hAnsi="Arial"/>
                <w:b w:val="false"/>
                <w:bCs w:val="false"/>
                <w:color w:val="4A5568"/>
                <w:sz w:val="20"/>
                <w:szCs w:val="20"/>
              </w:rPr>
              <w:t xml:space="preserve">Blockchain hearing log — immutable proof that reminders were sent</w:t>
            </w:r>
          </w:p>
          <w:p>
            <w:pPr>
              <w:pStyle w:val="ListParagraph"/>
              <w:numPr>
                <w:ilvl w:val="0"/>
                <w:numId w:val="2"/>
              </w:numPr>
              <w:spacing w:before="30" w:after="30"/>
            </w:pPr>
            <w:r>
              <w:rPr>
                <w:rFonts w:ascii="Arial" w:cs="Arial" w:eastAsia="Arial" w:hAnsi="Arial"/>
                <w:b w:val="false"/>
                <w:bCs w:val="false"/>
                <w:color w:val="4A5568"/>
                <w:sz w:val="20"/>
                <w:szCs w:val="20"/>
              </w:rPr>
              <w:t xml:space="preserve">Case filing receipt on-chain — client can verify filing independently</w:t>
            </w:r>
          </w:p>
          <w:p>
            <w:pPr>
              <w:pStyle w:val="ListParagraph"/>
              <w:numPr>
                <w:ilvl w:val="0"/>
                <w:numId w:val="2"/>
              </w:numPr>
              <w:spacing w:before="30" w:after="30"/>
            </w:pPr>
            <w:r>
              <w:rPr>
                <w:rFonts w:ascii="Arial" w:cs="Arial" w:eastAsia="Arial" w:hAnsi="Arial"/>
                <w:b w:val="false"/>
                <w:bCs w:val="false"/>
                <w:color w:val="4A5568"/>
                <w:sz w:val="20"/>
                <w:szCs w:val="20"/>
              </w:rPr>
              <w:t xml:space="preserve">Proof of existence — document hash proves creation date without exposing content</w:t>
            </w:r>
          </w:p>
          <w:p>
            <w:pPr>
              <w:pStyle w:val="ListParagraph"/>
              <w:numPr>
                <w:ilvl w:val="0"/>
                <w:numId w:val="2"/>
              </w:numPr>
              <w:spacing w:before="30" w:after="30"/>
            </w:pPr>
            <w:r>
              <w:rPr>
                <w:rFonts w:ascii="Arial" w:cs="Arial" w:eastAsia="Arial" w:hAnsi="Arial"/>
                <w:b w:val="false"/>
                <w:bCs w:val="false"/>
                <w:color w:val="4A5568"/>
                <w:sz w:val="20"/>
                <w:szCs w:val="20"/>
              </w:rPr>
              <w:t xml:space="preserve">Smart contract acknowledgement — delivery receipt that cannot be denied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6E56" w:val="clear"/>
            <w:tcMar>
              <w:top w:type="dxa" w:w="120"/>
              <w:left w:type="dxa" w:w="80"/>
              <w:bottom w:type="dxa" w:w="120"/>
              <w:right w:type="dxa" w:w="80"/>
            </w:tcMar>
            <w:vAlign w:val="center"/>
          </w:tcPr>
          <w:p>
            <w:pPr>
              <w:jc w:val="center"/>
            </w:pPr>
            <w:r>
              <w:rPr>
                <w:rFonts w:ascii="Arial" w:cs="Arial" w:eastAsia="Arial" w:hAnsi="Arial"/>
                <w:b/>
                <w:bCs/>
                <w:color w:val="FFFFFF"/>
                <w:sz w:val="30"/>
                <w:szCs w:val="30"/>
              </w:rPr>
              <w:t xml:space="preserve">J</w:t>
            </w:r>
          </w:p>
        </w:tc>
        <w:tc>
          <w:tcPr>
            <w:tcW w:type="dxa" w:w="8460"/>
            <w:tcBorders>
              <w:top w:val="none" w:color="FFFFFF" w:sz="0"/>
              <w:left w:val="none" w:color="FFFFFF" w:sz="0"/>
              <w:bottom w:val="none" w:color="FFFFFF" w:sz="0"/>
              <w:right w:val="none" w:color="FFFFFF" w:sz="0"/>
            </w:tcBorders>
            <w:shd w:fill="D1ECF1" w:val="clear"/>
            <w:tcMar>
              <w:top w:type="dxa" w:w="100"/>
              <w:left w:type="dxa" w:w="200"/>
              <w:bottom w:type="dxa" w:w="100"/>
              <w:right w:type="dxa" w:w="120"/>
            </w:tcMar>
            <w:vAlign w:val="center"/>
          </w:tcPr>
          <w:p>
            <w:r>
              <w:rPr>
                <w:rFonts w:ascii="Arial" w:cs="Arial" w:eastAsia="Arial" w:hAnsi="Arial"/>
                <w:b/>
                <w:bCs/>
                <w:color w:val="1B3A5C"/>
                <w:sz w:val="22"/>
                <w:szCs w:val="22"/>
              </w:rPr>
              <w:t xml:space="preserve">Trust problems faced by Judges</w:t>
            </w:r>
          </w:p>
          <w:p>
            <w:r>
              <w:rPr>
                <w:rFonts w:ascii="Arial" w:cs="Arial" w:eastAsia="Arial" w:hAnsi="Arial"/>
                <w:i/>
                <w:iCs/>
                <w:color w:val="4A5568"/>
                <w:sz w:val="18"/>
                <w:szCs w:val="18"/>
              </w:rPr>
              <w:t xml:space="preserve">Evidence authenticity, document integrity in court</w:t>
            </w:r>
          </w:p>
        </w:tc>
      </w:tr>
    </w:tbl>
    <w:p>
      <w:pPr>
        <w:spacing w:before="60" w:after="0"/>
      </w:pPr>
      <w:r>
        <w:t xml:space="preserve"/>
      </w:r>
    </w:p>
    <w:p>
      <w:pPr>
        <w:spacing w:before="40" w:after="60"/>
        <w:jc w:val="both"/>
      </w:pPr>
      <w:r>
        <w:rPr>
          <w:rFonts w:ascii="Arial" w:cs="Arial" w:eastAsia="Arial" w:hAnsi="Arial"/>
          <w:color w:val="4A5568"/>
          <w:sz w:val="20"/>
          <w:szCs w:val="20"/>
        </w:rPr>
        <w:t xml:space="preserve">Pakistani judges face a documented problem: evidence tampering, document substitution, and forged court orders are not uncommon in district courts. When a document is produced in court, there is often no independent technical mechanism to verify it has not been altered since filing. Blockchain-verified documents carry a cryptographic fingerprint that makes tampering mathematically detectable — a level of assurance no traditional paper system can provide.</w:t>
      </w:r>
    </w:p>
    <w:p>
      <w:pPr>
        <w:spacing w:before="40" w:after="0"/>
      </w:pPr>
      <w:r>
        <w:t xml:space="preserve"/>
      </w:r>
    </w:p>
    <w:p>
      <w:pPr>
        <w:spacing w:before="20" w:after="30"/>
      </w:pPr>
      <w:r>
        <w:rPr>
          <w:rFonts w:ascii="Arial" w:cs="Arial" w:eastAsia="Arial" w:hAnsi="Arial"/>
          <w:i/>
          <w:iCs/>
          <w:color w:val="4A5568"/>
          <w:sz w:val="17"/>
          <w:szCs w:val="17"/>
        </w:rPr>
        <w:t xml:space="preserve">Source: Frontiers in Blockchain journal: "Blockchain in the Courtroom: evidentiary significance and procedural implications" April 2024 — courts in multiple jurisdictions now favourably disposed toward blockchain-verified evidence; Azerbaijan Ministry uses blockchain evidence for 30+ electronic services including electronic court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854F0B" w:val="clear"/>
            <w:tcMar>
              <w:top w:type="dxa" w:w="120"/>
              <w:left w:type="dxa" w:w="80"/>
              <w:bottom w:type="dxa" w:w="120"/>
              <w:right w:type="dxa" w:w="80"/>
            </w:tcMar>
            <w:vAlign w:val="center"/>
          </w:tcPr>
          <w:p>
            <w:pPr>
              <w:jc w:val="center"/>
            </w:pPr>
            <w:r>
              <w:rPr>
                <w:rFonts w:ascii="Arial" w:cs="Arial" w:eastAsia="Arial" w:hAnsi="Arial"/>
                <w:b/>
                <w:bCs/>
                <w:color w:val="FFFFFF"/>
                <w:sz w:val="30"/>
                <w:szCs w:val="30"/>
              </w:rPr>
              <w:t xml:space="preserve">C</w:t>
            </w:r>
          </w:p>
        </w:tc>
        <w:tc>
          <w:tcPr>
            <w:tcW w:type="dxa" w:w="8460"/>
            <w:tcBorders>
              <w:top w:val="none" w:color="FFFFFF" w:sz="0"/>
              <w:left w:val="none" w:color="FFFFFF" w:sz="0"/>
              <w:bottom w:val="none" w:color="FFFFFF" w:sz="0"/>
              <w:right w:val="none" w:color="FFFFFF" w:sz="0"/>
            </w:tcBorders>
            <w:shd w:fill="FFF3CD" w:val="clear"/>
            <w:tcMar>
              <w:top w:type="dxa" w:w="100"/>
              <w:left w:type="dxa" w:w="200"/>
              <w:bottom w:type="dxa" w:w="100"/>
              <w:right w:type="dxa" w:w="120"/>
            </w:tcMar>
            <w:vAlign w:val="center"/>
          </w:tcPr>
          <w:p>
            <w:r>
              <w:rPr>
                <w:rFonts w:ascii="Arial" w:cs="Arial" w:eastAsia="Arial" w:hAnsi="Arial"/>
                <w:b/>
                <w:bCs/>
                <w:color w:val="1B3A5C"/>
                <w:sz w:val="22"/>
                <w:szCs w:val="22"/>
              </w:rPr>
              <w:t xml:space="preserve">Trust problems faced by Clients / Public</w:t>
            </w:r>
          </w:p>
          <w:p>
            <w:r>
              <w:rPr>
                <w:rFonts w:ascii="Arial" w:cs="Arial" w:eastAsia="Arial" w:hAnsi="Arial"/>
                <w:i/>
                <w:iCs/>
                <w:color w:val="4A5568"/>
                <w:sz w:val="18"/>
                <w:szCs w:val="18"/>
              </w:rPr>
              <w:t xml:space="preserve">Transparency, accountability, fee disputes</w:t>
            </w:r>
          </w:p>
        </w:tc>
      </w:tr>
    </w:tbl>
    <w:p>
      <w:pPr>
        <w:spacing w:before="60" w:after="0"/>
      </w:pPr>
      <w:r>
        <w:t xml:space="preserve"/>
      </w:r>
    </w:p>
    <w:p>
      <w:pPr>
        <w:spacing w:before="40" w:after="60"/>
        <w:jc w:val="both"/>
      </w:pPr>
      <w:r>
        <w:rPr>
          <w:rFonts w:ascii="Arial" w:cs="Arial" w:eastAsia="Arial" w:hAnsi="Arial"/>
          <w:color w:val="4A5568"/>
          <w:sz w:val="20"/>
          <w:szCs w:val="20"/>
        </w:rPr>
        <w:t xml:space="preserve">Pakistani citizens who hire lawyers have almost no visibility into what is happening with their cases. They cannot verify if their case is filed, cannot see what documents have been submitted on their behalf, and have no recourse if a lawyer denies receiving a fee payment. This information asymmetry destroys trust and often leads to disputes that damage both lawyer and client.</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3 — 7 Blockchain Use Cases for WukalaGPT</w:t>
      </w:r>
    </w:p>
    <w:p>
      <w:pPr>
        <w:spacing w:before="40" w:after="60"/>
        <w:jc w:val="both"/>
      </w:pPr>
      <w:r>
        <w:rPr>
          <w:rFonts w:ascii="Arial" w:cs="Arial" w:eastAsia="Arial" w:hAnsi="Arial"/>
          <w:color w:val="4A5568"/>
          <w:sz w:val="20"/>
          <w:szCs w:val="20"/>
        </w:rPr>
        <w:t xml:space="preserve">Each use case below has been selected based on three criteria: (1) it solves a real and documented trust problem in Pakistan's legal system, (2) it is technically feasible to implement on WukalaGPT's existing MERN stack infrastructure, and (3) it creates a visible, communicable trust signal that lawyers, judges, and clients can understand and verify.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0"/>
              <w:bottom w:val="single" w:color="CBD5E0" w:sz="1"/>
              <w:right w:val="single" w:color="CBD5E0" w:sz="1"/>
            </w:tcBorders>
            <w:shd w:fill="D6E8FA" w:val="clear"/>
            <w:tcMar>
              <w:top w:type="dxa" w:w="110"/>
              <w:left w:type="dxa" w:w="180"/>
              <w:bottom w:type="dxa" w:w="110"/>
              <w:right w:type="dxa" w:w="160"/>
            </w:tcMar>
          </w:tcPr>
          <w:p>
            <w:r>
              <w:rPr>
                <w:rFonts w:ascii="Arial" w:cs="Arial" w:eastAsia="Arial" w:hAnsi="Arial"/>
                <w:b/>
                <w:bCs/>
                <w:color w:val="185FA5"/>
                <w:sz w:val="20"/>
                <w:szCs w:val="20"/>
              </w:rPr>
              <w:t xml:space="preserve">UC-01  </w:t>
            </w:r>
            <w:r>
              <w:rPr>
                <w:rFonts w:ascii="Arial" w:cs="Arial" w:eastAsia="Arial" w:hAnsi="Arial"/>
                <w:b/>
                <w:bCs/>
                <w:color w:val="1B3A5C"/>
                <w:sz w:val="22"/>
                <w:szCs w:val="22"/>
              </w:rPr>
              <w:t xml:space="preserve">Lawyer Credential Verification System</w:t>
            </w:r>
          </w:p>
          <w:p>
            <w:pPr>
              <w:spacing w:before="30"/>
            </w:pPr>
            <w:r>
              <w:rPr>
                <w:rFonts w:ascii="Arial" w:cs="Arial" w:eastAsia="Arial" w:hAnsi="Arial"/>
                <w:i/>
                <w:iCs/>
                <w:color w:val="4A5568"/>
                <w:sz w:val="18"/>
                <w:szCs w:val="18"/>
              </w:rPr>
              <w:t xml:space="preserve">On-chain verification of Bar Council enrollment — eliminating fake lawyer problem permanently</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Lawyers (legitimacy), Clients (protection from fraud), Courts (verified participants)</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When a lawyer registers on WukalaGPT, their Bar Council enrollment number is submitted to the admin team, verified against Pakistan Bar Council / Provincial Bar Council records, and once confirmed, a credential hash is written to a private blockchain (Hyperledger Fabric or Polygon). Any lawyer profile on WukalaGPT displays a "Verified Advocate" badge backed by an immutable on-chain record. Clients can scan a QR code to verify the credential independently without trusting WukalaGPT itself.</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Lawyers can prove their credentials to clients without paper documents. Clients know the lawyer is real. Courts can potentially adopt WukalaGPT's verification API. ZERO other Pakistani LegalTech tool offers this.</w:t>
            </w:r>
          </w:p>
          <w:p>
            <w:pPr>
              <w:spacing w:before="30" w:after="0"/>
            </w:pPr>
            <w:r>
              <w:t xml:space="preserve"/>
            </w:r>
          </w:p>
          <w:p>
            <w:r>
              <w:rPr>
                <w:rFonts w:ascii="Arial" w:cs="Arial" w:eastAsia="Arial" w:hAnsi="Arial"/>
                <w:b/>
                <w:bCs/>
                <w:color w:val="185FA5"/>
                <w:sz w:val="18"/>
                <w:szCs w:val="18"/>
              </w:rPr>
              <w:t xml:space="preserve">Build phase: </w:t>
            </w:r>
            <w:r>
              <w:rPr>
                <w:rFonts w:ascii="Arial" w:cs="Arial" w:eastAsia="Arial" w:hAnsi="Arial"/>
                <w:color w:val="4A5568"/>
                <w:sz w:val="18"/>
                <w:szCs w:val="18"/>
              </w:rPr>
              <w:t xml:space="preserve">Phase 2 — after core platform is live and 200+ lawyers are on-boarded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0"/>
              <w:bottom w:val="single" w:color="CBD5E0" w:sz="1"/>
              <w:right w:val="single" w:color="CBD5E0" w:sz="1"/>
            </w:tcBorders>
            <w:shd w:fill="D1ECF1" w:val="clear"/>
            <w:tcMar>
              <w:top w:type="dxa" w:w="110"/>
              <w:left w:type="dxa" w:w="180"/>
              <w:bottom w:type="dxa" w:w="110"/>
              <w:right w:type="dxa" w:w="160"/>
            </w:tcMar>
          </w:tcPr>
          <w:p>
            <w:r>
              <w:rPr>
                <w:rFonts w:ascii="Arial" w:cs="Arial" w:eastAsia="Arial" w:hAnsi="Arial"/>
                <w:b/>
                <w:bCs/>
                <w:color w:val="0F6E56"/>
                <w:sz w:val="20"/>
                <w:szCs w:val="20"/>
              </w:rPr>
              <w:t xml:space="preserve">UC-02  </w:t>
            </w:r>
            <w:r>
              <w:rPr>
                <w:rFonts w:ascii="Arial" w:cs="Arial" w:eastAsia="Arial" w:hAnsi="Arial"/>
                <w:b/>
                <w:bCs/>
                <w:color w:val="1B3A5C"/>
                <w:sz w:val="22"/>
                <w:szCs w:val="22"/>
              </w:rPr>
              <w:t xml:space="preserve">Document Vault Hash Notarization</w:t>
            </w:r>
          </w:p>
          <w:p>
            <w:pPr>
              <w:spacing w:before="30"/>
            </w:pPr>
            <w:r>
              <w:rPr>
                <w:rFonts w:ascii="Arial" w:cs="Arial" w:eastAsia="Arial" w:hAnsi="Arial"/>
                <w:i/>
                <w:iCs/>
                <w:color w:val="4A5568"/>
                <w:sz w:val="18"/>
                <w:szCs w:val="18"/>
              </w:rPr>
              <w:t xml:space="preserve">Every document uploaded to WukalaGPT gets a blockchain timestamp — tamper-proof proof of existence</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Lawyers (evidence integrity), Clients (document security), Judges (verified originals)</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When a lawyer uploads any document to the WukalaGPT Document Vault — a court order, a plaint, a property deed, an FIR copy — the system automatically generates a SHA-256 hash (a unique cryptographic fingerprint) of that file and writes the hash + timestamp to the blockchain. The original document is NOT stored on the blockchain (protecting privacy). Only the hash is. If anyone later alters the document even by one character, the hash will not match, proving tampering has occurred. The lawyer receives a "Notarization Certificate" PDF they can use in court.</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A lawyer can prove to a judge: "This court order was scanned on [date] and has not been altered since." Evidence tampering becomes mathematically detectable. Physical document loss is no longer catastrophic — the hash proves the document existed.</w:t>
            </w:r>
          </w:p>
          <w:p>
            <w:pPr>
              <w:spacing w:before="30" w:after="0"/>
            </w:pPr>
            <w:r>
              <w:t xml:space="preserve"/>
            </w:r>
          </w:p>
          <w:p>
            <w:r>
              <w:rPr>
                <w:rFonts w:ascii="Arial" w:cs="Arial" w:eastAsia="Arial" w:hAnsi="Arial"/>
                <w:b/>
                <w:bCs/>
                <w:color w:val="0F6E56"/>
                <w:sz w:val="18"/>
                <w:szCs w:val="18"/>
              </w:rPr>
              <w:t xml:space="preserve">Build phase: </w:t>
            </w:r>
            <w:r>
              <w:rPr>
                <w:rFonts w:ascii="Arial" w:cs="Arial" w:eastAsia="Arial" w:hAnsi="Arial"/>
                <w:color w:val="4A5568"/>
                <w:sz w:val="18"/>
                <w:szCs w:val="18"/>
              </w:rPr>
              <w:t xml:space="preserve">Phase 3 — integrated into Document Vault module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
              <w:left w:val="single" w:color="3C3489" w:sz="10"/>
              <w:bottom w:val="single" w:color="CBD5E0" w:sz="1"/>
              <w:right w:val="single" w:color="CBD5E0" w:sz="1"/>
            </w:tcBorders>
            <w:shd w:fill="EDE9F6" w:val="clear"/>
            <w:tcMar>
              <w:top w:type="dxa" w:w="110"/>
              <w:left w:type="dxa" w:w="180"/>
              <w:bottom w:type="dxa" w:w="110"/>
              <w:right w:type="dxa" w:w="160"/>
            </w:tcMar>
          </w:tcPr>
          <w:p>
            <w:r>
              <w:rPr>
                <w:rFonts w:ascii="Arial" w:cs="Arial" w:eastAsia="Arial" w:hAnsi="Arial"/>
                <w:b/>
                <w:bCs/>
                <w:color w:val="3C3489"/>
                <w:sz w:val="20"/>
                <w:szCs w:val="20"/>
              </w:rPr>
              <w:t xml:space="preserve">UC-03  </w:t>
            </w:r>
            <w:r>
              <w:rPr>
                <w:rFonts w:ascii="Arial" w:cs="Arial" w:eastAsia="Arial" w:hAnsi="Arial"/>
                <w:b/>
                <w:bCs/>
                <w:color w:val="1B3A5C"/>
                <w:sz w:val="22"/>
                <w:szCs w:val="22"/>
              </w:rPr>
              <w:t xml:space="preserve">Immutable Case Activity Audit Trail</w:t>
            </w:r>
          </w:p>
          <w:p>
            <w:pPr>
              <w:spacing w:before="30"/>
            </w:pPr>
            <w:r>
              <w:rPr>
                <w:rFonts w:ascii="Arial" w:cs="Arial" w:eastAsia="Arial" w:hAnsi="Arial"/>
                <w:i/>
                <w:iCs/>
                <w:color w:val="4A5568"/>
                <w:sz w:val="18"/>
                <w:szCs w:val="18"/>
              </w:rPr>
              <w:t xml:space="preserve">Every action on a case file is permanently logged — who did what, when, cannot be disputed</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Lawyers (protection from client disputes), Clients (transparency), Judges (verified case history)</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Every action on a WukalaGPT case file — document uploaded, note added, hearing logged, status changed — is written to an append-only audit log that is anchored to the blockchain at regular intervals (e.g., every 24 hours). The log cannot be deleted or edited. If a client disputes what their lawyer did or did not do, the audit trail is the definitive, court-admissible record. The lawyer can export a verified Case History Certificate that shows every action with timestamps.</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Lawyers are protected from false client accusations. Clients can see exactly what happened on their case without calling the lawyer daily. A senior partner can review exactly what a junior did on a case. Courts have a verifiable history if a case procedure is challenged.</w:t>
            </w:r>
          </w:p>
          <w:p>
            <w:pPr>
              <w:spacing w:before="30" w:after="0"/>
            </w:pPr>
            <w:r>
              <w:t xml:space="preserve"/>
            </w:r>
          </w:p>
          <w:p>
            <w:r>
              <w:rPr>
                <w:rFonts w:ascii="Arial" w:cs="Arial" w:eastAsia="Arial" w:hAnsi="Arial"/>
                <w:b/>
                <w:bCs/>
                <w:color w:val="3C3489"/>
                <w:sz w:val="18"/>
                <w:szCs w:val="18"/>
              </w:rPr>
              <w:t xml:space="preserve">Build phase: </w:t>
            </w:r>
            <w:r>
              <w:rPr>
                <w:rFonts w:ascii="Arial" w:cs="Arial" w:eastAsia="Arial" w:hAnsi="Arial"/>
                <w:color w:val="4A5568"/>
                <w:sz w:val="18"/>
                <w:szCs w:val="18"/>
              </w:rPr>
              <w:t xml:space="preserve">Phase 3 — built into the Case Management module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0"/>
              <w:bottom w:val="single" w:color="CBD5E0" w:sz="1"/>
              <w:right w:val="single" w:color="CBD5E0" w:sz="1"/>
            </w:tcBorders>
            <w:shd w:fill="FFF3CD" w:val="clear"/>
            <w:tcMar>
              <w:top w:type="dxa" w:w="110"/>
              <w:left w:type="dxa" w:w="180"/>
              <w:bottom w:type="dxa" w:w="110"/>
              <w:right w:type="dxa" w:w="160"/>
            </w:tcMar>
          </w:tcPr>
          <w:p>
            <w:r>
              <w:rPr>
                <w:rFonts w:ascii="Arial" w:cs="Arial" w:eastAsia="Arial" w:hAnsi="Arial"/>
                <w:b/>
                <w:bCs/>
                <w:color w:val="854F0B"/>
                <w:sz w:val="20"/>
                <w:szCs w:val="20"/>
              </w:rPr>
              <w:t xml:space="preserve">UC-04  </w:t>
            </w:r>
            <w:r>
              <w:rPr>
                <w:rFonts w:ascii="Arial" w:cs="Arial" w:eastAsia="Arial" w:hAnsi="Arial"/>
                <w:b/>
                <w:bCs/>
                <w:color w:val="1B3A5C"/>
                <w:sz w:val="22"/>
                <w:szCs w:val="22"/>
              </w:rPr>
              <w:t xml:space="preserve">Smart Contract Fee Escrow</w:t>
            </w:r>
          </w:p>
          <w:p>
            <w:pPr>
              <w:spacing w:before="30"/>
            </w:pPr>
            <w:r>
              <w:rPr>
                <w:rFonts w:ascii="Arial" w:cs="Arial" w:eastAsia="Arial" w:hAnsi="Arial"/>
                <w:i/>
                <w:iCs/>
                <w:color w:val="4A5568"/>
                <w:sz w:val="18"/>
                <w:szCs w:val="18"/>
              </w:rPr>
              <w:t xml:space="preserve">Client pays into a smart contract — lawyer receives payment only on verified milestone completion</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Clients (protection from fee disputes), Lawyers (guarantee of payment), Both (eliminates disputes)</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For agreed fixed-fee cases, the client deposits fees into a smart contract escrow on WukalaGPT. The contract is programmed with milestones (e.g., "hearing attended", "document filed", "judgment received"). When the lawyer marks a milestone as complete — and the client confirms — the smart contract automatically releases that portion of the fee to the lawyer. If either party disputes, the immutable case record is the arbiter. No bank needed. No informal "I forgot to pay" argument possible.</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Client cannot claim fees were not owed — they are in escrow. Lawyer cannot claim a milestone was completed that was not — the case log is the evidence. Eliminates the PKR 15–40K fee dispute that is currently one of the biggest lawyer-client friction points in Pakistan.</w:t>
            </w:r>
          </w:p>
          <w:p>
            <w:pPr>
              <w:spacing w:before="30" w:after="0"/>
            </w:pPr>
            <w:r>
              <w:t xml:space="preserve"/>
            </w:r>
          </w:p>
          <w:p>
            <w:r>
              <w:rPr>
                <w:rFonts w:ascii="Arial" w:cs="Arial" w:eastAsia="Arial" w:hAnsi="Arial"/>
                <w:b/>
                <w:bCs/>
                <w:color w:val="854F0B"/>
                <w:sz w:val="18"/>
                <w:szCs w:val="18"/>
              </w:rPr>
              <w:t xml:space="preserve">Build phase: </w:t>
            </w:r>
            <w:r>
              <w:rPr>
                <w:rFonts w:ascii="Arial" w:cs="Arial" w:eastAsia="Arial" w:hAnsi="Arial"/>
                <w:color w:val="4A5568"/>
                <w:sz w:val="18"/>
                <w:szCs w:val="18"/>
              </w:rPr>
              <w:t xml:space="preserve">Phase 4 — requires PVARA compliance review before launch (smart contracts involve value transfer)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1"/>
              <w:left w:val="single" w:color="1B7A3E" w:sz="10"/>
              <w:bottom w:val="single" w:color="CBD5E0" w:sz="1"/>
              <w:right w:val="single" w:color="CBD5E0" w:sz="1"/>
            </w:tcBorders>
            <w:shd w:fill="D4EDDA" w:val="clear"/>
            <w:tcMar>
              <w:top w:type="dxa" w:w="110"/>
              <w:left w:type="dxa" w:w="180"/>
              <w:bottom w:type="dxa" w:w="110"/>
              <w:right w:type="dxa" w:w="160"/>
            </w:tcMar>
          </w:tcPr>
          <w:p>
            <w:r>
              <w:rPr>
                <w:rFonts w:ascii="Arial" w:cs="Arial" w:eastAsia="Arial" w:hAnsi="Arial"/>
                <w:b/>
                <w:bCs/>
                <w:color w:val="1B7A3E"/>
                <w:sz w:val="20"/>
                <w:szCs w:val="20"/>
              </w:rPr>
              <w:t xml:space="preserve">UC-05  </w:t>
            </w:r>
            <w:r>
              <w:rPr>
                <w:rFonts w:ascii="Arial" w:cs="Arial" w:eastAsia="Arial" w:hAnsi="Arial"/>
                <w:b/>
                <w:bCs/>
                <w:color w:val="1B3A5C"/>
                <w:sz w:val="22"/>
                <w:szCs w:val="22"/>
              </w:rPr>
              <w:t xml:space="preserve">Legal Notice Delivery Receipts</w:t>
            </w:r>
          </w:p>
          <w:p>
            <w:pPr>
              <w:spacing w:before="30"/>
            </w:pPr>
            <w:r>
              <w:rPr>
                <w:rFonts w:ascii="Arial" w:cs="Arial" w:eastAsia="Arial" w:hAnsi="Arial"/>
                <w:i/>
                <w:iCs/>
                <w:color w:val="4A5568"/>
                <w:sz w:val="18"/>
                <w:szCs w:val="18"/>
              </w:rPr>
              <w:t xml:space="preserve">Blockchain-verified proof that a legal notice was sent, delivered, and acknowledged</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Lawyers (legal protection), Clients (dispute resolution), Courts (admissible proof of service)</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When a lawyer sends a legal notice through WukalaGPT to an opposing party, the system records: (1) the hash of the notice content, (2) the timestamp of sending, (3) the delivery confirmation (WhatsApp blue tick or email open receipt). All three are anchored to the blockchain. The lawyer receives a blockchain-verified "Notice Delivery Certificate" that can be produced in court as proof of service. The opposing party cannot later claim they never received the notice.</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Eliminates one of the most common procedural disputes in Pakistani courts: "I never received the notice." Lawyers have a court-admissible, tamper-proof proof of service that carries far more weight than a WhatsApp screenshot.</w:t>
            </w:r>
          </w:p>
          <w:p>
            <w:pPr>
              <w:spacing w:before="30" w:after="0"/>
            </w:pPr>
            <w:r>
              <w:t xml:space="preserve"/>
            </w:r>
          </w:p>
          <w:p>
            <w:r>
              <w:rPr>
                <w:rFonts w:ascii="Arial" w:cs="Arial" w:eastAsia="Arial" w:hAnsi="Arial"/>
                <w:b/>
                <w:bCs/>
                <w:color w:val="1B7A3E"/>
                <w:sz w:val="18"/>
                <w:szCs w:val="18"/>
              </w:rPr>
              <w:t xml:space="preserve">Build phase: </w:t>
            </w:r>
            <w:r>
              <w:rPr>
                <w:rFonts w:ascii="Arial" w:cs="Arial" w:eastAsia="Arial" w:hAnsi="Arial"/>
                <w:color w:val="4A5568"/>
                <w:sz w:val="18"/>
                <w:szCs w:val="18"/>
              </w:rPr>
              <w:t xml:space="preserve">Phase 3 — integrated into Client Management and Notifications modules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0"/>
              <w:bottom w:val="single" w:color="CBD5E0" w:sz="1"/>
              <w:right w:val="single" w:color="CBD5E0" w:sz="1"/>
            </w:tcBorders>
            <w:shd w:fill="FDE8E8" w:val="clear"/>
            <w:tcMar>
              <w:top w:type="dxa" w:w="110"/>
              <w:left w:type="dxa" w:w="180"/>
              <w:bottom w:type="dxa" w:w="110"/>
              <w:right w:type="dxa" w:w="160"/>
            </w:tcMar>
          </w:tcPr>
          <w:p>
            <w:r>
              <w:rPr>
                <w:rFonts w:ascii="Arial" w:cs="Arial" w:eastAsia="Arial" w:hAnsi="Arial"/>
                <w:b/>
                <w:bCs/>
                <w:color w:val="A32D2D"/>
                <w:sz w:val="20"/>
                <w:szCs w:val="20"/>
              </w:rPr>
              <w:t xml:space="preserve">UC-06  </w:t>
            </w:r>
            <w:r>
              <w:rPr>
                <w:rFonts w:ascii="Arial" w:cs="Arial" w:eastAsia="Arial" w:hAnsi="Arial"/>
                <w:b/>
                <w:bCs/>
                <w:color w:val="1B3A5C"/>
                <w:sz w:val="22"/>
                <w:szCs w:val="22"/>
              </w:rPr>
              <w:t xml:space="preserve">Evidence Chain of Custody Tracker</w:t>
            </w:r>
          </w:p>
          <w:p>
            <w:pPr>
              <w:spacing w:before="30"/>
            </w:pPr>
            <w:r>
              <w:rPr>
                <w:rFonts w:ascii="Arial" w:cs="Arial" w:eastAsia="Arial" w:hAnsi="Arial"/>
                <w:i/>
                <w:iCs/>
                <w:color w:val="4A5568"/>
                <w:sz w:val="18"/>
                <w:szCs w:val="18"/>
              </w:rPr>
              <w:t xml:space="preserve">Immutable log of who handled which piece of evidence, when, and in what condition</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Lawyers (evidence protection), Judges (reliable evidence), Clients (confidence in case handling)</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For cases involving physical evidence (photos of property, medical reports, FIR documents), the lawyer logs the evidence on WukalaGPT with metadata: received from whom, when, what condition, who has custody now. Every transfer of custody is logged and anchored to the blockchain. The chain of custody report generated by WukalaGPT becomes a court-admissible document. If a defense lawyer challenges whether evidence was tampered with, the blockchain log is the answer.</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Evidence tampering challenges — one of the most common defense tactics in Pakistani criminal courts — become much harder to sustain against a blockchain-verified chain of custody. Prosecutors and civil litigants using WukalaGPT have a structural advantage in court.</w:t>
            </w:r>
          </w:p>
          <w:p>
            <w:pPr>
              <w:spacing w:before="30" w:after="0"/>
            </w:pPr>
            <w:r>
              <w:t xml:space="preserve"/>
            </w:r>
          </w:p>
          <w:p>
            <w:r>
              <w:rPr>
                <w:rFonts w:ascii="Arial" w:cs="Arial" w:eastAsia="Arial" w:hAnsi="Arial"/>
                <w:b/>
                <w:bCs/>
                <w:color w:val="A32D2D"/>
                <w:sz w:val="18"/>
                <w:szCs w:val="18"/>
              </w:rPr>
              <w:t xml:space="preserve">Build phase: </w:t>
            </w:r>
            <w:r>
              <w:rPr>
                <w:rFonts w:ascii="Arial" w:cs="Arial" w:eastAsia="Arial" w:hAnsi="Arial"/>
                <w:color w:val="4A5568"/>
                <w:sz w:val="18"/>
                <w:szCs w:val="18"/>
              </w:rPr>
              <w:t xml:space="preserve">Phase 4 — criminal law feature, requires research into Pakistani Evidence Act admissibility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0"/>
              <w:bottom w:val="single" w:color="CBD5E0" w:sz="1"/>
              <w:right w:val="single" w:color="CBD5E0" w:sz="1"/>
            </w:tcBorders>
            <w:shd w:fill="FDF6E8" w:val="clear"/>
            <w:tcMar>
              <w:top w:type="dxa" w:w="110"/>
              <w:left w:type="dxa" w:w="180"/>
              <w:bottom w:type="dxa" w:w="110"/>
              <w:right w:type="dxa" w:w="160"/>
            </w:tcMar>
          </w:tcPr>
          <w:p>
            <w:r>
              <w:rPr>
                <w:rFonts w:ascii="Arial" w:cs="Arial" w:eastAsia="Arial" w:hAnsi="Arial"/>
                <w:b/>
                <w:bCs/>
                <w:color w:val="854F0B"/>
                <w:sz w:val="20"/>
                <w:szCs w:val="20"/>
              </w:rPr>
              <w:t xml:space="preserve">UC-07  </w:t>
            </w:r>
            <w:r>
              <w:rPr>
                <w:rFonts w:ascii="Arial" w:cs="Arial" w:eastAsia="Arial" w:hAnsi="Arial"/>
                <w:b/>
                <w:bCs/>
                <w:color w:val="1B3A5C"/>
                <w:sz w:val="22"/>
                <w:szCs w:val="22"/>
              </w:rPr>
              <w:t xml:space="preserve">Bar Council &amp; Court Integration API</w:t>
            </w:r>
          </w:p>
          <w:p>
            <w:pPr>
              <w:spacing w:before="30"/>
            </w:pPr>
            <w:r>
              <w:rPr>
                <w:rFonts w:ascii="Arial" w:cs="Arial" w:eastAsia="Arial" w:hAnsi="Arial"/>
                <w:i/>
                <w:iCs/>
                <w:color w:val="4A5568"/>
                <w:sz w:val="18"/>
                <w:szCs w:val="18"/>
              </w:rPr>
              <w:t xml:space="preserve">WukalaGPT becomes the trusted bridge between the Bar Council digital records and practicing lawyers</w:t>
            </w:r>
          </w:p>
          <w:p>
            <w:pPr>
              <w:spacing w:before="50" w:after="0"/>
            </w:pPr>
            <w:r>
              <w:t xml:space="preserve"/>
            </w:r>
          </w:p>
          <w:p>
            <w:r>
              <w:rPr>
                <w:rFonts w:ascii="Arial" w:cs="Arial" w:eastAsia="Arial" w:hAnsi="Arial"/>
                <w:b/>
                <w:bCs/>
                <w:color w:val="1B3A5C"/>
                <w:sz w:val="18"/>
                <w:szCs w:val="18"/>
              </w:rPr>
              <w:t xml:space="preserve">Who benefits: </w:t>
            </w:r>
            <w:r>
              <w:rPr>
                <w:rFonts w:ascii="Arial" w:cs="Arial" w:eastAsia="Arial" w:hAnsi="Arial"/>
                <w:color w:val="4A5568"/>
                <w:sz w:val="18"/>
                <w:szCs w:val="18"/>
              </w:rPr>
              <w:t xml:space="preserve">All three groups — and WukalaGPT's institutional credibility</w:t>
            </w:r>
          </w:p>
          <w:p>
            <w:pPr>
              <w:spacing w:before="30" w:after="0"/>
            </w:pPr>
            <w:r>
              <w:t xml:space="preserve"/>
            </w:r>
          </w:p>
          <w:p>
            <w:r>
              <w:rPr>
                <w:rFonts w:ascii="Arial" w:cs="Arial" w:eastAsia="Arial" w:hAnsi="Arial"/>
                <w:b/>
                <w:bCs/>
                <w:color w:val="1B3A5C"/>
                <w:sz w:val="18"/>
                <w:szCs w:val="18"/>
              </w:rPr>
              <w:t xml:space="preserve">How it works: </w:t>
            </w:r>
            <w:r>
              <w:rPr>
                <w:rFonts w:ascii="Arial" w:cs="Arial" w:eastAsia="Arial" w:hAnsi="Arial"/>
                <w:color w:val="1A1A2E"/>
                <w:sz w:val="18"/>
                <w:szCs w:val="18"/>
              </w:rPr>
              <w:t xml:space="preserve">WukalaGPT approaches Pakistan Bar Council and Punjab Bar Council to propose a data integration: WukalaGPT syncs annual enrollment renewal records and reflects verified status in real time on lawyer profiles. When a lawyer's Bar Council membership lapses, their profile is automatically flagged. This creates a living, verifiable credential system that the Bar Council itself endorses. Similarly, approach Lahore High Court's Digital Cell (which already publishes cause lists online) to explore a cause list sync API, so hearing dates in WukalaGPT come directly from court records.</w:t>
            </w:r>
          </w:p>
          <w:p>
            <w:pPr>
              <w:spacing w:before="30" w:after="0"/>
            </w:pPr>
            <w:r>
              <w:t xml:space="preserve"/>
            </w:r>
          </w:p>
          <w:p>
            <w:r>
              <w:rPr>
                <w:rFonts w:ascii="Arial" w:cs="Arial" w:eastAsia="Arial" w:hAnsi="Arial"/>
                <w:b/>
                <w:bCs/>
                <w:color w:val="1B7A3E"/>
                <w:sz w:val="18"/>
                <w:szCs w:val="18"/>
              </w:rPr>
              <w:t xml:space="preserve">Trust gain: </w:t>
            </w:r>
            <w:r>
              <w:rPr>
                <w:rFonts w:ascii="Arial" w:cs="Arial" w:eastAsia="Arial" w:hAnsi="Arial"/>
                <w:color w:val="1A1A2E"/>
                <w:sz w:val="18"/>
                <w:szCs w:val="18"/>
              </w:rPr>
              <w:t xml:space="preserve">WukalaGPT becomes the first Pakistani LegalTech platform with official Bar Council endorsement. This is a marketing and trust signal that no competitor can easily replicate. "Verified by Pakistan Bar Council" on every lawyer profile is worth more than any advertising spend.</w:t>
            </w:r>
          </w:p>
          <w:p>
            <w:pPr>
              <w:spacing w:before="30" w:after="0"/>
            </w:pPr>
            <w:r>
              <w:t xml:space="preserve"/>
            </w:r>
          </w:p>
          <w:p>
            <w:r>
              <w:rPr>
                <w:rFonts w:ascii="Arial" w:cs="Arial" w:eastAsia="Arial" w:hAnsi="Arial"/>
                <w:b/>
                <w:bCs/>
                <w:color w:val="854F0B"/>
                <w:sz w:val="18"/>
                <w:szCs w:val="18"/>
              </w:rPr>
              <w:t xml:space="preserve">Build phase: </w:t>
            </w:r>
            <w:r>
              <w:rPr>
                <w:rFonts w:ascii="Arial" w:cs="Arial" w:eastAsia="Arial" w:hAnsi="Arial"/>
                <w:color w:val="4A5568"/>
                <w:sz w:val="18"/>
                <w:szCs w:val="18"/>
              </w:rPr>
              <w:t xml:space="preserve">Phase 4–5 — requires institutional relationship building; begin outreach after 500+ users</w:t>
            </w:r>
          </w:p>
        </w:tc>
      </w:tr>
    </w:tbl>
    <w:p>
      <w:pPr>
        <w:spacing w:before="6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r>
              <w:rPr>
                <w:rFonts w:ascii="Arial" w:cs="Arial" w:eastAsia="Arial" w:hAnsi="Arial"/>
                <w:b/>
                <w:bCs/>
                <w:color w:val="1B3A5C"/>
                <w:sz w:val="19"/>
                <w:szCs w:val="19"/>
              </w:rPr>
              <w:t xml:space="preserve">Implementation note on blockchain platform choice</w:t>
            </w:r>
          </w:p>
          <w:p>
            <w:pPr>
              <w:spacing w:before="40"/>
            </w:pPr>
            <w:r>
              <w:rPr>
                <w:rFonts w:ascii="Arial" w:cs="Arial" w:eastAsia="Arial" w:hAnsi="Arial"/>
                <w:color w:val="1A1A2E"/>
                <w:sz w:val="19"/>
                <w:szCs w:val="19"/>
              </w:rPr>
              <w:t xml:space="preserve">WukalaGPT does NOT need a public blockchain (Ethereum mainnet is expensive and slow for legal documents). The correct choice is a private or permissioned blockchain. Recommended: Hyperledger Fabric (enterprise-grade, used by IBM, Walmart, Maersk) for internal records, OR Polygon (public but low-cost) for public-facing credential verification. Both are production-ready, low-cost, and have strong developer communities. The document hashing approach stores only hashes on-chain — no personal data ever touches the blockchain.</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4 — Blockchain Trust Matrix: Who Gets What</w:t>
      </w:r>
    </w:p>
    <w:p>
      <w:pPr>
        <w:spacing w:before="40" w:after="60"/>
        <w:jc w:val="both"/>
      </w:pPr>
      <w:r>
        <w:rPr>
          <w:rFonts w:ascii="Arial" w:cs="Arial" w:eastAsia="Arial" w:hAnsi="Arial"/>
          <w:color w:val="4A5568"/>
          <w:sz w:val="20"/>
          <w:szCs w:val="20"/>
        </w:rPr>
        <w:t xml:space="preserve">This matrix shows which blockchain feature delivers trust to which stakeholder group, and how that trust translates to a business outcome for WukalaGPT.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80"/>
        <w:gridCol w:w="1880"/>
        <w:gridCol w:w="16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Use Case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Lawyer benefit</w:t>
            </w:r>
          </w:p>
        </w:tc>
        <w:tc>
          <w:tcPr>
            <w:tcW w:type="dxa" w:w="188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Judge/Court benefit</w:t>
            </w:r>
          </w:p>
        </w:tc>
        <w:tc>
          <w:tcPr>
            <w:tcW w:type="dxa" w:w="188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Client benefit</w:t>
            </w:r>
          </w:p>
        </w:tc>
        <w:tc>
          <w:tcPr>
            <w:tcW w:type="dxa" w:w="16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WukalaGPT business outcome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UC-01: Credential Verification</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Verified badge builds professional reputation</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Courts accept WukalaGPT-verified advocates</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Cannot be deceived by fake lawyers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Institutional credibility; Bar Council partnership opportunity</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UC-02: Document Hash Notarization</w:t>
            </w:r>
          </w:p>
        </w:tc>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Legal protection if document disputed</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Tamper-proof evidence authentication</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Documents stored with proof of integrity</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"Notarize on WukalaGPT" becomes a sticky workflow — high retention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UC-03: Immutable Audit Trail</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Protection from false client accusations</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Verifiable case procedure history</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Full transparency on case activity</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Reduces churn; "I can see everything" = trust = loyalty</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UC-04: Smart Contract Fee Escrow</w:t>
            </w:r>
          </w:p>
        </w:tc>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Payment guaranteed for milestones completed</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Reduces fee dispute cases in courts</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Funds protected; released only on delivery</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Differentiator for Firm plan; potential transaction fee revenue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UC-05: Notice Delivery Receipts</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Court-admissible proof of service</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Eliminates procedural challenges to service</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Confidence notices actually sent and received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High-value feature for civil litigation lawyers; upgrade trigger</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UC-06: Evidence Chain of Custody</w:t>
            </w:r>
          </w:p>
        </w:tc>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Evidence protection in criminal cases</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Reliable evidence records for judgments</w:t>
            </w:r>
          </w:p>
        </w:tc>
        <w:tc>
          <w:tcPr>
            <w:tcW w:type="dxa" w:w="188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Confidence their case evidence is secure</w:t>
            </w:r>
          </w:p>
        </w:tc>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Criminal law specialisation — differentiates from research-only tools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UC-07: Bar Council API Integration</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Official verification; annual renewal sync</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Cause list from court directly</w:t>
            </w:r>
          </w:p>
        </w:tc>
        <w:tc>
          <w:tcPr>
            <w:tcW w:type="dxa" w:w="18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Real-time case status from court source</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Institutional endorsement — biggest trust signal possible in Pakistan</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5 — Global Validation: Blockchain in Legal Systems Worldwide</w:t>
      </w:r>
    </w:p>
    <w:p>
      <w:pPr>
        <w:spacing w:before="40" w:after="60"/>
        <w:jc w:val="both"/>
      </w:pPr>
      <w:r>
        <w:rPr>
          <w:rFonts w:ascii="Arial" w:cs="Arial" w:eastAsia="Arial" w:hAnsi="Arial"/>
          <w:color w:val="4A5568"/>
          <w:sz w:val="20"/>
          <w:szCs w:val="20"/>
        </w:rPr>
        <w:t xml:space="preserve">WukalaGPT is not pioneering blockchain in law in a vacuum. Multiple jurisdictions and global research organisations have validated that blockchain-based legal records are not only trustworthy but court-admissible.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360"/>
        <w:gridCol w:w="29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Country / Jurisdiction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Blockchain application</w:t>
            </w:r>
          </w:p>
        </w:tc>
        <w:tc>
          <w:tcPr>
            <w:tcW w:type="dxa" w:w="13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Status</w:t>
            </w:r>
          </w:p>
        </w:tc>
        <w:tc>
          <w:tcPr>
            <w:tcW w:type="dxa" w:w="29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Relevance to Pakistan</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China</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Hangzhou Internet Court: blockchain-verified digital evidence admissible in court since 2018</w:t>
            </w:r>
          </w:p>
        </w:tc>
        <w:tc>
          <w:tcPr>
            <w:tcW w:type="dxa" w:w="1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Operational</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 judiciary has shown openness to technology (GPT-4 used in Punjab court judgment 2024)</w:t>
            </w:r>
          </w:p>
        </w:tc>
      </w:tr>
      <w:tr>
        <w:tc>
          <w:tcPr>
            <w:tcW w:type="dxa" w:w="2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Azerbaijan</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Ministry uses blockchain for 30+ electronic services including electronic notary and electronic court</w:t>
            </w:r>
          </w:p>
        </w:tc>
        <w:tc>
          <w:tcPr>
            <w:tcW w:type="dxa" w:w="1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Operational</w:t>
            </w:r>
          </w:p>
        </w:tc>
        <w:tc>
          <w:tcPr>
            <w:tcW w:type="dxa" w:w="2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Muslim-majority country with similar legal heritage to Pakistan — strong precedent</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United Kingdom</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Judicial Service pilot with Magistrates' Court for blockchain-simplified legal proceedings</w:t>
            </w:r>
          </w:p>
        </w:tc>
        <w:tc>
          <w:tcPr>
            <w:tcW w:type="dxa" w:w="1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Pilot completed</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Common law system — directly applicable to Pakistan's legal structure</w:t>
            </w:r>
          </w:p>
        </w:tc>
      </w:tr>
      <w:tr>
        <w:tc>
          <w:tcPr>
            <w:tcW w:type="dxa" w:w="2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United States</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Federal courts accept blockchain evidence under FRE 901 authentication rules; multiple cases decided using blockchain records</w:t>
            </w:r>
          </w:p>
        </w:tc>
        <w:tc>
          <w:tcPr>
            <w:tcW w:type="dxa" w:w="1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Operational</w:t>
            </w:r>
          </w:p>
        </w:tc>
        <w:tc>
          <w:tcPr>
            <w:tcW w:type="dxa" w:w="2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Establishes global legal standard for blockchain evidence admissibility</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European Union</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Multiple member states recognise blockchain notarization for legal documents</w:t>
            </w:r>
          </w:p>
        </w:tc>
        <w:tc>
          <w:tcPr>
            <w:tcW w:type="dxa" w:w="1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Operational</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Delaware (US) statutory blockchain corporate records accepted — persuasive globally</w:t>
            </w:r>
          </w:p>
        </w:tc>
      </w:tr>
      <w:tr>
        <w:tc>
          <w:tcPr>
            <w:tcW w:type="dxa" w:w="2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Dubai / UAE</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Dubai Land Department: blockchain-verified property records; DIFC Courts accept blockchain evidence</w:t>
            </w:r>
          </w:p>
        </w:tc>
        <w:tc>
          <w:tcPr>
            <w:tcW w:type="dxa" w:w="1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Operational</w:t>
            </w:r>
          </w:p>
        </w:tc>
        <w:tc>
          <w:tcPr>
            <w:tcW w:type="dxa" w:w="2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Pakistan's closest financial hub comparator; strong Muslim-world blockchain adoption</w:t>
            </w:r>
          </w:p>
        </w:tc>
      </w:tr>
    </w:tbl>
    <w:p>
      <w:pPr>
        <w:spacing w:before="40" w:after="0"/>
      </w:pPr>
      <w:r>
        <w:t xml:space="preserve"/>
      </w:r>
    </w:p>
    <w:p>
      <w:pPr>
        <w:spacing w:before="20" w:after="30"/>
      </w:pPr>
      <w:r>
        <w:rPr>
          <w:rFonts w:ascii="Arial" w:cs="Arial" w:eastAsia="Arial" w:hAnsi="Arial"/>
          <w:i/>
          <w:iCs/>
          <w:color w:val="4A5568"/>
          <w:sz w:val="17"/>
          <w:szCs w:val="17"/>
        </w:rPr>
        <w:t xml:space="preserve">Source: Frontiers in Blockchain — "Blockchain in the Courtroom" April 2024; Lexology — "Is Blockchain evidence valid in court?" 2022; 4IRE Labs blockchain notarization use cases; Consensys blockchain law use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The China-Pakistan precedent</w:t>
            </w:r>
          </w:p>
          <w:p>
            <w:pPr>
              <w:spacing w:before="40"/>
            </w:pPr>
            <w:r>
              <w:rPr>
                <w:rFonts w:ascii="Arial" w:cs="Arial" w:eastAsia="Arial" w:hAnsi="Arial"/>
                <w:color w:val="1A1A2E"/>
                <w:sz w:val="19"/>
                <w:szCs w:val="19"/>
              </w:rPr>
              <w:t xml:space="preserve">In 2024, a judge in Punjab Sessions Court (Pakistan) used GPT-4 to help write a judgment in a bail case — and it was upheld. If Pakistani courts are already using AI in judgment writing, the path to accepting blockchain-verified documents as evidence is shorter than many people assume. WukalaGPT should be the platform that prepares lawyers to present and accept blockchain evidence when that day comes.</w:t>
            </w:r>
          </w:p>
        </w:tc>
      </w:tr>
    </w:tbl>
    <w:p>
      <w:pPr>
        <w:spacing w:before="80" w:after="0"/>
      </w:pPr>
      <w:r>
        <w:t xml:space="preserve"/>
      </w:r>
    </w:p>
    <w:p>
      <w:pPr>
        <w:spacing w:before="40" w:after="60"/>
        <w:jc w:val="both"/>
      </w:pPr>
      <w:r>
        <w:rPr>
          <w:rFonts w:ascii="Arial" w:cs="Arial" w:eastAsia="Arial" w:hAnsi="Arial"/>
          <w:color w:val="4A5568"/>
          <w:sz w:val="20"/>
          <w:szCs w:val="20"/>
        </w:rPr>
        <w:t xml:space="preserve">A 2025 PwC survey found that 70% of law firms globally said they would utilise smart contracts for transactional legal services, and 41% said they would use blockchain for transactional legal services. These figures represent lawyers who have not yet implemented blockchain — confirming the market is ready but waiting for a trusted platform to deliver it.</w:t>
      </w:r>
    </w:p>
    <w:p>
      <w:pPr>
        <w:spacing w:before="20" w:after="30"/>
      </w:pPr>
      <w:r>
        <w:rPr>
          <w:rFonts w:ascii="Arial" w:cs="Arial" w:eastAsia="Arial" w:hAnsi="Arial"/>
          <w:i/>
          <w:iCs/>
          <w:color w:val="4A5568"/>
          <w:sz w:val="17"/>
          <w:szCs w:val="17"/>
        </w:rPr>
        <w:t xml:space="preserve">Source: ABC Legal / PwC survey on blockchain in legal services 2025</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6 — Implementation Roadmap for WukalaGPT</w:t>
      </w:r>
    </w:p>
    <w:p>
      <w:pPr>
        <w:spacing w:before="40" w:after="60"/>
        <w:jc w:val="both"/>
      </w:pPr>
      <w:r>
        <w:rPr>
          <w:rFonts w:ascii="Arial" w:cs="Arial" w:eastAsia="Arial" w:hAnsi="Arial"/>
          <w:color w:val="4A5568"/>
          <w:sz w:val="20"/>
          <w:szCs w:val="20"/>
        </w:rPr>
        <w:t xml:space="preserve">Blockchain should not be built in Phase 1. The sequence is: (1) Build the core platform and earn user trust through excellent UX, (2) Layer blockchain trust features onto an already-working product, (3) Use blockchain as a differentiator in marketing once proven. The roadmap below reflects this sequence.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360"/>
        <w:gridCol w:w="290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Phase</w:t>
            </w:r>
          </w:p>
        </w:tc>
        <w:tc>
          <w:tcPr>
            <w:tcW w:type="dxa" w:w="17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Timeline</w:t>
            </w:r>
          </w:p>
        </w:tc>
        <w:tc>
          <w:tcPr>
            <w:tcW w:type="dxa" w:w="33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Blockchain work</w:t>
            </w:r>
          </w:p>
        </w:tc>
        <w:tc>
          <w:tcPr>
            <w:tcW w:type="dxa" w:w="29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Why this order</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1 — Core platform</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Months 1–9</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No blockchain. Focus 100% on core features.</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Blockchain adds complexity. Build trust with lawyers through great software first.</w:t>
            </w:r>
          </w:p>
        </w:tc>
      </w:tr>
      <w:tr>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Phase 2 — Credential layer</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Months 10–15</w:t>
            </w:r>
          </w:p>
        </w:tc>
        <w:tc>
          <w:tcPr>
            <w:tcW w:type="dxa" w:w="3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UC-01: Lawyer credential verification on Hyperledger Fabric. Verified badge on profiles.</w:t>
            </w:r>
          </w:p>
        </w:tc>
        <w:tc>
          <w:tcPr>
            <w:tcW w:type="dxa" w:w="2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First blockchain feature is the most visible and lowest technical risk. Drives Bar Council conversation.</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3 — Document trust</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Months 16–22</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UC-02: Document vault hashing. UC-03: Immutable audit trail. UC-05: Notice delivery receipts.</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These three share the same technical infrastructure (hash + timestamp + blockchain write). Build them together.</w:t>
            </w:r>
          </w:p>
        </w:tc>
      </w:tr>
      <w:tr>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Phase 4 — Court &amp; evidence</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Months 23–30</w:t>
            </w:r>
          </w:p>
        </w:tc>
        <w:tc>
          <w:tcPr>
            <w:tcW w:type="dxa" w:w="3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UC-06: Evidence chain of custody. Begin UC-07: Bar Council API outreach.</w:t>
            </w:r>
          </w:p>
        </w:tc>
        <w:tc>
          <w:tcPr>
            <w:tcW w:type="dxa" w:w="2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Evidence features require Pakistani Evidence Act research. Institutional API requires relationship capital accumulated in Phases 1–3.</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5 — Smart contracts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Year 3+</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UC-04: Smart contract fee escrow. Full UC-07 integration.</w:t>
            </w:r>
          </w:p>
        </w:tc>
        <w:tc>
          <w:tcPr>
            <w:tcW w:type="dxa" w:w="2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Fee escrow involves value transfer — requires PVARA compliance. Build the user base first, then offer this as a premium Firm plan feature.</w:t>
            </w:r>
          </w:p>
        </w:tc>
      </w:tr>
    </w:tbl>
    <w:p>
      <w:pPr>
        <w:spacing w:before="80" w:after="0"/>
      </w:pPr>
      <w:r>
        <w:t xml:space="preserve"/>
      </w:r>
    </w:p>
    <w:p>
      <w:pPr>
        <w:spacing w:before="200" w:after="70"/>
      </w:pPr>
      <w:r>
        <w:rPr>
          <w:rFonts w:ascii="Arial" w:cs="Arial" w:eastAsia="Arial" w:hAnsi="Arial"/>
          <w:b/>
          <w:bCs/>
          <w:color w:val="1B3A5C"/>
          <w:sz w:val="22"/>
          <w:szCs w:val="22"/>
        </w:rPr>
        <w:t xml:space="preserve">Technical stack for blockchain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A" w:val="clear"/>
            <w:tcMar>
              <w:top w:type="dxa" w:w="100"/>
              <w:left w:type="dxa" w:w="150"/>
              <w:bottom w:type="dxa" w:w="100"/>
              <w:right w:type="dxa" w:w="100"/>
            </w:tcMar>
          </w:tcPr>
          <w:p>
            <w:r>
              <w:rPr>
                <w:rFonts w:ascii="Arial" w:cs="Arial" w:eastAsia="Arial" w:hAnsi="Arial"/>
                <w:b/>
                <w:bCs/>
                <w:color w:val="1B3A5C"/>
                <w:sz w:val="19"/>
                <w:szCs w:val="19"/>
              </w:rPr>
              <w:t xml:space="preserve">Recommended blockchain approach</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Private/permissioned blockchain: Hyperledger Fabric — enterprise-grade, used by IBM and Fortune 500 companies, zero transaction fees, full privacy control</w:t>
            </w:r>
          </w:p>
          <w:p>
            <w:pPr>
              <w:pStyle w:val="ListParagraph"/>
              <w:numPr>
                <w:ilvl w:val="0"/>
                <w:numId w:val="2"/>
              </w:numPr>
              <w:spacing w:before="30" w:after="30"/>
            </w:pPr>
            <w:r>
              <w:rPr>
                <w:rFonts w:ascii="Arial" w:cs="Arial" w:eastAsia="Arial" w:hAnsi="Arial"/>
                <w:b w:val="false"/>
                <w:bCs w:val="false"/>
                <w:color w:val="4A5568"/>
                <w:sz w:val="20"/>
                <w:szCs w:val="20"/>
              </w:rPr>
              <w:t xml:space="preserve">For public credential verification only: Polygon (MATIC) — public blockchain, near-zero gas fees (~$0.001 per transaction), fast confirmation</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hashing: SHA-256 algorithm — industry standard, built into Node.js (no additional library needed)</w:t>
            </w:r>
          </w:p>
          <w:p>
            <w:pPr>
              <w:pStyle w:val="ListParagraph"/>
              <w:numPr>
                <w:ilvl w:val="0"/>
                <w:numId w:val="2"/>
              </w:numPr>
              <w:spacing w:before="30" w:after="30"/>
            </w:pPr>
            <w:r>
              <w:rPr>
                <w:rFonts w:ascii="Arial" w:cs="Arial" w:eastAsia="Arial" w:hAnsi="Arial"/>
                <w:b w:val="false"/>
                <w:bCs w:val="false"/>
                <w:color w:val="4A5568"/>
                <w:sz w:val="20"/>
                <w:szCs w:val="20"/>
              </w:rPr>
              <w:t xml:space="preserve">Smart contract language: Solidity (Ethereum/Polygon) or Chaincode (Hyperledger Fabric)</w:t>
            </w:r>
          </w:p>
          <w:p>
            <w:pPr>
              <w:pStyle w:val="ListParagraph"/>
              <w:numPr>
                <w:ilvl w:val="0"/>
                <w:numId w:val="2"/>
              </w:numPr>
              <w:spacing w:before="30" w:after="30"/>
            </w:pPr>
            <w:r>
              <w:rPr>
                <w:rFonts w:ascii="Arial" w:cs="Arial" w:eastAsia="Arial" w:hAnsi="Arial"/>
                <w:b w:val="false"/>
                <w:bCs w:val="false"/>
                <w:color w:val="4A5568"/>
                <w:sz w:val="20"/>
                <w:szCs w:val="20"/>
              </w:rPr>
              <w:t xml:space="preserve">Node.js integration: web3.js or ethers.js library for Polygon; Hyperledger Fabric SDK for private chain</w:t>
            </w:r>
          </w:p>
        </w:tc>
        <w:tc>
          <w:tcPr>
            <w:tcW w:type="dxa" w:w="4680"/>
            <w:tcBorders>
              <w:top w:val="none" w:color="FFFFFF" w:sz="0"/>
              <w:left w:val="none" w:color="FFFFFF" w:sz="0"/>
              <w:bottom w:val="none" w:color="FFFFFF" w:sz="0"/>
              <w:right w:val="none" w:color="FFFFFF" w:sz="0"/>
            </w:tcBorders>
            <w:shd w:fill="FDE8E8" w:val="clear"/>
            <w:tcMar>
              <w:top w:type="dxa" w:w="100"/>
              <w:left w:type="dxa" w:w="150"/>
              <w:bottom w:type="dxa" w:w="100"/>
              <w:right w:type="dxa" w:w="100"/>
            </w:tcMar>
          </w:tcPr>
          <w:p>
            <w:r>
              <w:rPr>
                <w:rFonts w:ascii="Arial" w:cs="Arial" w:eastAsia="Arial" w:hAnsi="Arial"/>
                <w:b/>
                <w:bCs/>
                <w:color w:val="A32D2D"/>
                <w:sz w:val="19"/>
                <w:szCs w:val="19"/>
              </w:rPr>
              <w:t xml:space="preserve">What NOT to do</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Do NOT store documents or personal data on any public blockchain — expensive, irreversible, privacy risk</w:t>
            </w:r>
          </w:p>
          <w:p>
            <w:pPr>
              <w:pStyle w:val="ListParagraph"/>
              <w:numPr>
                <w:ilvl w:val="0"/>
                <w:numId w:val="2"/>
              </w:numPr>
              <w:spacing w:before="30" w:after="30"/>
            </w:pPr>
            <w:r>
              <w:rPr>
                <w:rFonts w:ascii="Arial" w:cs="Arial" w:eastAsia="Arial" w:hAnsi="Arial"/>
                <w:b w:val="false"/>
                <w:bCs w:val="false"/>
                <w:color w:val="4A5568"/>
                <w:sz w:val="20"/>
                <w:szCs w:val="20"/>
              </w:rPr>
              <w:t xml:space="preserve">Do NOT build your own blockchain — unnecessary complexity, high cost, zero benefit over Hyperledger/Polygon</w:t>
            </w:r>
          </w:p>
          <w:p>
            <w:pPr>
              <w:pStyle w:val="ListParagraph"/>
              <w:numPr>
                <w:ilvl w:val="0"/>
                <w:numId w:val="2"/>
              </w:numPr>
              <w:spacing w:before="30" w:after="30"/>
            </w:pPr>
            <w:r>
              <w:rPr>
                <w:rFonts w:ascii="Arial" w:cs="Arial" w:eastAsia="Arial" w:hAnsi="Arial"/>
                <w:b w:val="false"/>
                <w:bCs w:val="false"/>
                <w:color w:val="4A5568"/>
                <w:sz w:val="20"/>
                <w:szCs w:val="20"/>
              </w:rPr>
              <w:t xml:space="preserve">Do NOT start with smart contract fee escrow — it involves financial value and needs PVARA compliance first</w:t>
            </w:r>
          </w:p>
          <w:p>
            <w:pPr>
              <w:pStyle w:val="ListParagraph"/>
              <w:numPr>
                <w:ilvl w:val="0"/>
                <w:numId w:val="2"/>
              </w:numPr>
              <w:spacing w:before="30" w:after="30"/>
            </w:pPr>
            <w:r>
              <w:rPr>
                <w:rFonts w:ascii="Arial" w:cs="Arial" w:eastAsia="Arial" w:hAnsi="Arial"/>
                <w:b w:val="false"/>
                <w:bCs w:val="false"/>
                <w:color w:val="4A5568"/>
                <w:sz w:val="20"/>
                <w:szCs w:val="20"/>
              </w:rPr>
              <w:t xml:space="preserve">Do NOT use Ethereum mainnet — gas fees make it unusable for legal documents at scale</w:t>
            </w:r>
          </w:p>
          <w:p>
            <w:pPr>
              <w:pStyle w:val="ListParagraph"/>
              <w:numPr>
                <w:ilvl w:val="0"/>
                <w:numId w:val="2"/>
              </w:numPr>
              <w:spacing w:before="30" w:after="30"/>
            </w:pPr>
            <w:r>
              <w:rPr>
                <w:rFonts w:ascii="Arial" w:cs="Arial" w:eastAsia="Arial" w:hAnsi="Arial"/>
                <w:b w:val="false"/>
                <w:bCs w:val="false"/>
                <w:color w:val="4A5568"/>
                <w:sz w:val="20"/>
                <w:szCs w:val="20"/>
              </w:rPr>
              <w:t xml:space="preserve">Do NOT announce blockchain features before they are working — overpromising is the fastest way to destroy lawyer trust</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7 — How to Explain Blockchain to Pakistani Lawyers (In Plain Language)</w:t>
      </w:r>
    </w:p>
    <w:p>
      <w:pPr>
        <w:spacing w:before="40" w:after="60"/>
        <w:jc w:val="both"/>
      </w:pPr>
      <w:r>
        <w:rPr>
          <w:rFonts w:ascii="Arial" w:cs="Arial" w:eastAsia="Arial" w:hAnsi="Arial"/>
          <w:color w:val="4A5568"/>
          <w:sz w:val="20"/>
          <w:szCs w:val="20"/>
        </w:rPr>
        <w:t xml:space="preserve">Most Pakistani lawyers will not understand what blockchain is. Your job is to explain the benefit, not the technology. These are the exact explanations to use in demos, marketing, and conversations.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Audience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What they care about</w:t>
            </w:r>
          </w:p>
        </w:tc>
        <w:tc>
          <w:tcPr>
            <w:tcW w:type="dxa" w:w="31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How to explain blockchain in one sentence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What NOT to say</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District Court advocate</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Will my documents be safe?</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جب آپ کوئی document upload کرتے ہیں، ہم اسکا ایک ناقابل تبدیل نشان (digital fingerprint) بناتے ہیں جو آپ کو ثابت کرتا ہے کہ document کب بنا اور کیا تبدیل ہوا۔</w:t>
            </w:r>
          </w:p>
        </w:tc>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Do NOT say "blockchain" or "cryptocurrency" first. Lead with the benefit.</w:t>
            </w:r>
          </w:p>
        </w:tc>
      </w:tr>
      <w:tr>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 Court advocate</w:t>
            </w:r>
          </w:p>
        </w:tc>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Can I use this in court as evidence?</w:t>
            </w:r>
          </w:p>
        </w:tc>
        <w:tc>
          <w:tcPr>
            <w:tcW w:type="dxa" w:w="3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Every document you store on WukalaGPT comes with a Notarization Certificate that cryptographically proves when it was created and that it has not been altered — similar to how a court seal proves authenticity.</w:t>
            </w:r>
          </w:p>
        </w:tc>
        <w:tc>
          <w:tcPr>
            <w:tcW w:type="dxa" w:w="2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Do NOT compare to Bitcoin — they will associate it with scams.</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Client / general public</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Is my information safe from the lawyer or others?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Your case file on WukalaGPT has a permanent activity log that records every action taken — you can see exactly what your lawyer did and when, and this log cannot be changed or deleted.</w:t>
            </w:r>
          </w:p>
        </w:tc>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Do NOT explain the technical mechanics — they do not care.</w:t>
            </w:r>
          </w:p>
        </w:tc>
      </w:tr>
      <w:tr>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Investor / Bar Council</w:t>
            </w:r>
          </w:p>
        </w:tc>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Why is this better than a secure database?</w:t>
            </w:r>
          </w:p>
        </w:tc>
        <w:tc>
          <w:tcPr>
            <w:tcW w:type="dxa" w:w="3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 secure database can be altered by whoever controls it. A blockchain record cannot be altered by anyone — not even by WukalaGPT itself. That is the difference between a trusted platform and a trustworthy one.</w:t>
            </w:r>
          </w:p>
        </w:tc>
        <w:tc>
          <w:tcPr>
            <w:tcW w:type="dxa" w:w="2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Do NOT understate the distinction — this is your moat.</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Judge / Court official</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How do I know this evidence has not been tampered with?</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The document hash produced by WukalaGPT is a mathematical fingerprint. If any character in the document changes after hashing, the fingerprint will not match — making tampering immediately and independently detectable.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Do NOT promise court-admissibility before consulting the Evidence Act.</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8 — Risks &amp; Honest Assessment</w:t>
      </w:r>
    </w:p>
    <w:p>
      <w:pPr>
        <w:spacing w:before="40" w:after="60"/>
        <w:jc w:val="both"/>
      </w:pPr>
      <w:r>
        <w:rPr>
          <w:rFonts w:ascii="Arial" w:cs="Arial" w:eastAsia="Arial" w:hAnsi="Arial"/>
          <w:color w:val="4A5568"/>
          <w:sz w:val="20"/>
          <w:szCs w:val="20"/>
        </w:rPr>
        <w:t xml:space="preserve">A serious research report does not only present the benefits of blockchain. There are real risks and limitations that WukalaGPT must understand before committing to a blockchain implementation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44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Risk</w:t>
            </w:r>
          </w:p>
        </w:tc>
        <w:tc>
          <w:tcPr>
            <w:tcW w:type="dxa" w:w="29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Reality check</w:t>
            </w:r>
          </w:p>
        </w:tc>
        <w:tc>
          <w:tcPr>
            <w:tcW w:type="dxa" w:w="4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Mitigation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Pakistani courts may not accept blockchain evidence yet</w:t>
            </w:r>
          </w:p>
        </w:tc>
        <w:tc>
          <w:tcPr>
            <w:tcW w:type="dxa" w:w="29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No Pakistani statute or court ruling has yet explicitly recognised blockchain-verified documents as evidence. The Evidence Act 1984 predates blockchain.</w:t>
            </w:r>
          </w:p>
        </w:tc>
        <w:tc>
          <w:tcPr>
            <w:tcW w:type="dxa" w:w="4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Build the infrastructure now. Engage legal scholars and Bar Council to develop guidelines. Position WukalaGPT as the platform that prepares lawyers for when acceptance comes — which global trends suggest is inevitable.</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Lawyers may distrust blockchain due to crypto association</w:t>
            </w:r>
          </w:p>
        </w:tc>
        <w:tc>
          <w:tcPr>
            <w:tcW w:type="dxa" w:w="29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Many Pakistani lawyers associate blockchain with Bitcoin scams and gambling. The word "blockchain" may trigger suspicion.</w:t>
            </w:r>
          </w:p>
        </w:tc>
        <w:tc>
          <w:tcPr>
            <w:tcW w:type="dxa" w:w="4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Never lead with the technology name. Lead with the benefit: "tamper-proof documents." Only explain the technology to those who ask. Avoid all cryptocurrency language entirely.</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Technical complexity increases development time and cost</w:t>
            </w:r>
          </w:p>
        </w:tc>
        <w:tc>
          <w:tcPr>
            <w:tcW w:type="dxa" w:w="29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Every blockchain feature adds complexity to the codebase. Bugs in smart contracts involving money are catastrophic and irreversible.</w:t>
            </w:r>
          </w:p>
        </w:tc>
        <w:tc>
          <w:tcPr>
            <w:tcW w:type="dxa" w:w="4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Build blockchain features in Phases 2–4, not Phase 1. Start with low-risk hash notarization before touching smart contract fee escrow. Never rush blockchain features.</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Hyperledger/Polygon require ongoing infrastructure maintenance</w:t>
            </w:r>
          </w:p>
        </w:tc>
        <w:tc>
          <w:tcPr>
            <w:tcW w:type="dxa" w:w="29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Private blockchain nodes require dedicated server infrastructure and maintenance. This is not trivial for a 3-person CET team.</w:t>
            </w:r>
          </w:p>
        </w:tc>
        <w:tc>
          <w:tcPr>
            <w:tcW w:type="dxa" w:w="4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Use Blockchain-as-a-Service (BaaS) providers: IBM Blockchain Platform (Hyperledger), Alchemy or Infura (Polygon). Offload infrastructure to specialists. Cost is modest at WukalaGPT's scale.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Smart contract fee escrow may require PVARA licensing</w:t>
            </w:r>
          </w:p>
        </w:tc>
        <w:tc>
          <w:tcPr>
            <w:tcW w:type="dxa" w:w="29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If WukalaGPT holds client funds in escrow using smart contracts, this may be classified as a virtual asset service under PVARA.</w:t>
            </w:r>
          </w:p>
        </w:tc>
        <w:tc>
          <w:tcPr>
            <w:tcW w:type="dxa" w:w="4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Delay UC-04 (fee escrow) until Phase 5 and obtain formal legal opinion from a PVARA-aware lawyer before launch. This feature carries the highest regulatory risk.</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Data privacy under PDPA if documents are hashed publicly</w:t>
            </w:r>
          </w:p>
        </w:tc>
        <w:tc>
          <w:tcPr>
            <w:tcW w:type="dxa" w:w="29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If document hashes are written to a public blockchain, metadata could theoretically be traced.</w:t>
            </w:r>
          </w:p>
        </w:tc>
        <w:tc>
          <w:tcPr>
            <w:tcW w:type="dxa" w:w="4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Use a private/permissioned blockchain (Hyperledger Fabric) for all sensitive document hashing. Only lawyer credential verification uses a public blockchain — and only stores the hash of the credential number, not personal data.</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9 — Competitive Advantage: Why No Competitor Can Copy This Quickly</w:t>
      </w:r>
    </w:p>
    <w:p>
      <w:pPr>
        <w:spacing w:before="40" w:after="60"/>
        <w:jc w:val="both"/>
      </w:pPr>
      <w:r>
        <w:rPr>
          <w:rFonts w:ascii="Arial" w:cs="Arial" w:eastAsia="Arial" w:hAnsi="Arial"/>
          <w:color w:val="4A5568"/>
          <w:sz w:val="20"/>
          <w:szCs w:val="20"/>
        </w:rPr>
        <w:t xml:space="preserve">Blockchain trust is not a feature — it is an architecture. It cannot be added to an existing platform in two weeks. The following explains why WukalaGPT's blockchain trust layer will be difficult for DigiLawyer, LawGPT, and others to replicate quickly.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A" w:val="clear"/>
            <w:tcMar>
              <w:top w:type="dxa" w:w="100"/>
              <w:left w:type="dxa" w:w="150"/>
              <w:bottom w:type="dxa" w:w="100"/>
              <w:right w:type="dxa" w:w="100"/>
            </w:tcMar>
          </w:tcPr>
          <w:p>
            <w:r>
              <w:rPr>
                <w:rFonts w:ascii="Arial" w:cs="Arial" w:eastAsia="Arial" w:hAnsi="Arial"/>
                <w:b/>
                <w:bCs/>
                <w:color w:val="1B3A5C"/>
                <w:sz w:val="19"/>
                <w:szCs w:val="19"/>
              </w:rPr>
              <w:t xml:space="preserve">Why DigiLawyer / LawGPT cannot copy this fast</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Blockchain requires full re-architecture of document storage — cannot be bolted on top of an existing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Institutional trust (Bar Council API, court cause list integration) requires relationship capital built over years, not months</w:t>
            </w:r>
          </w:p>
          <w:p>
            <w:pPr>
              <w:pStyle w:val="ListParagraph"/>
              <w:numPr>
                <w:ilvl w:val="0"/>
                <w:numId w:val="2"/>
              </w:numPr>
              <w:spacing w:before="30" w:after="30"/>
            </w:pPr>
            <w:r>
              <w:rPr>
                <w:rFonts w:ascii="Arial" w:cs="Arial" w:eastAsia="Arial" w:hAnsi="Arial"/>
                <w:b w:val="false"/>
                <w:bCs w:val="false"/>
                <w:color w:val="4A5568"/>
                <w:sz w:val="20"/>
                <w:szCs w:val="20"/>
              </w:rPr>
              <w:t xml:space="preserve">Smart contract fee escrow requires PVARA compliance work and legal opinion — adds months of overhead</w:t>
            </w:r>
          </w:p>
          <w:p>
            <w:pPr>
              <w:pStyle w:val="ListParagraph"/>
              <w:numPr>
                <w:ilvl w:val="0"/>
                <w:numId w:val="2"/>
              </w:numPr>
              <w:spacing w:before="30" w:after="30"/>
            </w:pPr>
            <w:r>
              <w:rPr>
                <w:rFonts w:ascii="Arial" w:cs="Arial" w:eastAsia="Arial" w:hAnsi="Arial"/>
                <w:b w:val="false"/>
                <w:bCs w:val="false"/>
                <w:color w:val="4A5568"/>
                <w:sz w:val="20"/>
                <w:szCs w:val="20"/>
              </w:rPr>
              <w:t xml:space="preserve">DigiLawyer is focused on AI research corpus — blockchain is a completely different engineering discipline</w:t>
            </w:r>
          </w:p>
          <w:p>
            <w:pPr>
              <w:pStyle w:val="ListParagraph"/>
              <w:numPr>
                <w:ilvl w:val="0"/>
                <w:numId w:val="2"/>
              </w:numPr>
              <w:spacing w:before="30" w:after="30"/>
            </w:pPr>
            <w:r>
              <w:rPr>
                <w:rFonts w:ascii="Arial" w:cs="Arial" w:eastAsia="Arial" w:hAnsi="Arial"/>
                <w:b w:val="false"/>
                <w:bCs w:val="false"/>
                <w:color w:val="4A5568"/>
                <w:sz w:val="20"/>
                <w:szCs w:val="20"/>
              </w:rPr>
              <w:t xml:space="preserve">No Pakistani LegalTech team currently has blockchain development expertise in-house — hiring takes time</w:t>
            </w:r>
          </w:p>
        </w:tc>
        <w:tc>
          <w:tcPr>
            <w:tcW w:type="dxa" w:w="4680"/>
            <w:tcBorders>
              <w:top w:val="none" w:color="FFFFFF" w:sz="0"/>
              <w:left w:val="none" w:color="FFFFFF" w:sz="0"/>
              <w:bottom w:val="none" w:color="FFFFFF" w:sz="0"/>
              <w:right w:val="none" w:color="FFFFFF" w:sz="0"/>
            </w:tcBorders>
            <w:shd w:fill="FDF6E8" w:val="clear"/>
            <w:tcMar>
              <w:top w:type="dxa" w:w="100"/>
              <w:left w:type="dxa" w:w="150"/>
              <w:bottom w:type="dxa" w:w="100"/>
              <w:right w:type="dxa" w:w="100"/>
            </w:tcMar>
          </w:tcPr>
          <w:p>
            <w:r>
              <w:rPr>
                <w:rFonts w:ascii="Arial" w:cs="Arial" w:eastAsia="Arial" w:hAnsi="Arial"/>
                <w:b/>
                <w:bCs/>
                <w:color w:val="1B3A5C"/>
                <w:sz w:val="19"/>
                <w:szCs w:val="19"/>
              </w:rPr>
              <w:t xml:space="preserve">What WukalaGPT must do to maintain this lead</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File for trademark protection on "WukalaGPT Verified Advocate" badge before launch</w:t>
            </w:r>
          </w:p>
          <w:p>
            <w:pPr>
              <w:pStyle w:val="ListParagraph"/>
              <w:numPr>
                <w:ilvl w:val="0"/>
                <w:numId w:val="2"/>
              </w:numPr>
              <w:spacing w:before="30" w:after="30"/>
            </w:pPr>
            <w:r>
              <w:rPr>
                <w:rFonts w:ascii="Arial" w:cs="Arial" w:eastAsia="Arial" w:hAnsi="Arial"/>
                <w:b w:val="false"/>
                <w:bCs w:val="false"/>
                <w:color w:val="4A5568"/>
                <w:sz w:val="20"/>
                <w:szCs w:val="20"/>
              </w:rPr>
              <w:t xml:space="preserve">Begin Bar Council relationship outreach in Phase 1 — even before blockchain is built</w:t>
            </w:r>
          </w:p>
          <w:p>
            <w:pPr>
              <w:pStyle w:val="ListParagraph"/>
              <w:numPr>
                <w:ilvl w:val="0"/>
                <w:numId w:val="2"/>
              </w:numPr>
              <w:spacing w:before="30" w:after="30"/>
            </w:pPr>
            <w:r>
              <w:rPr>
                <w:rFonts w:ascii="Arial" w:cs="Arial" w:eastAsia="Arial" w:hAnsi="Arial"/>
                <w:b w:val="false"/>
                <w:bCs w:val="false"/>
                <w:color w:val="4A5568"/>
                <w:sz w:val="20"/>
                <w:szCs w:val="20"/>
              </w:rPr>
              <w:t xml:space="preserve">Publish research on blockchain in Pakistani courts — position Hafiz as a thought leader</w:t>
            </w:r>
          </w:p>
          <w:p>
            <w:pPr>
              <w:pStyle w:val="ListParagraph"/>
              <w:numPr>
                <w:ilvl w:val="0"/>
                <w:numId w:val="2"/>
              </w:numPr>
              <w:spacing w:before="30" w:after="30"/>
            </w:pPr>
            <w:r>
              <w:rPr>
                <w:rFonts w:ascii="Arial" w:cs="Arial" w:eastAsia="Arial" w:hAnsi="Arial"/>
                <w:b w:val="false"/>
                <w:bCs w:val="false"/>
                <w:color w:val="4A5568"/>
                <w:sz w:val="20"/>
                <w:szCs w:val="20"/>
              </w:rPr>
              <w:t xml:space="preserve">Present at Bar Association events on "What blockchain means for Pakistani lawyers" — before any competitor does</w:t>
            </w:r>
          </w:p>
          <w:p>
            <w:pPr>
              <w:pStyle w:val="ListParagraph"/>
              <w:numPr>
                <w:ilvl w:val="0"/>
                <w:numId w:val="2"/>
              </w:numPr>
              <w:spacing w:before="30" w:after="30"/>
            </w:pPr>
            <w:r>
              <w:rPr>
                <w:rFonts w:ascii="Arial" w:cs="Arial" w:eastAsia="Arial" w:hAnsi="Arial"/>
                <w:b w:val="false"/>
                <w:bCs w:val="false"/>
                <w:color w:val="4A5568"/>
                <w:sz w:val="20"/>
                <w:szCs w:val="20"/>
              </w:rPr>
              <w:t xml:space="preserve">Build lawyer trust through core features first — blockchain only adds value on top of a trusted product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The final competitive statement</w:t>
            </w:r>
          </w:p>
          <w:p>
            <w:pPr>
              <w:spacing w:before="40"/>
            </w:pPr>
            <w:r>
              <w:rPr>
                <w:rFonts w:ascii="Arial" w:cs="Arial" w:eastAsia="Arial" w:hAnsi="Arial"/>
                <w:color w:val="1A1A2E"/>
                <w:sz w:val="19"/>
                <w:szCs w:val="19"/>
              </w:rPr>
              <w:t xml:space="preserve">DigiLawyer can say: "We have the best AI legal research for Pakistani lawyers."
LawGPT can say: "We have 350,000 judgments in our database."
YourMunshi can say: "We have testimonials from senior advocates."
WukalaGPT will be able to say: "We are the only platform where your documents are mathematically tamper-proof, your credentials are verifiably on-chain, your case history cannot be disputed, and your fees are protected by a smart contract. We are not just the smartest legal platform in Pakistan. We are the most trustworthy one."
That is a positioning statement no AI research tool can answer.</w:t>
            </w:r>
          </w:p>
        </w:tc>
      </w:tr>
    </w:tbl>
    <w:p>
      <w:pPr>
        <w:spacing w:before="8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  |  WKL-RES-BlockchainTrust-v1.0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Blockchain Report  |  WKL-RES-BlockchainTrust-v1.0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Blockchain Trust Research Report</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2026-03-29T03:02:59.375Z</dcterms:created>
  <dcterms:modified xsi:type="dcterms:W3CDTF">2026-03-29T03:02:59.376Z</dcterms:modified>
</cp:coreProperties>
</file>

<file path=docProps/custom.xml><?xml version="1.0" encoding="utf-8"?>
<Properties xmlns="http://schemas.openxmlformats.org/officeDocument/2006/custom-properties" xmlns:vt="http://schemas.openxmlformats.org/officeDocument/2006/docPropsVTypes"/>
</file>