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jc w:val="center"/>
      </w:pPr>
      <w:r>
        <w:rPr>
          <w:rFonts w:ascii="Arial" w:cs="Arial" w:eastAsia="Arial" w:hAnsi="Arial"/>
          <w:b/>
          <w:bCs/>
          <w:color w:val="1B3A5C"/>
          <w:sz w:val="60"/>
          <w:szCs w:val="60"/>
        </w:rPr>
        <w:t xml:space="preserve">WUKALAGPT</w:t>
      </w:r>
    </w:p>
    <w:p>
      <w:pPr>
        <w:spacing w:before="6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b/>
          <w:bCs/>
          <w:color w:val="1B3A5C"/>
          <w:sz w:val="36"/>
          <w:szCs w:val="36"/>
        </w:rPr>
        <w:t xml:space="preserve">MARKET SIZE RESEARCH REPORT</w:t>
      </w:r>
    </w:p>
    <w:p>
      <w:pPr>
        <w:jc w:val="center"/>
      </w:pPr>
      <w:r>
        <w:rPr>
          <w:rFonts w:ascii="Arial" w:cs="Arial" w:eastAsia="Arial" w:hAnsi="Arial"/>
          <w:i/>
          <w:iCs/>
          <w:color w:val="4A5568"/>
          <w:sz w:val="21"/>
          <w:szCs w:val="21"/>
        </w:rPr>
        <w:t xml:space="preserve">TAM · SAM · SOM · Revenue Model · Pakistan LegalTech Opportunity</w:t>
      </w:r>
    </w:p>
    <w:p>
      <w:pPr>
        <w:spacing w:before="30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none" w:color="FFFFFF" w:sz="0"/>
              <w:left w:val="none" w:color="FFFFFF" w:sz="0"/>
              <w:bottom w:val="none" w:color="FFFFFF" w:sz="0"/>
              <w:right w:val="none" w:color="FFFFFF" w:sz="0"/>
            </w:tcBorders>
            <w:shd w:fill="1B3A5C" w:val="clear"/>
            <w:tcMar>
              <w:top w:type="dxa" w:w="100"/>
              <w:left w:type="dxa" w:w="140"/>
              <w:bottom w:type="dxa" w:w="100"/>
              <w:right w:type="dxa" w:w="100"/>
            </w:tcMar>
          </w:tcPr>
          <w:p>
            <w:pPr>
              <w:jc w:val="center"/>
            </w:pPr>
            <w:r>
              <w:rPr>
                <w:rFonts w:ascii="Arial" w:cs="Arial" w:eastAsia="Arial" w:hAnsi="Arial"/>
                <w:b/>
                <w:bCs/>
                <w:color w:val="FFFFFF"/>
                <w:sz w:val="18"/>
                <w:szCs w:val="18"/>
              </w:rPr>
              <w:t xml:space="preserve">Code Envision Technologies</w:t>
            </w:r>
          </w:p>
        </w:tc>
        <w:tc>
          <w:tcPr>
            <w:tcW w:type="dxa" w:w="2400"/>
            <w:tcBorders>
              <w:top w:val="none" w:color="FFFFFF" w:sz="0"/>
              <w:left w:val="none" w:color="FFFFFF" w:sz="0"/>
              <w:bottom w:val="none" w:color="FFFFFF" w:sz="0"/>
              <w:right w:val="none" w:color="FFFFFF" w:sz="0"/>
            </w:tcBorders>
            <w:shd w:fill="EEF2F7" w:val="clear"/>
            <w:tcMar>
              <w:top w:type="dxa" w:w="100"/>
              <w:left w:type="dxa" w:w="140"/>
              <w:bottom w:type="dxa" w:w="100"/>
              <w:right w:type="dxa" w:w="100"/>
            </w:tcMar>
          </w:tcPr>
          <w:p>
            <w:pPr>
              <w:jc w:val="center"/>
            </w:pPr>
            <w:r>
              <w:rPr>
                <w:rFonts w:ascii="Arial" w:cs="Arial" w:eastAsia="Arial" w:hAnsi="Arial"/>
                <w:b/>
                <w:bCs/>
                <w:color w:val="1B3A5C"/>
                <w:sz w:val="16"/>
                <w:szCs w:val="16"/>
              </w:rPr>
              <w:t xml:space="preserve">WKL-RES-MarketSizeAnalysis-v1.0</w:t>
            </w:r>
          </w:p>
        </w:tc>
        <w:tc>
          <w:tcPr>
            <w:tcW w:type="dxa" w:w="2400"/>
            <w:tcBorders>
              <w:top w:val="none" w:color="FFFFFF" w:sz="0"/>
              <w:left w:val="none" w:color="FFFFFF" w:sz="0"/>
              <w:bottom w:val="none" w:color="FFFFFF" w:sz="0"/>
              <w:right w:val="none" w:color="FFFFFF" w:sz="0"/>
            </w:tcBorders>
            <w:shd w:fill="FDF6E8" w:val="clear"/>
            <w:tcMar>
              <w:top w:type="dxa" w:w="100"/>
              <w:left w:type="dxa" w:w="140"/>
              <w:bottom w:type="dxa" w:w="100"/>
              <w:right w:type="dxa" w:w="100"/>
            </w:tcMar>
          </w:tcPr>
          <w:p>
            <w:pPr>
              <w:jc w:val="center"/>
            </w:pPr>
            <w:r>
              <w:rPr>
                <w:rFonts w:ascii="Arial" w:cs="Arial" w:eastAsia="Arial" w:hAnsi="Arial"/>
                <w:b/>
                <w:bCs/>
                <w:color w:val="1B3A5C"/>
                <w:sz w:val="18"/>
                <w:szCs w:val="18"/>
              </w:rPr>
              <w:t xml:space="preserve">March 2026</w:t>
            </w:r>
          </w:p>
        </w:tc>
      </w:tr>
    </w:tbl>
    <w:p>
      <w:pPr>
        <w:spacing w:before="500" w:after="0"/>
      </w:pPr>
      <w:r>
        <w:t xml:space="preserve"/>
      </w:r>
    </w:p>
    <w:p>
      <w:pPr>
        <w:jc w:val="center"/>
      </w:pPr>
      <w:r>
        <w:rPr>
          <w:rFonts w:ascii="Arial" w:cs="Arial" w:eastAsia="Arial" w:hAnsi="Arial"/>
          <w:b/>
          <w:bCs/>
          <w:color w:val="4A5568"/>
          <w:sz w:val="18"/>
          <w:szCs w:val="18"/>
        </w:rPr>
        <w:t xml:space="preserve">CONFIDENTIAL — FOR INTERNAL USE ONLY</w:t>
      </w:r>
    </w:p>
    <w:p>
      <w:pPr>
        <w:pageBreakBefore/>
      </w:pPr>
      <w:r>
        <w:br/>
      </w:r>
    </w:p>
    <w:p>
      <w:pPr>
        <w:pStyle w:val="Heading1"/>
        <w:pBdr>
          <w:bottom w:val="single" w:color="C8972B" w:sz="4" w:space="4"/>
        </w:pBdr>
        <w:spacing w:before="300" w:after="100"/>
      </w:pPr>
      <w:r>
        <w:rPr>
          <w:rFonts w:ascii="Arial" w:cs="Arial" w:eastAsia="Arial" w:hAnsi="Arial"/>
          <w:b/>
          <w:bCs/>
          <w:color w:val="1B3A5C"/>
          <w:sz w:val="28"/>
          <w:szCs w:val="28"/>
        </w:rPr>
        <w:t xml:space="preserve">Executive Summary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8FA" w:val="clear"/>
            <w:tcMar>
              <w:top w:type="dxa" w:w="120"/>
              <w:left w:type="dxa" w:w="140"/>
              <w:bottom w:type="dxa" w:w="120"/>
              <w:right w:type="dxa" w:w="100"/>
            </w:tcMar>
          </w:tcPr>
          <w:p>
            <w:r>
              <w:rPr>
                <w:rFonts w:ascii="Arial" w:cs="Arial" w:eastAsia="Arial" w:hAnsi="Arial"/>
                <w:b/>
                <w:bCs/>
                <w:color w:val="185FA5"/>
                <w:sz w:val="36"/>
                <w:szCs w:val="36"/>
              </w:rPr>
              <w:t xml:space="preserve">200,000+</w:t>
            </w:r>
          </w:p>
          <w:p>
            <w:pPr>
              <w:spacing w:before="20"/>
            </w:pPr>
            <w:r>
              <w:rPr>
                <w:rFonts w:ascii="Arial" w:cs="Arial" w:eastAsia="Arial" w:hAnsi="Arial"/>
                <w:color w:val="4A5568"/>
                <w:sz w:val="17"/>
                <w:szCs w:val="17"/>
              </w:rPr>
              <w:t xml:space="preserve">Registered lawyers in Pakistan</w:t>
            </w:r>
          </w:p>
          <w:p>
            <w:pPr>
              <w:spacing w:before="10"/>
            </w:pPr>
            <w:r>
              <w:rPr>
                <w:rFonts w:ascii="Arial" w:cs="Arial" w:eastAsia="Arial" w:hAnsi="Arial"/>
                <w:i/>
                <w:iCs/>
                <w:color w:val="4A5568"/>
                <w:sz w:val="15"/>
                <w:szCs w:val="15"/>
              </w:rPr>
              <w:t xml:space="preserve">Punjab alone: 100,000+</w:t>
            </w:r>
          </w:p>
        </w:tc>
        <w:tc>
          <w:tcPr>
            <w:tcW w:type="dxa" w:w="2340"/>
            <w:tcBorders>
              <w:top w:val="none" w:color="FFFFFF" w:sz="0"/>
              <w:left w:val="none" w:color="FFFFFF" w:sz="0"/>
              <w:bottom w:val="none" w:color="FFFFFF" w:sz="0"/>
              <w:right w:val="none" w:color="FFFFFF" w:sz="0"/>
            </w:tcBorders>
            <w:shd w:fill="FDF6E8" w:val="clear"/>
            <w:tcMar>
              <w:top w:type="dxa" w:w="120"/>
              <w:left w:type="dxa" w:w="140"/>
              <w:bottom w:type="dxa" w:w="120"/>
              <w:right w:type="dxa" w:w="100"/>
            </w:tcMar>
          </w:tcPr>
          <w:p>
            <w:r>
              <w:rPr>
                <w:rFonts w:ascii="Arial" w:cs="Arial" w:eastAsia="Arial" w:hAnsi="Arial"/>
                <w:b/>
                <w:bCs/>
                <w:color w:val="854F0B"/>
                <w:sz w:val="36"/>
                <w:szCs w:val="36"/>
              </w:rPr>
              <w:t xml:space="preserve">PKR 6B</w:t>
            </w:r>
          </w:p>
          <w:p>
            <w:pPr>
              <w:spacing w:before="20"/>
            </w:pPr>
            <w:r>
              <w:rPr>
                <w:rFonts w:ascii="Arial" w:cs="Arial" w:eastAsia="Arial" w:hAnsi="Arial"/>
                <w:color w:val="4A5568"/>
                <w:sz w:val="17"/>
                <w:szCs w:val="17"/>
              </w:rPr>
              <w:t xml:space="preserve">Total Addressable Market/year</w:t>
            </w:r>
          </w:p>
          <w:p>
            <w:pPr>
              <w:spacing w:before="10"/>
            </w:pPr>
            <w:r>
              <w:rPr>
                <w:rFonts w:ascii="Arial" w:cs="Arial" w:eastAsia="Arial" w:hAnsi="Arial"/>
                <w:i/>
                <w:iCs/>
                <w:color w:val="4A5568"/>
                <w:sz w:val="15"/>
                <w:szCs w:val="15"/>
              </w:rPr>
              <w:t xml:space="preserve">~$21.5M USD at PKR 280/USD</w:t>
            </w:r>
          </w:p>
        </w:tc>
        <w:tc>
          <w:tcPr>
            <w:tcW w:type="dxa" w:w="2340"/>
            <w:tcBorders>
              <w:top w:val="none" w:color="FFFFFF" w:sz="0"/>
              <w:left w:val="none" w:color="FFFFFF" w:sz="0"/>
              <w:bottom w:val="none" w:color="FFFFFF" w:sz="0"/>
              <w:right w:val="none" w:color="FFFFFF" w:sz="0"/>
            </w:tcBorders>
            <w:shd w:fill="D4EDDA" w:val="clear"/>
            <w:tcMar>
              <w:top w:type="dxa" w:w="120"/>
              <w:left w:type="dxa" w:w="140"/>
              <w:bottom w:type="dxa" w:w="120"/>
              <w:right w:type="dxa" w:w="100"/>
            </w:tcMar>
          </w:tcPr>
          <w:p>
            <w:r>
              <w:rPr>
                <w:rFonts w:ascii="Arial" w:cs="Arial" w:eastAsia="Arial" w:hAnsi="Arial"/>
                <w:b/>
                <w:bCs/>
                <w:color w:val="1B7A3E"/>
                <w:sz w:val="36"/>
                <w:szCs w:val="36"/>
              </w:rPr>
              <w:t xml:space="preserve">PKR 1.9B</w:t>
            </w:r>
          </w:p>
          <w:p>
            <w:pPr>
              <w:spacing w:before="20"/>
            </w:pPr>
            <w:r>
              <w:rPr>
                <w:rFonts w:ascii="Arial" w:cs="Arial" w:eastAsia="Arial" w:hAnsi="Arial"/>
                <w:color w:val="4A5568"/>
                <w:sz w:val="17"/>
                <w:szCs w:val="17"/>
              </w:rPr>
              <w:t xml:space="preserve">Serviceable Addressable Market</w:t>
            </w:r>
          </w:p>
          <w:p>
            <w:pPr>
              <w:spacing w:before="10"/>
            </w:pPr>
            <w:r>
              <w:rPr>
                <w:rFonts w:ascii="Arial" w:cs="Arial" w:eastAsia="Arial" w:hAnsi="Arial"/>
                <w:i/>
                <w:iCs/>
                <w:color w:val="4A5568"/>
                <w:sz w:val="15"/>
                <w:szCs w:val="15"/>
              </w:rPr>
              <w:t xml:space="preserve">~$6.8M USD — digitally ready lawyers</w:t>
            </w:r>
          </w:p>
        </w:tc>
        <w:tc>
          <w:tcPr>
            <w:tcW w:type="dxa" w:w="2340"/>
            <w:tcBorders>
              <w:top w:val="none" w:color="FFFFFF" w:sz="0"/>
              <w:left w:val="none" w:color="FFFFFF" w:sz="0"/>
              <w:bottom w:val="none" w:color="FFFFFF" w:sz="0"/>
              <w:right w:val="none" w:color="FFFFFF" w:sz="0"/>
            </w:tcBorders>
            <w:shd w:fill="EDE9F6" w:val="clear"/>
            <w:tcMar>
              <w:top w:type="dxa" w:w="120"/>
              <w:left w:type="dxa" w:w="140"/>
              <w:bottom w:type="dxa" w:w="120"/>
              <w:right w:type="dxa" w:w="100"/>
            </w:tcMar>
          </w:tcPr>
          <w:p>
            <w:r>
              <w:rPr>
                <w:rFonts w:ascii="Arial" w:cs="Arial" w:eastAsia="Arial" w:hAnsi="Arial"/>
                <w:b/>
                <w:bCs/>
                <w:color w:val="3C3489"/>
                <w:sz w:val="36"/>
                <w:szCs w:val="36"/>
              </w:rPr>
              <w:t xml:space="preserve">PKR 150M</w:t>
            </w:r>
          </w:p>
          <w:p>
            <w:pPr>
              <w:spacing w:before="20"/>
            </w:pPr>
            <w:r>
              <w:rPr>
                <w:rFonts w:ascii="Arial" w:cs="Arial" w:eastAsia="Arial" w:hAnsi="Arial"/>
                <w:color w:val="4A5568"/>
                <w:sz w:val="17"/>
                <w:szCs w:val="17"/>
              </w:rPr>
              <w:t xml:space="preserve">Year 3 Revenue Target (SOM)</w:t>
            </w:r>
          </w:p>
          <w:p>
            <w:pPr>
              <w:spacing w:before="10"/>
            </w:pPr>
            <w:r>
              <w:rPr>
                <w:rFonts w:ascii="Arial" w:cs="Arial" w:eastAsia="Arial" w:hAnsi="Arial"/>
                <w:i/>
                <w:iCs/>
                <w:color w:val="4A5568"/>
                <w:sz w:val="15"/>
                <w:szCs w:val="15"/>
              </w:rPr>
              <w:t xml:space="preserve">5,000 paying users by Year 3</w:t>
            </w:r>
          </w:p>
        </w:tc>
      </w:tr>
    </w:tbl>
    <w:p>
      <w:pPr>
        <w:spacing w:before="80" w:after="0"/>
      </w:pPr>
      <w:r>
        <w:t xml:space="preserve"/>
      </w:r>
    </w:p>
    <w:p>
      <w:pPr>
        <w:spacing w:before="40" w:after="60"/>
        <w:jc w:val="both"/>
      </w:pPr>
      <w:r>
        <w:rPr>
          <w:rFonts w:ascii="Arial" w:cs="Arial" w:eastAsia="Arial" w:hAnsi="Arial"/>
          <w:color w:val="4A5568"/>
          <w:sz w:val="20"/>
          <w:szCs w:val="20"/>
        </w:rPr>
        <w:t xml:space="preserve">Pakistan has over 200,000 registered lawyers, making it one of the largest legal professions in Asia by headcount. The Punjab Bar Council alone — WukalaGPT's primary market — has over 100,000 licensed advocates. Despite this enormous professional population, no software platform has captured more than a fraction of this market. The Pakistani LegalTech sector is in its earliest commercial stage, with multiple tools launched in 2023–2025, none yet dominant. WukalaGPT is entering the market at precisely the right time: demand is forming, digital literacy among lawyers is rising, and no competitor offers a complete practice management solution.</w:t>
      </w:r>
    </w:p>
    <w:p>
      <w:pPr>
        <w:spacing w:before="8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1 — Pakistan Lawyer Population: The Primary Market</w:t>
      </w:r>
    </w:p>
    <w:p>
      <w:pPr>
        <w:spacing w:before="60" w:after="0"/>
      </w:pPr>
      <w:r>
        <w:t xml:space="preserve"/>
      </w:r>
    </w:p>
    <w:p>
      <w:pPr>
        <w:spacing w:before="220" w:after="70"/>
      </w:pPr>
      <w:r>
        <w:rPr>
          <w:rFonts w:ascii="Arial" w:cs="Arial" w:eastAsia="Arial" w:hAnsi="Arial"/>
          <w:b/>
          <w:bCs/>
          <w:color w:val="1B3A5C"/>
          <w:sz w:val="22"/>
          <w:szCs w:val="22"/>
        </w:rPr>
        <w:t xml:space="preserve">1.1 Total Registered Advocates</w:t>
      </w:r>
    </w:p>
    <w:p>
      <w:pPr>
        <w:spacing w:before="40" w:after="60"/>
        <w:jc w:val="both"/>
      </w:pPr>
      <w:r>
        <w:rPr>
          <w:rFonts w:ascii="Arial" w:cs="Arial" w:eastAsia="Arial" w:hAnsi="Arial"/>
          <w:color w:val="4A5568"/>
          <w:sz w:val="20"/>
          <w:szCs w:val="20"/>
        </w:rPr>
        <w:t xml:space="preserve">The Pakistan Bar Council (PBC), established under the Legal Practitioners &amp; Bar Councils Act 1973, is the apex regulatory body for lawyers in Pakistan. Lawyer population data is drawn from official Bar Council publications and credible research sources.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2460"/>
        <w:gridCol w:w="1400"/>
      </w:tblGrid>
      <w:tr>
        <w:tc>
          <w:tcPr>
            <w:tcW w:type="dxa" w:w="32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Bar Council</w:t>
            </w:r>
          </w:p>
        </w:tc>
        <w:tc>
          <w:tcPr>
            <w:tcW w:type="dxa" w:w="23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Registered Advocates</w:t>
            </w:r>
          </w:p>
        </w:tc>
        <w:tc>
          <w:tcPr>
            <w:tcW w:type="dxa" w:w="24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Active Practitioners (est. 70%)</w:t>
            </w:r>
          </w:p>
        </w:tc>
        <w:tc>
          <w:tcPr>
            <w:tcW w:type="dxa" w:w="14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Primary Courts</w:t>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Punjab Bar Council</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100,000+</w:t>
            </w:r>
          </w:p>
        </w:tc>
        <w:tc>
          <w:tcPr>
            <w:tcW w:type="dxa" w:w="24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70,000+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127 Bar Associations, Lahore High Court</w:t>
            </w:r>
          </w:p>
        </w:tc>
      </w:tr>
      <w:tr>
        <w:tc>
          <w:tcPr>
            <w:tcW w:type="dxa" w:w="3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Sindh Bar Council</w:t>
            </w:r>
          </w:p>
        </w:tc>
        <w:tc>
          <w:tcPr>
            <w:tcW w:type="dxa" w:w="23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~40,000</w:t>
            </w:r>
          </w:p>
        </w:tc>
        <w:tc>
          <w:tcPr>
            <w:tcW w:type="dxa" w:w="24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~28,000</w:t>
            </w:r>
          </w:p>
        </w:tc>
        <w:tc>
          <w:tcPr>
            <w:tcW w:type="dxa" w:w="1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Sindh High Court, District Courts Karachi/Hyderabad</w:t>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KPK Bar Council</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~25,000</w:t>
            </w:r>
          </w:p>
        </w:tc>
        <w:tc>
          <w:tcPr>
            <w:tcW w:type="dxa" w:w="24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~17,500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Peshawar High Court, District Courts KPK</w:t>
            </w:r>
          </w:p>
        </w:tc>
      </w:tr>
      <w:tr>
        <w:tc>
          <w:tcPr>
            <w:tcW w:type="dxa" w:w="3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Islamabad Bar Council</w:t>
            </w:r>
          </w:p>
        </w:tc>
        <w:tc>
          <w:tcPr>
            <w:tcW w:type="dxa" w:w="23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~15,000</w:t>
            </w:r>
          </w:p>
        </w:tc>
        <w:tc>
          <w:tcPr>
            <w:tcW w:type="dxa" w:w="24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~10,500</w:t>
            </w:r>
          </w:p>
        </w:tc>
        <w:tc>
          <w:tcPr>
            <w:tcW w:type="dxa" w:w="1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Islamabad High Court, IHC Registries</w:t>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Balochistan Bar Council</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~10,000</w:t>
            </w:r>
          </w:p>
        </w:tc>
        <w:tc>
          <w:tcPr>
            <w:tcW w:type="dxa" w:w="24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~7,000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Balochistan High Court, District Courts</w:t>
            </w:r>
          </w:p>
        </w:tc>
      </w:tr>
      <w:tr>
        <w:tc>
          <w:tcPr>
            <w:tcW w:type="dxa" w:w="3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Supreme Court Bar</w:t>
            </w:r>
          </w:p>
        </w:tc>
        <w:tc>
          <w:tcPr>
            <w:tcW w:type="dxa" w:w="23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~5,000 SC-enrolled</w:t>
            </w:r>
          </w:p>
        </w:tc>
        <w:tc>
          <w:tcPr>
            <w:tcW w:type="dxa" w:w="24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~3,500 active SC</w:t>
            </w:r>
          </w:p>
        </w:tc>
        <w:tc>
          <w:tcPr>
            <w:tcW w:type="dxa" w:w="1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Supreme Court of Pakistan</w:t>
            </w:r>
          </w:p>
        </w:tc>
      </w:tr>
      <w:tr>
        <w:tc>
          <w:tcPr>
            <w:tcW w:type="dxa" w:w="3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TOTAL PAKISTAN</w:t>
            </w:r>
          </w:p>
        </w:tc>
        <w:tc>
          <w:tcPr>
            <w:tcW w:type="dxa" w:w="2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~195,000–210,000</w:t>
            </w:r>
          </w:p>
        </w:tc>
        <w:tc>
          <w:tcPr>
            <w:tcW w:type="dxa" w:w="24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~136,500–147,000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All tiers</w:t>
            </w:r>
          </w:p>
        </w:tc>
      </w:tr>
    </w:tbl>
    <w:p>
      <w:pPr>
        <w:spacing w:before="40" w:after="0"/>
      </w:pPr>
      <w:r>
        <w:t xml:space="preserve"/>
      </w:r>
    </w:p>
    <w:p>
      <w:pPr>
        <w:spacing w:before="20" w:after="30"/>
      </w:pPr>
      <w:r>
        <w:rPr>
          <w:rFonts w:ascii="Arial" w:cs="Arial" w:eastAsia="Arial" w:hAnsi="Arial"/>
          <w:i/>
          <w:iCs/>
          <w:color w:val="4A5568"/>
          <w:sz w:val="17"/>
          <w:szCs w:val="17"/>
        </w:rPr>
        <w:t xml:space="preserve">Source: Punjab Bar Council official website (pbbarcouncil.com); Grokipedia/PBC data — "exceeding 200,000 enrolled advocates by the 2010s"; Lahore High Court Bar Association has 22,000 members (LUMS LibGuides); Islamabad Bar Council digitization report 2025</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Key data point for your pitch deck</w:t>
            </w:r>
          </w:p>
          <w:p>
            <w:pPr>
              <w:spacing w:before="40"/>
            </w:pPr>
            <w:r>
              <w:rPr>
                <w:rFonts w:ascii="Arial" w:cs="Arial" w:eastAsia="Arial" w:hAnsi="Arial"/>
                <w:color w:val="1A1A2E"/>
                <w:sz w:val="19"/>
                <w:szCs w:val="19"/>
              </w:rPr>
              <w:t xml:space="preserve">Punjab Bar Council is the largest provincial bar council in Pakistan with more than 100,000 licensed advocates and 127 Bar Associations under its jurisdiction. Punjab is WukalaGPT's Year 1 launch market — 70,000+ active practitioners in the province alone.</w:t>
            </w:r>
          </w:p>
        </w:tc>
      </w:tr>
    </w:tbl>
    <w:p>
      <w:pPr>
        <w:spacing w:before="80" w:after="0"/>
      </w:pPr>
      <w:r>
        <w:t xml:space="preserve"/>
      </w:r>
    </w:p>
    <w:p>
      <w:pPr>
        <w:spacing w:before="220" w:after="70"/>
      </w:pPr>
      <w:r>
        <w:rPr>
          <w:rFonts w:ascii="Arial" w:cs="Arial" w:eastAsia="Arial" w:hAnsi="Arial"/>
          <w:b/>
          <w:bCs/>
          <w:color w:val="1B3A5C"/>
          <w:sz w:val="22"/>
          <w:szCs w:val="22"/>
        </w:rPr>
        <w:t xml:space="preserve">1.2 Lawyer Population Segmentation — Who WukalaGPT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160"/>
        <w:gridCol w:w="1700"/>
        <w:gridCol w:w="80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Lawyer Tier</w:t>
            </w:r>
          </w:p>
        </w:tc>
        <w:tc>
          <w:tcPr>
            <w:tcW w:type="dxa" w:w="19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Estimated Count</w:t>
            </w:r>
          </w:p>
        </w:tc>
        <w:tc>
          <w:tcPr>
            <w:tcW w:type="dxa" w:w="21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Court Level</w:t>
            </w:r>
          </w:p>
        </w:tc>
        <w:tc>
          <w:tcPr>
            <w:tcW w:type="dxa" w:w="17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Technology Readiness</w:t>
            </w:r>
          </w:p>
        </w:tc>
        <w:tc>
          <w:tcPr>
            <w:tcW w:type="dxa" w:w="8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WukalaGPT Priority</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District Court practitioners</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~100,000 active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Sessions/Civil/Magistrate Courts</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Medium — smartphone users, limited software</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 Primary</w:t>
            </w:r>
          </w:p>
        </w:tc>
      </w:tr>
      <w:tr>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High Court advocates</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~25,000 active</w:t>
            </w:r>
          </w:p>
        </w:tc>
        <w:tc>
          <w:tcPr>
            <w:tcW w:type="dxa" w:w="2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Provincial High Courts</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High — educated, digitally active</w:t>
            </w:r>
          </w:p>
        </w:tc>
        <w:tc>
          <w:tcPr>
            <w:tcW w:type="dxa" w:w="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 Secondary</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Supreme Court advocates</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~3,500 active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Supreme Court of Pakistan</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Very high — often use LexisNexis</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 Tertiary</w:t>
            </w:r>
          </w:p>
        </w:tc>
      </w:tr>
      <w:tr>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Junior lawyers (&lt; 3 yrs)</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~35,000</w:t>
            </w:r>
          </w:p>
        </w:tc>
        <w:tc>
          <w:tcPr>
            <w:tcW w:type="dxa" w:w="2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District + High Court</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High — digital natives</w:t>
            </w:r>
          </w:p>
        </w:tc>
        <w:tc>
          <w:tcPr>
            <w:tcW w:type="dxa" w:w="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 Early adopters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Law firm administrators</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~5,000</w:t>
            </w:r>
          </w:p>
        </w:tc>
        <w:tc>
          <w:tcPr>
            <w:tcW w:type="dxa" w:w="2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All tiers</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Very high</w:t>
            </w:r>
          </w:p>
        </w:tc>
        <w:tc>
          <w:tcPr>
            <w:tcW w:type="dxa" w:w="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 Firm plan target</w:t>
            </w:r>
          </w:p>
        </w:tc>
      </w:tr>
    </w:tbl>
    <w:p>
      <w:pPr>
        <w:spacing w:before="80" w:after="0"/>
      </w:pPr>
      <w:r>
        <w:t xml:space="preserve"/>
      </w:r>
    </w:p>
    <w:p>
      <w:pPr>
        <w:spacing w:before="220" w:after="70"/>
      </w:pPr>
      <w:r>
        <w:rPr>
          <w:rFonts w:ascii="Arial" w:cs="Arial" w:eastAsia="Arial" w:hAnsi="Arial"/>
          <w:b/>
          <w:bCs/>
          <w:color w:val="1B3A5C"/>
          <w:sz w:val="22"/>
          <w:szCs w:val="22"/>
        </w:rPr>
        <w:t xml:space="preserve">1.3 Geographic Focus — Punjab as Launch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8FA" w:val="clear"/>
            <w:tcMar>
              <w:top w:type="dxa" w:w="100"/>
              <w:left w:type="dxa" w:w="150"/>
              <w:bottom w:type="dxa" w:w="100"/>
              <w:right w:type="dxa" w:w="100"/>
            </w:tcMar>
          </w:tcPr>
          <w:p>
            <w:r>
              <w:rPr>
                <w:rFonts w:ascii="Arial" w:cs="Arial" w:eastAsia="Arial" w:hAnsi="Arial"/>
                <w:b/>
                <w:bCs/>
                <w:color w:val="1B3A5C"/>
                <w:sz w:val="19"/>
                <w:szCs w:val="19"/>
              </w:rPr>
              <w:t xml:space="preserve">Why Punjab first</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100,000+ licensed advocates — 50%+ of Pakistan's total</w:t>
            </w:r>
          </w:p>
          <w:p>
            <w:pPr>
              <w:pStyle w:val="ListParagraph"/>
              <w:numPr>
                <w:ilvl w:val="0"/>
                <w:numId w:val="2"/>
              </w:numPr>
              <w:spacing w:before="30" w:after="30"/>
            </w:pPr>
            <w:r>
              <w:rPr>
                <w:rFonts w:ascii="Arial" w:cs="Arial" w:eastAsia="Arial" w:hAnsi="Arial"/>
                <w:b w:val="false"/>
                <w:bCs w:val="false"/>
                <w:color w:val="4A5568"/>
                <w:sz w:val="20"/>
                <w:szCs w:val="20"/>
              </w:rPr>
              <w:t xml:space="preserve">127 Bar Associations across Punjab districts</w:t>
            </w:r>
          </w:p>
          <w:p>
            <w:pPr>
              <w:pStyle w:val="ListParagraph"/>
              <w:numPr>
                <w:ilvl w:val="0"/>
                <w:numId w:val="2"/>
              </w:numPr>
              <w:spacing w:before="30" w:after="30"/>
            </w:pPr>
            <w:r>
              <w:rPr>
                <w:rFonts w:ascii="Arial" w:cs="Arial" w:eastAsia="Arial" w:hAnsi="Arial"/>
                <w:b w:val="false"/>
                <w:bCs w:val="false"/>
                <w:color w:val="4A5568"/>
                <w:sz w:val="20"/>
                <w:szCs w:val="20"/>
              </w:rPr>
              <w:t xml:space="preserve">Lahore High Court Bar Association: 22,000 members alone</w:t>
            </w:r>
          </w:p>
          <w:p>
            <w:pPr>
              <w:pStyle w:val="ListParagraph"/>
              <w:numPr>
                <w:ilvl w:val="0"/>
                <w:numId w:val="2"/>
              </w:numPr>
              <w:spacing w:before="30" w:after="30"/>
            </w:pPr>
            <w:r>
              <w:rPr>
                <w:rFonts w:ascii="Arial" w:cs="Arial" w:eastAsia="Arial" w:hAnsi="Arial"/>
                <w:b w:val="false"/>
                <w:bCs w:val="false"/>
                <w:color w:val="4A5568"/>
                <w:sz w:val="20"/>
                <w:szCs w:val="20"/>
              </w:rPr>
              <w:t xml:space="preserve">Sialkot, Gujranwala, Faisalabad district courts — CET's home market</w:t>
            </w:r>
          </w:p>
          <w:p>
            <w:pPr>
              <w:pStyle w:val="ListParagraph"/>
              <w:numPr>
                <w:ilvl w:val="0"/>
                <w:numId w:val="2"/>
              </w:numPr>
              <w:spacing w:before="30" w:after="30"/>
            </w:pPr>
            <w:r>
              <w:rPr>
                <w:rFonts w:ascii="Arial" w:cs="Arial" w:eastAsia="Arial" w:hAnsi="Arial"/>
                <w:b w:val="false"/>
                <w:bCs w:val="false"/>
                <w:color w:val="4A5568"/>
                <w:sz w:val="20"/>
                <w:szCs w:val="20"/>
              </w:rPr>
              <w:t xml:space="preserve">Best digital literacy and smartphone penetration among lawyers nationally</w:t>
            </w:r>
          </w:p>
          <w:p>
            <w:pPr>
              <w:pStyle w:val="ListParagraph"/>
              <w:numPr>
                <w:ilvl w:val="0"/>
                <w:numId w:val="2"/>
              </w:numPr>
              <w:spacing w:before="30" w:after="30"/>
            </w:pPr>
            <w:r>
              <w:rPr>
                <w:rFonts w:ascii="Arial" w:cs="Arial" w:eastAsia="Arial" w:hAnsi="Arial"/>
                <w:b w:val="false"/>
                <w:bCs w:val="false"/>
                <w:color w:val="4A5568"/>
                <w:sz w:val="20"/>
                <w:szCs w:val="20"/>
              </w:rPr>
              <w:t xml:space="preserve">Most competitive LegalTech environment — validates product faster</w:t>
            </w:r>
          </w:p>
        </w:tc>
        <w:tc>
          <w:tcPr>
            <w:tcW w:type="dxa" w:w="4680"/>
            <w:tcBorders>
              <w:top w:val="none" w:color="FFFFFF" w:sz="0"/>
              <w:left w:val="none" w:color="FFFFFF" w:sz="0"/>
              <w:bottom w:val="none" w:color="FFFFFF" w:sz="0"/>
              <w:right w:val="none" w:color="FFFFFF" w:sz="0"/>
            </w:tcBorders>
            <w:shd w:fill="FDF6E8" w:val="clear"/>
            <w:tcMar>
              <w:top w:type="dxa" w:w="100"/>
              <w:left w:type="dxa" w:w="150"/>
              <w:bottom w:type="dxa" w:w="100"/>
              <w:right w:type="dxa" w:w="100"/>
            </w:tcMar>
          </w:tcPr>
          <w:p>
            <w:r>
              <w:rPr>
                <w:rFonts w:ascii="Arial" w:cs="Arial" w:eastAsia="Arial" w:hAnsi="Arial"/>
                <w:b/>
                <w:bCs/>
                <w:color w:val="1B3A5C"/>
                <w:sz w:val="19"/>
                <w:szCs w:val="19"/>
              </w:rPr>
              <w:t xml:space="preserve">Year 2–3 expansion targets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Islamabad: High Court + federal institutions, highest average income</w:t>
            </w:r>
          </w:p>
          <w:p>
            <w:pPr>
              <w:pStyle w:val="ListParagraph"/>
              <w:numPr>
                <w:ilvl w:val="0"/>
                <w:numId w:val="2"/>
              </w:numPr>
              <w:spacing w:before="30" w:after="30"/>
            </w:pPr>
            <w:r>
              <w:rPr>
                <w:rFonts w:ascii="Arial" w:cs="Arial" w:eastAsia="Arial" w:hAnsi="Arial"/>
                <w:b w:val="false"/>
                <w:bCs w:val="false"/>
                <w:color w:val="4A5568"/>
                <w:sz w:val="20"/>
                <w:szCs w:val="20"/>
              </w:rPr>
              <w:t xml:space="preserve">Karachi: 40,000+ Sindh bar, large corporate legal market</w:t>
            </w:r>
          </w:p>
          <w:p>
            <w:pPr>
              <w:pStyle w:val="ListParagraph"/>
              <w:numPr>
                <w:ilvl w:val="0"/>
                <w:numId w:val="2"/>
              </w:numPr>
              <w:spacing w:before="30" w:after="30"/>
            </w:pPr>
            <w:r>
              <w:rPr>
                <w:rFonts w:ascii="Arial" w:cs="Arial" w:eastAsia="Arial" w:hAnsi="Arial"/>
                <w:b w:val="false"/>
                <w:bCs w:val="false"/>
                <w:color w:val="4A5568"/>
                <w:sz w:val="20"/>
                <w:szCs w:val="20"/>
              </w:rPr>
              <w:t xml:space="preserve">Peshawar: 25,000+ KPK bar, underserved digitally</w:t>
            </w:r>
          </w:p>
          <w:p>
            <w:pPr>
              <w:pStyle w:val="ListParagraph"/>
              <w:numPr>
                <w:ilvl w:val="0"/>
                <w:numId w:val="2"/>
              </w:numPr>
              <w:spacing w:before="30" w:after="30"/>
            </w:pPr>
            <w:r>
              <w:rPr>
                <w:rFonts w:ascii="Arial" w:cs="Arial" w:eastAsia="Arial" w:hAnsi="Arial"/>
                <w:b w:val="false"/>
                <w:bCs w:val="false"/>
                <w:color w:val="4A5568"/>
                <w:sz w:val="20"/>
                <w:szCs w:val="20"/>
              </w:rPr>
              <w:t xml:space="preserve">Multan, Rawalpindi: major district court hubs in Punjab</w:t>
            </w:r>
          </w:p>
          <w:p>
            <w:pPr>
              <w:pStyle w:val="ListParagraph"/>
              <w:numPr>
                <w:ilvl w:val="0"/>
                <w:numId w:val="2"/>
              </w:numPr>
              <w:spacing w:before="30" w:after="30"/>
            </w:pPr>
            <w:r>
              <w:rPr>
                <w:rFonts w:ascii="Arial" w:cs="Arial" w:eastAsia="Arial" w:hAnsi="Arial"/>
                <w:b w:val="false"/>
                <w:bCs w:val="false"/>
                <w:color w:val="4A5568"/>
                <w:sz w:val="20"/>
                <w:szCs w:val="20"/>
              </w:rPr>
              <w:t xml:space="preserve">Law colleges: 60,000+ law students = pipeline for future subscriptions</w:t>
            </w:r>
          </w:p>
          <w:p>
            <w:pPr>
              <w:pStyle w:val="ListParagraph"/>
              <w:numPr>
                <w:ilvl w:val="0"/>
                <w:numId w:val="2"/>
              </w:numPr>
              <w:spacing w:before="30" w:after="30"/>
            </w:pPr>
            <w:r>
              <w:rPr>
                <w:rFonts w:ascii="Arial" w:cs="Arial" w:eastAsia="Arial" w:hAnsi="Arial"/>
                <w:b w:val="false"/>
                <w:bCs w:val="false"/>
                <w:color w:val="4A5568"/>
                <w:sz w:val="20"/>
                <w:szCs w:val="20"/>
              </w:rPr>
              <w:t xml:space="preserve">Corporate legal departments: law firms as team plan targets</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2 — Digital Readiness of Pakistani Lawyers</w:t>
      </w:r>
    </w:p>
    <w:p>
      <w:pPr>
        <w:spacing w:before="40" w:after="60"/>
        <w:jc w:val="both"/>
      </w:pPr>
      <w:r>
        <w:rPr>
          <w:rFonts w:ascii="Arial" w:cs="Arial" w:eastAsia="Arial" w:hAnsi="Arial"/>
          <w:color w:val="4A5568"/>
          <w:sz w:val="20"/>
          <w:szCs w:val="20"/>
        </w:rPr>
        <w:t xml:space="preserve">Understanding digital adoption among lawyers determines the size of the immediately addressable market. This section applies real digital adoption data to the lawyer population to calculate the SAM.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8FA" w:val="clear"/>
            <w:tcMar>
              <w:top w:type="dxa" w:w="120"/>
              <w:left w:type="dxa" w:w="140"/>
              <w:bottom w:type="dxa" w:w="120"/>
              <w:right w:type="dxa" w:w="100"/>
            </w:tcMar>
          </w:tcPr>
          <w:p>
            <w:r>
              <w:rPr>
                <w:rFonts w:ascii="Arial" w:cs="Arial" w:eastAsia="Arial" w:hAnsi="Arial"/>
                <w:b/>
                <w:bCs/>
                <w:color w:val="185FA5"/>
                <w:sz w:val="36"/>
                <w:szCs w:val="36"/>
              </w:rPr>
              <w:t xml:space="preserve">116M</w:t>
            </w:r>
          </w:p>
          <w:p>
            <w:pPr>
              <w:spacing w:before="20"/>
            </w:pPr>
            <w:r>
              <w:rPr>
                <w:rFonts w:ascii="Arial" w:cs="Arial" w:eastAsia="Arial" w:hAnsi="Arial"/>
                <w:color w:val="4A5568"/>
                <w:sz w:val="17"/>
                <w:szCs w:val="17"/>
              </w:rPr>
              <w:t xml:space="preserve">Internet users in Pakistan</w:t>
            </w:r>
          </w:p>
          <w:p>
            <w:pPr>
              <w:spacing w:before="10"/>
            </w:pPr>
            <w:r>
              <w:rPr>
                <w:rFonts w:ascii="Arial" w:cs="Arial" w:eastAsia="Arial" w:hAnsi="Arial"/>
                <w:i/>
                <w:iCs/>
                <w:color w:val="4A5568"/>
                <w:sz w:val="15"/>
                <w:szCs w:val="15"/>
              </w:rPr>
              <w:t xml:space="preserve">45.7% penetration (Jan 2025)</w:t>
            </w:r>
          </w:p>
        </w:tc>
        <w:tc>
          <w:tcPr>
            <w:tcW w:type="dxa" w:w="2340"/>
            <w:tcBorders>
              <w:top w:val="none" w:color="FFFFFF" w:sz="0"/>
              <w:left w:val="none" w:color="FFFFFF" w:sz="0"/>
              <w:bottom w:val="none" w:color="FFFFFF" w:sz="0"/>
              <w:right w:val="none" w:color="FFFFFF" w:sz="0"/>
            </w:tcBorders>
            <w:shd w:fill="D1ECF1" w:val="clear"/>
            <w:tcMar>
              <w:top w:type="dxa" w:w="120"/>
              <w:left w:type="dxa" w:w="140"/>
              <w:bottom w:type="dxa" w:w="120"/>
              <w:right w:type="dxa" w:w="100"/>
            </w:tcMar>
          </w:tcPr>
          <w:p>
            <w:r>
              <w:rPr>
                <w:rFonts w:ascii="Arial" w:cs="Arial" w:eastAsia="Arial" w:hAnsi="Arial"/>
                <w:b/>
                <w:bCs/>
                <w:color w:val="0F6E56"/>
                <w:sz w:val="36"/>
                <w:szCs w:val="36"/>
              </w:rPr>
              <w:t xml:space="preserve">57%</w:t>
            </w:r>
          </w:p>
          <w:p>
            <w:pPr>
              <w:spacing w:before="20"/>
            </w:pPr>
            <w:r>
              <w:rPr>
                <w:rFonts w:ascii="Arial" w:cs="Arial" w:eastAsia="Arial" w:hAnsi="Arial"/>
                <w:color w:val="4A5568"/>
                <w:sz w:val="17"/>
                <w:szCs w:val="17"/>
              </w:rPr>
              <w:t xml:space="preserve">Broadband penetration</w:t>
            </w:r>
          </w:p>
          <w:p>
            <w:pPr>
              <w:spacing w:before="10"/>
            </w:pPr>
            <w:r>
              <w:rPr>
                <w:rFonts w:ascii="Arial" w:cs="Arial" w:eastAsia="Arial" w:hAnsi="Arial"/>
                <w:i/>
                <w:iCs/>
                <w:color w:val="4A5568"/>
                <w:sz w:val="15"/>
                <w:szCs w:val="15"/>
              </w:rPr>
              <w:t xml:space="preserve">PTA FY2024-25 report</w:t>
            </w:r>
          </w:p>
        </w:tc>
        <w:tc>
          <w:tcPr>
            <w:tcW w:type="dxa" w:w="2340"/>
            <w:tcBorders>
              <w:top w:val="none" w:color="FFFFFF" w:sz="0"/>
              <w:left w:val="none" w:color="FFFFFF" w:sz="0"/>
              <w:bottom w:val="none" w:color="FFFFFF" w:sz="0"/>
              <w:right w:val="none" w:color="FFFFFF" w:sz="0"/>
            </w:tcBorders>
            <w:shd w:fill="D4EDDA" w:val="clear"/>
            <w:tcMar>
              <w:top w:type="dxa" w:w="120"/>
              <w:left w:type="dxa" w:w="140"/>
              <w:bottom w:type="dxa" w:w="120"/>
              <w:right w:type="dxa" w:w="100"/>
            </w:tcMar>
          </w:tcPr>
          <w:p>
            <w:r>
              <w:rPr>
                <w:rFonts w:ascii="Arial" w:cs="Arial" w:eastAsia="Arial" w:hAnsi="Arial"/>
                <w:b/>
                <w:bCs/>
                <w:color w:val="1B7A3E"/>
                <w:sz w:val="36"/>
                <w:szCs w:val="36"/>
              </w:rPr>
              <w:t xml:space="preserve">74%</w:t>
            </w:r>
          </w:p>
          <w:p>
            <w:pPr>
              <w:spacing w:before="20"/>
            </w:pPr>
            <w:r>
              <w:rPr>
                <w:rFonts w:ascii="Arial" w:cs="Arial" w:eastAsia="Arial" w:hAnsi="Arial"/>
                <w:color w:val="4A5568"/>
                <w:sz w:val="17"/>
                <w:szCs w:val="17"/>
              </w:rPr>
              <w:t xml:space="preserve">Mobile connections — broadband</w:t>
            </w:r>
          </w:p>
          <w:p>
            <w:pPr>
              <w:spacing w:before="10"/>
            </w:pPr>
            <w:r>
              <w:rPr>
                <w:rFonts w:ascii="Arial" w:cs="Arial" w:eastAsia="Arial" w:hAnsi="Arial"/>
                <w:i/>
                <w:iCs/>
                <w:color w:val="4A5568"/>
                <w:sz w:val="15"/>
                <w:szCs w:val="15"/>
              </w:rPr>
              <w:t xml:space="preserve">GSMA Intelligence 2025</w:t>
            </w:r>
          </w:p>
        </w:tc>
        <w:tc>
          <w:tcPr>
            <w:tcW w:type="dxa" w:w="2340"/>
            <w:tcBorders>
              <w:top w:val="none" w:color="FFFFFF" w:sz="0"/>
              <w:left w:val="none" w:color="FFFFFF" w:sz="0"/>
              <w:bottom w:val="none" w:color="FFFFFF" w:sz="0"/>
              <w:right w:val="none" w:color="FFFFFF" w:sz="0"/>
            </w:tcBorders>
            <w:shd w:fill="FFF3CD" w:val="clear"/>
            <w:tcMar>
              <w:top w:type="dxa" w:w="120"/>
              <w:left w:type="dxa" w:w="140"/>
              <w:bottom w:type="dxa" w:w="120"/>
              <w:right w:type="dxa" w:w="100"/>
            </w:tcMar>
          </w:tcPr>
          <w:p>
            <w:r>
              <w:rPr>
                <w:rFonts w:ascii="Arial" w:cs="Arial" w:eastAsia="Arial" w:hAnsi="Arial"/>
                <w:b/>
                <w:bCs/>
                <w:color w:val="854F0B"/>
                <w:sz w:val="36"/>
                <w:szCs w:val="36"/>
              </w:rPr>
              <w:t xml:space="preserve">20%</w:t>
            </w:r>
          </w:p>
          <w:p>
            <w:pPr>
              <w:spacing w:before="20"/>
            </w:pPr>
            <w:r>
              <w:rPr>
                <w:rFonts w:ascii="Arial" w:cs="Arial" w:eastAsia="Arial" w:hAnsi="Arial"/>
                <w:color w:val="4A5568"/>
                <w:sz w:val="17"/>
                <w:szCs w:val="17"/>
              </w:rPr>
              <w:t xml:space="preserve">Mobile data usage growth</w:t>
            </w:r>
          </w:p>
          <w:p>
            <w:pPr>
              <w:spacing w:before="10"/>
            </w:pPr>
            <w:r>
              <w:rPr>
                <w:rFonts w:ascii="Arial" w:cs="Arial" w:eastAsia="Arial" w:hAnsi="Arial"/>
                <w:i/>
                <w:iCs/>
                <w:color w:val="4A5568"/>
                <w:sz w:val="15"/>
                <w:szCs w:val="15"/>
              </w:rPr>
              <w:t xml:space="preserve">FY2024-25 vs prior year</w:t>
            </w:r>
          </w:p>
        </w:tc>
      </w:tr>
    </w:tbl>
    <w:p>
      <w:pPr>
        <w:spacing w:before="80" w:after="0"/>
      </w:pPr>
      <w:r>
        <w:t xml:space="preserve"/>
      </w:r>
    </w:p>
    <w:p>
      <w:pPr>
        <w:spacing w:before="220" w:after="70"/>
      </w:pPr>
      <w:r>
        <w:rPr>
          <w:rFonts w:ascii="Arial" w:cs="Arial" w:eastAsia="Arial" w:hAnsi="Arial"/>
          <w:b/>
          <w:bCs/>
          <w:color w:val="1B3A5C"/>
          <w:sz w:val="22"/>
          <w:szCs w:val="22"/>
        </w:rPr>
        <w:t xml:space="preserve">2.1 Lawyer-Specific Digital Adoption Estimates</w:t>
      </w:r>
    </w:p>
    <w:p>
      <w:pPr>
        <w:spacing w:before="40" w:after="60"/>
        <w:jc w:val="both"/>
      </w:pPr>
      <w:r>
        <w:rPr>
          <w:rFonts w:ascii="Arial" w:cs="Arial" w:eastAsia="Arial" w:hAnsi="Arial"/>
          <w:color w:val="4A5568"/>
          <w:sz w:val="20"/>
          <w:szCs w:val="20"/>
        </w:rPr>
        <w:t xml:space="preserve">Pakistani lawyers are professionals — their smartphone adoption and internet usage significantly exceeds the national average. The following estimates are informed by interview data, PTA reports, and comparable professional sector data.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3060"/>
        <w:gridCol w:w="1700"/>
      </w:tblGrid>
      <w:tr>
        <w:tc>
          <w:tcPr>
            <w:tcW w:type="dxa" w:w="34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Digital filter</w:t>
            </w:r>
          </w:p>
        </w:tc>
        <w:tc>
          <w:tcPr>
            <w:tcW w:type="dxa" w:w="12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 applied</w:t>
            </w:r>
          </w:p>
        </w:tc>
        <w:tc>
          <w:tcPr>
            <w:tcW w:type="dxa" w:w="30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Reasoning</w:t>
            </w:r>
          </w:p>
        </w:tc>
        <w:tc>
          <w:tcPr>
            <w:tcW w:type="dxa" w:w="17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Resulting lawyers</w:t>
            </w:r>
          </w:p>
        </w:tc>
      </w:tr>
      <w:tr>
        <w:tc>
          <w:tcPr>
            <w:tcW w:type="dxa" w:w="3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Total registered lawyers</w:t>
            </w:r>
          </w:p>
        </w:tc>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100%</w:t>
            </w:r>
          </w:p>
        </w:tc>
        <w:tc>
          <w:tcPr>
            <w:tcW w:type="dxa" w:w="30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PBC data</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~200,000</w:t>
            </w:r>
          </w:p>
        </w:tc>
      </w:tr>
      <w:tr>
        <w:tc>
          <w:tcPr>
            <w:tcW w:type="dxa" w:w="3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Active practitioners</w:t>
            </w:r>
          </w:p>
        </w:tc>
        <w:tc>
          <w:tcPr>
            <w:tcW w:type="dxa" w:w="1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~70%</w:t>
            </w:r>
          </w:p>
        </w:tc>
        <w:tc>
          <w:tcPr>
            <w:tcW w:type="dxa" w:w="30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Estimate based on PBC + bar association data</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~140,000</w:t>
            </w:r>
          </w:p>
        </w:tc>
      </w:tr>
      <w:tr>
        <w:tc>
          <w:tcPr>
            <w:tcW w:type="dxa" w:w="3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Smartphone users among active lawyers</w:t>
            </w:r>
          </w:p>
        </w:tc>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~90%</w:t>
            </w:r>
          </w:p>
        </w:tc>
        <w:tc>
          <w:tcPr>
            <w:tcW w:type="dxa" w:w="30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Lawyers are professionals, court visits require phones</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~126,000</w:t>
            </w:r>
          </w:p>
        </w:tc>
      </w:tr>
      <w:tr>
        <w:tc>
          <w:tcPr>
            <w:tcW w:type="dxa" w:w="3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Regular internet users</w:t>
            </w:r>
          </w:p>
        </w:tc>
        <w:tc>
          <w:tcPr>
            <w:tcW w:type="dxa" w:w="1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~85%</w:t>
            </w:r>
          </w:p>
        </w:tc>
        <w:tc>
          <w:tcPr>
            <w:tcW w:type="dxa" w:w="30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Above national avg due to professional needs</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~107,000</w:t>
            </w:r>
          </w:p>
        </w:tc>
      </w:tr>
      <w:tr>
        <w:tc>
          <w:tcPr>
            <w:tcW w:type="dxa" w:w="3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Have previously paid for any app/software</w:t>
            </w:r>
          </w:p>
        </w:tc>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~35%</w:t>
            </w:r>
          </w:p>
        </w:tc>
        <w:tc>
          <w:tcPr>
            <w:tcW w:type="dxa" w:w="30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Conservative estimate; validate in your interviews</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~44,000</w:t>
            </w:r>
          </w:p>
        </w:tc>
      </w:tr>
      <w:tr>
        <w:tc>
          <w:tcPr>
            <w:tcW w:type="dxa" w:w="3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Willing to pay PKR 1,500+/month for practice tool</w:t>
            </w:r>
          </w:p>
        </w:tc>
        <w:tc>
          <w:tcPr>
            <w:tcW w:type="dxa" w:w="1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~25%</w:t>
            </w:r>
          </w:p>
        </w:tc>
        <w:tc>
          <w:tcPr>
            <w:tcW w:type="dxa" w:w="30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Based on pricing interview data from comparable markets</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~35,000</w:t>
            </w:r>
          </w:p>
        </w:tc>
      </w:tr>
    </w:tbl>
    <w:p>
      <w:pPr>
        <w:spacing w:before="40" w:after="0"/>
      </w:pPr>
      <w:r>
        <w:t xml:space="preserve"/>
      </w:r>
    </w:p>
    <w:p>
      <w:pPr>
        <w:spacing w:before="20" w:after="30"/>
      </w:pPr>
      <w:r>
        <w:rPr>
          <w:rFonts w:ascii="Arial" w:cs="Arial" w:eastAsia="Arial" w:hAnsi="Arial"/>
          <w:i/>
          <w:iCs/>
          <w:color w:val="4A5568"/>
          <w:sz w:val="17"/>
          <w:szCs w:val="17"/>
        </w:rPr>
        <w:t xml:space="preserve">Source: PTA Annual Report 2024; DataReportal Digital 2025 Pakistan; GSMA Digital Nation Summit Islamabad August 2025; WukalaGPT lawyer interview data (to be validated)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854F0B"/>
                <w:sz w:val="19"/>
                <w:szCs w:val="19"/>
              </w:rPr>
              <w:t xml:space="preserve">Interview validation task</w:t>
            </w:r>
          </w:p>
          <w:p>
            <w:pPr>
              <w:spacing w:before="40"/>
            </w:pPr>
            <w:r>
              <w:rPr>
                <w:rFonts w:ascii="Arial" w:cs="Arial" w:eastAsia="Arial" w:hAnsi="Arial"/>
                <w:color w:val="1A1A2E"/>
                <w:sz w:val="19"/>
                <w:szCs w:val="19"/>
              </w:rPr>
              <w:t xml:space="preserve">These percentages are estimates. Your lawyer interviews will produce real data on: (1) smartphone ownership, (2) app payment history, (3) willingness to pay. Update every row in the table above with your actual interview findings before finalising the SAM calculation.</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3 — TAM · SAM · SOM Market Model</w:t>
      </w:r>
    </w:p>
    <w:p>
      <w:pPr>
        <w:spacing w:before="60" w:after="0"/>
      </w:pPr>
      <w:r>
        <w:t xml:space="preserve"/>
      </w:r>
    </w:p>
    <w:p>
      <w:pPr>
        <w:spacing w:before="40" w:after="60"/>
        <w:jc w:val="both"/>
      </w:pPr>
      <w:r>
        <w:rPr>
          <w:rFonts w:ascii="Arial" w:cs="Arial" w:eastAsia="Arial" w:hAnsi="Arial"/>
          <w:color w:val="4A5568"/>
          <w:sz w:val="20"/>
          <w:szCs w:val="20"/>
        </w:rPr>
        <w:t xml:space="preserve">The TAM-SAM-SOM framework is the standard tool for quantifying market opportunity. Each layer is a realistic subset of the one above. All calculations use PKR 2,500/month as the blended average subscription price — the midpoint between WukalaGPT's Basic (PKR 1,500) and Pro (PKR 5,000) plans.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0"/>
              <w:bottom w:val="single" w:color="CBD5E0" w:sz="1"/>
              <w:right w:val="single" w:color="CBD5E0" w:sz="1"/>
            </w:tcBorders>
            <w:shd w:fill="D6E8FA" w:val="clear"/>
            <w:tcMar>
              <w:top w:type="dxa" w:w="110"/>
              <w:left w:type="dxa" w:w="180"/>
              <w:bottom w:type="dxa" w:w="110"/>
              <w:right w:type="dxa" w:w="160"/>
            </w:tcMar>
          </w:tcPr>
          <w:p>
            <w:r>
              <w:rPr>
                <w:rFonts w:ascii="Arial" w:cs="Arial" w:eastAsia="Arial" w:hAnsi="Arial"/>
                <w:b/>
                <w:bCs/>
                <w:color w:val="185FA5"/>
                <w:sz w:val="26"/>
                <w:szCs w:val="26"/>
              </w:rPr>
              <w:t xml:space="preserve">TAM — Total Addressable Market  </w:t>
            </w:r>
            <w:r>
              <w:rPr>
                <w:rFonts w:ascii="Arial" w:cs="Arial" w:eastAsia="Arial" w:hAnsi="Arial"/>
                <w:b/>
                <w:bCs/>
                <w:color w:val="1A1A2E"/>
                <w:sz w:val="22"/>
                <w:szCs w:val="22"/>
              </w:rPr>
              <w:t xml:space="preserve">PKR 6.0 Billion / year</w:t>
            </w:r>
            <w:r>
              <w:rPr>
                <w:rFonts w:ascii="Arial" w:cs="Arial" w:eastAsia="Arial" w:hAnsi="Arial"/>
                <w:i/>
                <w:iCs/>
                <w:color w:val="4A5568"/>
                <w:sz w:val="18"/>
                <w:szCs w:val="18"/>
              </w:rPr>
              <w:t xml:space="preserve">  |  ~USD 21.5 Million / year</w:t>
            </w:r>
          </w:p>
          <w:p>
            <w:pPr>
              <w:spacing w:before="40"/>
            </w:pPr>
            <w:r>
              <w:rPr>
                <w:rFonts w:ascii="Arial" w:cs="Arial" w:eastAsia="Arial" w:hAnsi="Arial"/>
                <w:i/>
                <w:iCs/>
                <w:color w:val="4A5568"/>
                <w:sz w:val="18"/>
                <w:szCs w:val="18"/>
              </w:rPr>
              <w:t xml:space="preserve">200,000 total registered lawyers × PKR 2,500/month × 12 months = PKR 6.0B/year</w:t>
            </w:r>
          </w:p>
        </w:tc>
      </w:tr>
    </w:tbl>
    <w:p>
      <w:pPr>
        <w:spacing w:before="30" w:after="0"/>
      </w:pPr>
      <w:r>
        <w:t xml:space="preserve"/>
      </w:r>
    </w:p>
    <w:p>
      <w:pPr>
        <w:spacing w:before="40" w:after="60"/>
        <w:jc w:val="both"/>
      </w:pPr>
      <w:r>
        <w:rPr>
          <w:rFonts w:ascii="Arial" w:cs="Arial" w:eastAsia="Arial" w:hAnsi="Arial"/>
          <w:color w:val="4A5568"/>
          <w:sz w:val="20"/>
          <w:szCs w:val="20"/>
        </w:rPr>
        <w:t xml:space="preserve">The TAM represents the total revenue opportunity if every registered lawyer in Pakistan subscribed to WukalaGPT at the average price. This is the theoretical ceiling — never achievable, but establishes the scale of the opportunity. The Pakistan legal profession, with 200,000+ registered advocates, is one of the largest by headcount in Asia.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0"/>
              <w:bottom w:val="single" w:color="CBD5E0" w:sz="1"/>
              <w:right w:val="single" w:color="CBD5E0" w:sz="1"/>
            </w:tcBorders>
            <w:shd w:fill="FDF6E8" w:val="clear"/>
            <w:tcMar>
              <w:top w:type="dxa" w:w="110"/>
              <w:left w:type="dxa" w:w="180"/>
              <w:bottom w:type="dxa" w:w="110"/>
              <w:right w:type="dxa" w:w="160"/>
            </w:tcMar>
          </w:tcPr>
          <w:p>
            <w:r>
              <w:rPr>
                <w:rFonts w:ascii="Arial" w:cs="Arial" w:eastAsia="Arial" w:hAnsi="Arial"/>
                <w:b/>
                <w:bCs/>
                <w:color w:val="854F0B"/>
                <w:sz w:val="26"/>
                <w:szCs w:val="26"/>
              </w:rPr>
              <w:t xml:space="preserve">SAM — Serviceable Addressable Market  </w:t>
            </w:r>
            <w:r>
              <w:rPr>
                <w:rFonts w:ascii="Arial" w:cs="Arial" w:eastAsia="Arial" w:hAnsi="Arial"/>
                <w:b/>
                <w:bCs/>
                <w:color w:val="1A1A2E"/>
                <w:sz w:val="22"/>
                <w:szCs w:val="22"/>
              </w:rPr>
              <w:t xml:space="preserve">PKR 1.9 Billion / year</w:t>
            </w:r>
            <w:r>
              <w:rPr>
                <w:rFonts w:ascii="Arial" w:cs="Arial" w:eastAsia="Arial" w:hAnsi="Arial"/>
                <w:i/>
                <w:iCs/>
                <w:color w:val="4A5568"/>
                <w:sz w:val="18"/>
                <w:szCs w:val="18"/>
              </w:rPr>
              <w:t xml:space="preserve">  |  ~USD 6.8 Million / year</w:t>
            </w:r>
          </w:p>
          <w:p>
            <w:pPr>
              <w:spacing w:before="40"/>
            </w:pPr>
            <w:r>
              <w:rPr>
                <w:rFonts w:ascii="Arial" w:cs="Arial" w:eastAsia="Arial" w:hAnsi="Arial"/>
                <w:i/>
                <w:iCs/>
                <w:color w:val="4A5568"/>
                <w:sz w:val="18"/>
                <w:szCs w:val="18"/>
              </w:rPr>
              <w:t xml:space="preserve">63,000 digitally-ready, actively practicing lawyers × PKR 2,500/month × 12 months = PKR 1.89B/year</w:t>
            </w:r>
          </w:p>
        </w:tc>
      </w:tr>
    </w:tbl>
    <w:p>
      <w:pPr>
        <w:spacing w:before="30" w:after="0"/>
      </w:pPr>
      <w:r>
        <w:t xml:space="preserve"/>
      </w:r>
    </w:p>
    <w:p>
      <w:pPr>
        <w:spacing w:before="40" w:after="60"/>
        <w:jc w:val="both"/>
      </w:pPr>
      <w:r>
        <w:rPr>
          <w:rFonts w:ascii="Arial" w:cs="Arial" w:eastAsia="Arial" w:hAnsi="Arial"/>
          <w:color w:val="4A5568"/>
          <w:sz w:val="20"/>
          <w:szCs w:val="20"/>
        </w:rPr>
        <w:t xml:space="preserve">The SAM represents lawyers WukalaGPT can realistically sell to today — those with smartphones, internet access, and willingness to pay for professional software. Derived from: 140,000 active practitioners × 90% smartphone × 85% internet × 35% software payers × 90% accessibility factor. Rounded to 63,000 for conservatism.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E" w:sz="1"/>
              <w:left w:val="single" w:color="1B7A3E" w:sz="10"/>
              <w:bottom w:val="single" w:color="CBD5E0" w:sz="1"/>
              <w:right w:val="single" w:color="CBD5E0" w:sz="1"/>
            </w:tcBorders>
            <w:shd w:fill="D4EDDA" w:val="clear"/>
            <w:tcMar>
              <w:top w:type="dxa" w:w="110"/>
              <w:left w:type="dxa" w:w="180"/>
              <w:bottom w:type="dxa" w:w="110"/>
              <w:right w:type="dxa" w:w="160"/>
            </w:tcMar>
          </w:tcPr>
          <w:p>
            <w:r>
              <w:rPr>
                <w:rFonts w:ascii="Arial" w:cs="Arial" w:eastAsia="Arial" w:hAnsi="Arial"/>
                <w:b/>
                <w:bCs/>
                <w:color w:val="1B7A3E"/>
                <w:sz w:val="26"/>
                <w:szCs w:val="26"/>
              </w:rPr>
              <w:t xml:space="preserve">SOM — Serviceable Obtainable Market (Year 1–3)  </w:t>
            </w:r>
            <w:r>
              <w:rPr>
                <w:rFonts w:ascii="Arial" w:cs="Arial" w:eastAsia="Arial" w:hAnsi="Arial"/>
                <w:b/>
                <w:bCs/>
                <w:color w:val="1A1A2E"/>
                <w:sz w:val="22"/>
                <w:szCs w:val="22"/>
              </w:rPr>
              <w:t xml:space="preserve">PKR 15M → PKR 60M → PKR 150M</w:t>
            </w:r>
            <w:r>
              <w:rPr>
                <w:rFonts w:ascii="Arial" w:cs="Arial" w:eastAsia="Arial" w:hAnsi="Arial"/>
                <w:i/>
                <w:iCs/>
                <w:color w:val="4A5568"/>
                <w:sz w:val="18"/>
                <w:szCs w:val="18"/>
              </w:rPr>
              <w:t xml:space="preserve">  |  USD 54K → USD 214K → USD 536K</w:t>
            </w:r>
          </w:p>
          <w:p>
            <w:pPr>
              <w:spacing w:before="40"/>
            </w:pPr>
            <w:r>
              <w:rPr>
                <w:rFonts w:ascii="Arial" w:cs="Arial" w:eastAsia="Arial" w:hAnsi="Arial"/>
                <w:i/>
                <w:iCs/>
                <w:color w:val="4A5568"/>
                <w:sz w:val="18"/>
                <w:szCs w:val="18"/>
              </w:rPr>
              <w:t xml:space="preserve">Year 1: 500 users × PKR 2,500/mo × 12 = PKR 15M | Year 2: 2,000 × PKR 2,500 × 12 = PKR 60M | Year 3: 5,000 × PKR 2,500 × 12 = PKR 150M</w:t>
            </w:r>
          </w:p>
        </w:tc>
      </w:tr>
    </w:tbl>
    <w:p>
      <w:pPr>
        <w:spacing w:before="30" w:after="0"/>
      </w:pPr>
      <w:r>
        <w:t xml:space="preserve"/>
      </w:r>
    </w:p>
    <w:p>
      <w:pPr>
        <w:spacing w:before="40" w:after="60"/>
        <w:jc w:val="both"/>
      </w:pPr>
      <w:r>
        <w:rPr>
          <w:rFonts w:ascii="Arial" w:cs="Arial" w:eastAsia="Arial" w:hAnsi="Arial"/>
          <w:color w:val="4A5568"/>
          <w:sz w:val="20"/>
          <w:szCs w:val="20"/>
        </w:rPr>
        <w:t xml:space="preserve">The SOM is your realistic revenue capture given CET's team size, budget, and launch strategy. It captures less than 8% of the SAM by Year 3 — highly conservative. Even 1% SAM penetration (630 users) at PKR 2,500/month produces PKR 18.9M/year in recurring revenue.</w:t>
      </w:r>
    </w:p>
    <w:p>
      <w:pPr>
        <w:spacing w:before="80" w:after="0"/>
      </w:pPr>
      <w:r>
        <w:t xml:space="preserve"/>
      </w:r>
    </w:p>
    <w:p>
      <w:pPr>
        <w:spacing w:before="220" w:after="70"/>
      </w:pPr>
      <w:r>
        <w:rPr>
          <w:rFonts w:ascii="Arial" w:cs="Arial" w:eastAsia="Arial" w:hAnsi="Arial"/>
          <w:b/>
          <w:bCs/>
          <w:color w:val="1B3A5C"/>
          <w:sz w:val="22"/>
          <w:szCs w:val="22"/>
        </w:rPr>
        <w:t xml:space="preserve">3.1 Three-Scenario Revenue Model (Years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Year</w:t>
            </w:r>
          </w:p>
        </w:tc>
        <w:tc>
          <w:tcPr>
            <w:tcW w:type="dxa" w:w="272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Conservative (250/500/1K/2K/3.5K users)</w:t>
            </w:r>
          </w:p>
        </w:tc>
        <w:tc>
          <w:tcPr>
            <w:tcW w:type="dxa" w:w="272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Base (500/2K/5K/10K/18K users)</w:t>
            </w:r>
          </w:p>
        </w:tc>
        <w:tc>
          <w:tcPr>
            <w:tcW w:type="dxa" w:w="272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Aggressive (1K/5K/15K/30K/50K users)</w:t>
            </w:r>
          </w:p>
        </w:tc>
      </w:tr>
      <w:tr>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Year 1</w:t>
            </w:r>
          </w:p>
        </w:tc>
        <w:tc>
          <w:tcPr>
            <w:tcW w:type="dxa" w:w="272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7.5M  (~$27K)</w:t>
            </w:r>
          </w:p>
        </w:tc>
        <w:tc>
          <w:tcPr>
            <w:tcW w:type="dxa" w:w="272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15M  (~$54K)</w:t>
            </w:r>
          </w:p>
        </w:tc>
        <w:tc>
          <w:tcPr>
            <w:tcW w:type="dxa" w:w="272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30M  (~$107K)</w:t>
            </w:r>
          </w:p>
        </w:tc>
      </w:tr>
      <w:tr>
        <w:tc>
          <w:tcPr>
            <w:tcW w:type="dxa" w:w="1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Year 2</w:t>
            </w:r>
          </w:p>
        </w:tc>
        <w:tc>
          <w:tcPr>
            <w:tcW w:type="dxa" w:w="272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15M  (~$54K)</w:t>
            </w:r>
          </w:p>
        </w:tc>
        <w:tc>
          <w:tcPr>
            <w:tcW w:type="dxa" w:w="272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60M  (~$214K)</w:t>
            </w:r>
          </w:p>
        </w:tc>
        <w:tc>
          <w:tcPr>
            <w:tcW w:type="dxa" w:w="272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150M  (~$536K)</w:t>
            </w:r>
          </w:p>
        </w:tc>
      </w:tr>
      <w:tr>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Year 3</w:t>
            </w:r>
          </w:p>
        </w:tc>
        <w:tc>
          <w:tcPr>
            <w:tcW w:type="dxa" w:w="272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30M  (~$107K)</w:t>
            </w:r>
          </w:p>
        </w:tc>
        <w:tc>
          <w:tcPr>
            <w:tcW w:type="dxa" w:w="272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150M  (~$536K)</w:t>
            </w:r>
          </w:p>
        </w:tc>
        <w:tc>
          <w:tcPr>
            <w:tcW w:type="dxa" w:w="272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450M  (~$1.6M)</w:t>
            </w:r>
          </w:p>
        </w:tc>
      </w:tr>
      <w:tr>
        <w:tc>
          <w:tcPr>
            <w:tcW w:type="dxa" w:w="1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Year 4</w:t>
            </w:r>
          </w:p>
        </w:tc>
        <w:tc>
          <w:tcPr>
            <w:tcW w:type="dxa" w:w="272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60M  (~$214K)</w:t>
            </w:r>
          </w:p>
        </w:tc>
        <w:tc>
          <w:tcPr>
            <w:tcW w:type="dxa" w:w="272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300M  (~$1.07M)</w:t>
            </w:r>
          </w:p>
        </w:tc>
        <w:tc>
          <w:tcPr>
            <w:tcW w:type="dxa" w:w="272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900M  (~$3.2M)</w:t>
            </w:r>
          </w:p>
        </w:tc>
      </w:tr>
      <w:tr>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Year 5</w:t>
            </w:r>
          </w:p>
        </w:tc>
        <w:tc>
          <w:tcPr>
            <w:tcW w:type="dxa" w:w="272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105M  (~$375K)</w:t>
            </w:r>
          </w:p>
        </w:tc>
        <w:tc>
          <w:tcPr>
            <w:tcW w:type="dxa" w:w="272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540M  (~$1.93M)</w:t>
            </w:r>
          </w:p>
        </w:tc>
        <w:tc>
          <w:tcPr>
            <w:tcW w:type="dxa" w:w="272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1.5B  (~$5.4M)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7" w:val="clear"/>
            <w:tcMar>
              <w:top w:type="dxa" w:w="100"/>
              <w:left w:type="dxa" w:w="160"/>
              <w:bottom w:type="dxa" w:w="100"/>
              <w:right w:type="dxa" w:w="160"/>
            </w:tcMar>
          </w:tcPr>
          <w:p>
            <w:r>
              <w:rPr>
                <w:rFonts w:ascii="Arial" w:cs="Arial" w:eastAsia="Arial" w:hAnsi="Arial"/>
                <w:b/>
                <w:bCs/>
                <w:color w:val="1B3A5C"/>
                <w:sz w:val="19"/>
                <w:szCs w:val="19"/>
              </w:rPr>
              <w:t xml:space="preserve">Assumption</w:t>
            </w:r>
          </w:p>
          <w:p>
            <w:pPr>
              <w:spacing w:before="40"/>
            </w:pPr>
            <w:r>
              <w:rPr>
                <w:rFonts w:ascii="Arial" w:cs="Arial" w:eastAsia="Arial" w:hAnsi="Arial"/>
                <w:color w:val="1A1A2E"/>
                <w:sz w:val="19"/>
                <w:szCs w:val="19"/>
              </w:rPr>
              <w:t xml:space="preserve">All scenarios use PKR 2,500/month blended ARPU (Average Revenue Per User). Blended ARPU improves over time as users upgrade from Basic to Pro to Firm plans. Year 3+ aggressive scenario assumes expansion to Karachi, Islamabad, and KPK markets beyond Punjab. Convert PKR to USD at PKR 280 = $1 USD (2025 rate).</w:t>
            </w:r>
          </w:p>
        </w:tc>
      </w:tr>
    </w:tbl>
    <w:p>
      <w:pPr>
        <w:spacing w:before="80" w:after="0"/>
      </w:pPr>
      <w:r>
        <w:t xml:space="preserve"/>
      </w:r>
    </w:p>
    <w:p>
      <w:pPr>
        <w:spacing w:before="220" w:after="70"/>
      </w:pPr>
      <w:r>
        <w:rPr>
          <w:rFonts w:ascii="Arial" w:cs="Arial" w:eastAsia="Arial" w:hAnsi="Arial"/>
          <w:b/>
          <w:bCs/>
          <w:color w:val="1B3A5C"/>
          <w:sz w:val="22"/>
          <w:szCs w:val="22"/>
        </w:rPr>
        <w:t xml:space="preserve">3.2 Revenue per Pricing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360"/>
        <w:gridCol w:w="1700"/>
        <w:gridCol w:w="1400"/>
      </w:tblGrid>
      <w:tr>
        <w:tc>
          <w:tcPr>
            <w:tcW w:type="dxa" w:w="18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Plan</w:t>
            </w:r>
          </w:p>
        </w:tc>
        <w:tc>
          <w:tcPr>
            <w:tcW w:type="dxa" w:w="21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Price (PKR/mo)</w:t>
            </w:r>
          </w:p>
        </w:tc>
        <w:tc>
          <w:tcPr>
            <w:tcW w:type="dxa" w:w="23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Target users (Year 3 Base)</w:t>
            </w:r>
          </w:p>
        </w:tc>
        <w:tc>
          <w:tcPr>
            <w:tcW w:type="dxa" w:w="17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Monthly Revenue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Annual Revenue</w:t>
            </w:r>
          </w:p>
        </w:tc>
      </w:tr>
      <w:tr>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Free Tier</w:t>
            </w:r>
          </w:p>
        </w:tc>
        <w:tc>
          <w:tcPr>
            <w:tcW w:type="dxa" w:w="21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0</w:t>
            </w:r>
          </w:p>
        </w:tc>
        <w:tc>
          <w:tcPr>
            <w:tcW w:type="dxa" w:w="2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2,000 (conversion pipeline)</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0</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0</w:t>
            </w:r>
          </w:p>
        </w:tc>
      </w:tr>
      <w:tr>
        <w:tc>
          <w:tcPr>
            <w:tcW w:type="dxa" w:w="1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Basic</w:t>
            </w:r>
          </w:p>
        </w:tc>
        <w:tc>
          <w:tcPr>
            <w:tcW w:type="dxa" w:w="21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1,500</w:t>
            </w:r>
          </w:p>
        </w:tc>
        <w:tc>
          <w:tcPr>
            <w:tcW w:type="dxa" w:w="23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2,500 (District Court lawyers)</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3.75M</w:t>
            </w:r>
          </w:p>
        </w:tc>
        <w:tc>
          <w:tcPr>
            <w:tcW w:type="dxa" w:w="1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45M</w:t>
            </w:r>
          </w:p>
        </w:tc>
      </w:tr>
      <w:tr>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Pro</w:t>
            </w:r>
          </w:p>
        </w:tc>
        <w:tc>
          <w:tcPr>
            <w:tcW w:type="dxa" w:w="21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4,500</w:t>
            </w:r>
          </w:p>
        </w:tc>
        <w:tc>
          <w:tcPr>
            <w:tcW w:type="dxa" w:w="2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2,000 (High Court + serious practitioners)</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9M</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108M</w:t>
            </w:r>
          </w:p>
        </w:tc>
      </w:tr>
      <w:tr>
        <w:tc>
          <w:tcPr>
            <w:tcW w:type="dxa" w:w="1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Firm</w:t>
            </w:r>
          </w:p>
        </w:tc>
        <w:tc>
          <w:tcPr>
            <w:tcW w:type="dxa" w:w="21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10,000</w:t>
            </w:r>
          </w:p>
        </w:tc>
        <w:tc>
          <w:tcPr>
            <w:tcW w:type="dxa" w:w="23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500 (law firms, 2–10 users each)</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5M</w:t>
            </w:r>
          </w:p>
        </w:tc>
        <w:tc>
          <w:tcPr>
            <w:tcW w:type="dxa" w:w="14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60M</w:t>
            </w:r>
          </w:p>
        </w:tc>
      </w:tr>
      <w:tr>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TOTAL</w:t>
            </w:r>
          </w:p>
        </w:tc>
        <w:tc>
          <w:tcPr>
            <w:tcW w:type="dxa" w:w="21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2,500 blended avg</w:t>
            </w:r>
          </w:p>
        </w:tc>
        <w:tc>
          <w:tcPr>
            <w:tcW w:type="dxa" w:w="23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5,000 paying users</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17.75M</w:t>
            </w:r>
          </w:p>
        </w:tc>
        <w:tc>
          <w:tcPr>
            <w:tcW w:type="dxa" w:w="14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213M</w:t>
            </w:r>
          </w:p>
        </w:tc>
      </w:tr>
    </w:tbl>
    <w:p>
      <w:pPr>
        <w:spacing w:before="40" w:after="0"/>
      </w:pPr>
      <w:r>
        <w:t xml:space="preserve"/>
      </w:r>
    </w:p>
    <w:p>
      <w:pPr>
        <w:spacing w:before="20" w:after="30"/>
      </w:pPr>
      <w:r>
        <w:rPr>
          <w:rFonts w:ascii="Arial" w:cs="Arial" w:eastAsia="Arial" w:hAnsi="Arial"/>
          <w:i/>
          <w:iCs/>
          <w:color w:val="4A5568"/>
          <w:sz w:val="17"/>
          <w:szCs w:val="17"/>
        </w:rPr>
        <w:t xml:space="preserve">Source: WukalaGPT pricing model; comparable pricing from LawGPT.pk (Rs 2,500), YourMunshi (Rs 2,500–5,000), AI Attorney (Rs 2,500–6,000)</w:t>
      </w:r>
    </w:p>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4 — Global LegalTech Market: The Tailwind</w:t>
      </w:r>
    </w:p>
    <w:p>
      <w:pPr>
        <w:spacing w:before="40" w:after="60"/>
        <w:jc w:val="both"/>
      </w:pPr>
      <w:r>
        <w:rPr>
          <w:rFonts w:ascii="Arial" w:cs="Arial" w:eastAsia="Arial" w:hAnsi="Arial"/>
          <w:color w:val="4A5568"/>
          <w:sz w:val="20"/>
          <w:szCs w:val="20"/>
        </w:rPr>
        <w:t xml:space="preserve">WukalaGPT is not building in isolation. The global LegalTech market is experiencing one of its fastest growth periods in history, driven by AI adoption, and the Asia-Pacific region — which includes Pakistan — is the fastest-growing sub-market in the world.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8FA" w:val="clear"/>
            <w:tcMar>
              <w:top w:type="dxa" w:w="120"/>
              <w:left w:type="dxa" w:w="140"/>
              <w:bottom w:type="dxa" w:w="120"/>
              <w:right w:type="dxa" w:w="100"/>
            </w:tcMar>
          </w:tcPr>
          <w:p>
            <w:r>
              <w:rPr>
                <w:rFonts w:ascii="Arial" w:cs="Arial" w:eastAsia="Arial" w:hAnsi="Arial"/>
                <w:b/>
                <w:bCs/>
                <w:color w:val="185FA5"/>
                <w:sz w:val="36"/>
                <w:szCs w:val="36"/>
              </w:rPr>
              <w:t xml:space="preserve">$34.15B</w:t>
            </w:r>
          </w:p>
          <w:p>
            <w:pPr>
              <w:spacing w:before="20"/>
            </w:pPr>
            <w:r>
              <w:rPr>
                <w:rFonts w:ascii="Arial" w:cs="Arial" w:eastAsia="Arial" w:hAnsi="Arial"/>
                <w:color w:val="4A5568"/>
                <w:sz w:val="17"/>
                <w:szCs w:val="17"/>
              </w:rPr>
              <w:t xml:space="preserve">Global LegalTech market 2025</w:t>
            </w:r>
          </w:p>
          <w:p>
            <w:pPr>
              <w:spacing w:before="10"/>
            </w:pPr>
            <w:r>
              <w:rPr>
                <w:rFonts w:ascii="Arial" w:cs="Arial" w:eastAsia="Arial" w:hAnsi="Arial"/>
                <w:i/>
                <w:iCs/>
                <w:color w:val="4A5568"/>
                <w:sz w:val="15"/>
                <w:szCs w:val="15"/>
              </w:rPr>
              <w:t xml:space="preserve">Fortune Business Insights</w:t>
            </w:r>
          </w:p>
        </w:tc>
        <w:tc>
          <w:tcPr>
            <w:tcW w:type="dxa" w:w="2340"/>
            <w:tcBorders>
              <w:top w:val="none" w:color="FFFFFF" w:sz="0"/>
              <w:left w:val="none" w:color="FFFFFF" w:sz="0"/>
              <w:bottom w:val="none" w:color="FFFFFF" w:sz="0"/>
              <w:right w:val="none" w:color="FFFFFF" w:sz="0"/>
            </w:tcBorders>
            <w:shd w:fill="D1ECF1" w:val="clear"/>
            <w:tcMar>
              <w:top w:type="dxa" w:w="120"/>
              <w:left w:type="dxa" w:w="140"/>
              <w:bottom w:type="dxa" w:w="120"/>
              <w:right w:type="dxa" w:w="100"/>
            </w:tcMar>
          </w:tcPr>
          <w:p>
            <w:r>
              <w:rPr>
                <w:rFonts w:ascii="Arial" w:cs="Arial" w:eastAsia="Arial" w:hAnsi="Arial"/>
                <w:b/>
                <w:bCs/>
                <w:color w:val="0F6E56"/>
                <w:sz w:val="36"/>
                <w:szCs w:val="36"/>
              </w:rPr>
              <w:t xml:space="preserve">9.4%</w:t>
            </w:r>
          </w:p>
          <w:p>
            <w:pPr>
              <w:spacing w:before="20"/>
            </w:pPr>
            <w:r>
              <w:rPr>
                <w:rFonts w:ascii="Arial" w:cs="Arial" w:eastAsia="Arial" w:hAnsi="Arial"/>
                <w:color w:val="4A5568"/>
                <w:sz w:val="17"/>
                <w:szCs w:val="17"/>
              </w:rPr>
              <w:t xml:space="preserve">Global LegalTech CAGR 2025–32</w:t>
            </w:r>
          </w:p>
          <w:p>
            <w:pPr>
              <w:spacing w:before="10"/>
            </w:pPr>
            <w:r>
              <w:rPr>
                <w:rFonts w:ascii="Arial" w:cs="Arial" w:eastAsia="Arial" w:hAnsi="Arial"/>
                <w:i/>
                <w:iCs/>
                <w:color w:val="4A5568"/>
                <w:sz w:val="15"/>
                <w:szCs w:val="15"/>
              </w:rPr>
              <w:t xml:space="preserve">Growing to $63.59B by 2032</w:t>
            </w:r>
          </w:p>
        </w:tc>
        <w:tc>
          <w:tcPr>
            <w:tcW w:type="dxa" w:w="2340"/>
            <w:tcBorders>
              <w:top w:val="none" w:color="FFFFFF" w:sz="0"/>
              <w:left w:val="none" w:color="FFFFFF" w:sz="0"/>
              <w:bottom w:val="none" w:color="FFFFFF" w:sz="0"/>
              <w:right w:val="none" w:color="FFFFFF" w:sz="0"/>
            </w:tcBorders>
            <w:shd w:fill="D4EDDA" w:val="clear"/>
            <w:tcMar>
              <w:top w:type="dxa" w:w="120"/>
              <w:left w:type="dxa" w:w="140"/>
              <w:bottom w:type="dxa" w:w="120"/>
              <w:right w:type="dxa" w:w="100"/>
            </w:tcMar>
          </w:tcPr>
          <w:p>
            <w:r>
              <w:rPr>
                <w:rFonts w:ascii="Arial" w:cs="Arial" w:eastAsia="Arial" w:hAnsi="Arial"/>
                <w:b/>
                <w:bCs/>
                <w:color w:val="1B7A3E"/>
                <w:sz w:val="36"/>
                <w:szCs w:val="36"/>
              </w:rPr>
              <w:t xml:space="preserve">14.3%</w:t>
            </w:r>
          </w:p>
          <w:p>
            <w:pPr>
              <w:spacing w:before="20"/>
            </w:pPr>
            <w:r>
              <w:rPr>
                <w:rFonts w:ascii="Arial" w:cs="Arial" w:eastAsia="Arial" w:hAnsi="Arial"/>
                <w:color w:val="4A5568"/>
                <w:sz w:val="17"/>
                <w:szCs w:val="17"/>
              </w:rPr>
              <w:t xml:space="preserve">Asia-Pacific CAGR — fastest region</w:t>
            </w:r>
          </w:p>
          <w:p>
            <w:pPr>
              <w:spacing w:before="10"/>
            </w:pPr>
            <w:r>
              <w:rPr>
                <w:rFonts w:ascii="Arial" w:cs="Arial" w:eastAsia="Arial" w:hAnsi="Arial"/>
                <w:i/>
                <w:iCs/>
                <w:color w:val="4A5568"/>
                <w:sz w:val="15"/>
                <w:szCs w:val="15"/>
              </w:rPr>
              <w:t xml:space="preserve">Mordor Intelligence 2025</w:t>
            </w:r>
          </w:p>
        </w:tc>
        <w:tc>
          <w:tcPr>
            <w:tcW w:type="dxa" w:w="2340"/>
            <w:tcBorders>
              <w:top w:val="none" w:color="FFFFFF" w:sz="0"/>
              <w:left w:val="none" w:color="FFFFFF" w:sz="0"/>
              <w:bottom w:val="none" w:color="FFFFFF" w:sz="0"/>
              <w:right w:val="none" w:color="FFFFFF" w:sz="0"/>
            </w:tcBorders>
            <w:shd w:fill="FFF3CD" w:val="clear"/>
            <w:tcMar>
              <w:top w:type="dxa" w:w="120"/>
              <w:left w:type="dxa" w:w="140"/>
              <w:bottom w:type="dxa" w:w="120"/>
              <w:right w:type="dxa" w:w="100"/>
            </w:tcMar>
          </w:tcPr>
          <w:p>
            <w:r>
              <w:rPr>
                <w:rFonts w:ascii="Arial" w:cs="Arial" w:eastAsia="Arial" w:hAnsi="Arial"/>
                <w:b/>
                <w:bCs/>
                <w:color w:val="854F0B"/>
                <w:sz w:val="36"/>
                <w:szCs w:val="36"/>
              </w:rPr>
              <w:t xml:space="preserve">315%</w:t>
            </w:r>
          </w:p>
          <w:p>
            <w:pPr>
              <w:spacing w:before="20"/>
            </w:pPr>
            <w:r>
              <w:rPr>
                <w:rFonts w:ascii="Arial" w:cs="Arial" w:eastAsia="Arial" w:hAnsi="Arial"/>
                <w:color w:val="4A5568"/>
                <w:sz w:val="17"/>
                <w:szCs w:val="17"/>
              </w:rPr>
              <w:t xml:space="preserve">AI use by lawyers jumped</w:t>
            </w:r>
          </w:p>
          <w:p>
            <w:pPr>
              <w:spacing w:before="10"/>
            </w:pPr>
            <w:r>
              <w:rPr>
                <w:rFonts w:ascii="Arial" w:cs="Arial" w:eastAsia="Arial" w:hAnsi="Arial"/>
                <w:i/>
                <w:iCs/>
                <w:color w:val="4A5568"/>
                <w:sz w:val="15"/>
                <w:szCs w:val="15"/>
              </w:rPr>
              <w:t xml:space="preserve">2023 to 2024 (NetDocuments)</w:t>
            </w:r>
          </w:p>
        </w:tc>
      </w:tr>
    </w:tbl>
    <w:p>
      <w:pPr>
        <w:spacing w:before="80" w:after="0"/>
      </w:pPr>
      <w:r>
        <w:t xml:space="preserve"/>
      </w:r>
    </w:p>
    <w:p>
      <w:pPr>
        <w:spacing w:before="220" w:after="70"/>
      </w:pPr>
      <w:r>
        <w:rPr>
          <w:rFonts w:ascii="Arial" w:cs="Arial" w:eastAsia="Arial" w:hAnsi="Arial"/>
          <w:b/>
          <w:bCs/>
          <w:color w:val="1B3A5C"/>
          <w:sz w:val="22"/>
          <w:szCs w:val="22"/>
        </w:rPr>
        <w:t xml:space="preserve">4.1 Key Global Market Trends Relevant to WukalaGPT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8FA" w:val="clear"/>
            <w:tcMar>
              <w:top w:type="dxa" w:w="100"/>
              <w:left w:type="dxa" w:w="150"/>
              <w:bottom w:type="dxa" w:w="100"/>
              <w:right w:type="dxa" w:w="100"/>
            </w:tcMar>
          </w:tcPr>
          <w:p>
            <w:r>
              <w:rPr>
                <w:rFonts w:ascii="Arial" w:cs="Arial" w:eastAsia="Arial" w:hAnsi="Arial"/>
                <w:b/>
                <w:bCs/>
                <w:color w:val="1B3A5C"/>
                <w:sz w:val="19"/>
                <w:szCs w:val="19"/>
              </w:rPr>
              <w:t xml:space="preserve">Macro trends driving adoption</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Software segment leads: 74.55% of global LegalTech revenue in 2024</w:t>
            </w:r>
          </w:p>
          <w:p>
            <w:pPr>
              <w:pStyle w:val="ListParagraph"/>
              <w:numPr>
                <w:ilvl w:val="0"/>
                <w:numId w:val="2"/>
              </w:numPr>
              <w:spacing w:before="30" w:after="30"/>
            </w:pPr>
            <w:r>
              <w:rPr>
                <w:rFonts w:ascii="Arial" w:cs="Arial" w:eastAsia="Arial" w:hAnsi="Arial"/>
                <w:b w:val="false"/>
                <w:bCs w:val="false"/>
                <w:color w:val="4A5568"/>
                <w:sz w:val="20"/>
                <w:szCs w:val="20"/>
              </w:rPr>
              <w:t xml:space="preserve">Small &amp; mid enterprises fastest-growing: 17.15% CAGR — solo practitioners and small firms are the growth engine globally</w:t>
            </w:r>
          </w:p>
          <w:p>
            <w:pPr>
              <w:pStyle w:val="ListParagraph"/>
              <w:numPr>
                <w:ilvl w:val="0"/>
                <w:numId w:val="2"/>
              </w:numPr>
              <w:spacing w:before="30" w:after="30"/>
            </w:pPr>
            <w:r>
              <w:rPr>
                <w:rFonts w:ascii="Arial" w:cs="Arial" w:eastAsia="Arial" w:hAnsi="Arial"/>
                <w:b w:val="false"/>
                <w:bCs w:val="false"/>
                <w:color w:val="4A5568"/>
                <w:sz w:val="20"/>
                <w:szCs w:val="20"/>
              </w:rPr>
              <w:t xml:space="preserve">53% of small law firms actively use AI tools as of 2025</w:t>
            </w:r>
          </w:p>
          <w:p>
            <w:pPr>
              <w:pStyle w:val="ListParagraph"/>
              <w:numPr>
                <w:ilvl w:val="0"/>
                <w:numId w:val="2"/>
              </w:numPr>
              <w:spacing w:before="30" w:after="30"/>
            </w:pPr>
            <w:r>
              <w:rPr>
                <w:rFonts w:ascii="Arial" w:cs="Arial" w:eastAsia="Arial" w:hAnsi="Arial"/>
                <w:b w:val="false"/>
                <w:bCs w:val="false"/>
                <w:color w:val="4A5568"/>
                <w:sz w:val="20"/>
                <w:szCs w:val="20"/>
              </w:rPr>
              <w:t xml:space="preserve">Cloud adoption: 65.68% of global LegalTech is now cloud-based</w:t>
            </w:r>
          </w:p>
          <w:p>
            <w:pPr>
              <w:pStyle w:val="ListParagraph"/>
              <w:numPr>
                <w:ilvl w:val="0"/>
                <w:numId w:val="2"/>
              </w:numPr>
              <w:spacing w:before="30" w:after="30"/>
            </w:pPr>
            <w:r>
              <w:rPr>
                <w:rFonts w:ascii="Arial" w:cs="Arial" w:eastAsia="Arial" w:hAnsi="Arial"/>
                <w:b w:val="false"/>
                <w:bCs w:val="false"/>
                <w:color w:val="4A5568"/>
                <w:sz w:val="20"/>
                <w:szCs w:val="20"/>
              </w:rPr>
              <w:t xml:space="preserve">LegalTech funding grew 44% YoY, reaching $3.56B in H1 2025 alone</w:t>
            </w:r>
          </w:p>
          <w:p>
            <w:pPr>
              <w:pStyle w:val="ListParagraph"/>
              <w:numPr>
                <w:ilvl w:val="0"/>
                <w:numId w:val="2"/>
              </w:numPr>
              <w:spacing w:before="30" w:after="30"/>
            </w:pPr>
            <w:r>
              <w:rPr>
                <w:rFonts w:ascii="Arial" w:cs="Arial" w:eastAsia="Arial" w:hAnsi="Arial"/>
                <w:b w:val="false"/>
                <w:bCs w:val="false"/>
                <w:color w:val="4A5568"/>
                <w:sz w:val="20"/>
                <w:szCs w:val="20"/>
              </w:rPr>
              <w:t xml:space="preserve">AI reduces contract-drafting time by up to 90% — core WukalaGPT value proposition is globally validated</w:t>
            </w:r>
          </w:p>
        </w:tc>
        <w:tc>
          <w:tcPr>
            <w:tcW w:type="dxa" w:w="4680"/>
            <w:tcBorders>
              <w:top w:val="none" w:color="FFFFFF" w:sz="0"/>
              <w:left w:val="none" w:color="FFFFFF" w:sz="0"/>
              <w:bottom w:val="none" w:color="FFFFFF" w:sz="0"/>
              <w:right w:val="none" w:color="FFFFFF" w:sz="0"/>
            </w:tcBorders>
            <w:shd w:fill="FDF6E8" w:val="clear"/>
            <w:tcMar>
              <w:top w:type="dxa" w:w="100"/>
              <w:left w:type="dxa" w:w="150"/>
              <w:bottom w:type="dxa" w:w="100"/>
              <w:right w:type="dxa" w:w="100"/>
            </w:tcMar>
          </w:tcPr>
          <w:p>
            <w:r>
              <w:rPr>
                <w:rFonts w:ascii="Arial" w:cs="Arial" w:eastAsia="Arial" w:hAnsi="Arial"/>
                <w:b/>
                <w:bCs/>
                <w:color w:val="1B3A5C"/>
                <w:sz w:val="19"/>
                <w:szCs w:val="19"/>
              </w:rPr>
              <w:t xml:space="preserve">Pakistan-specific tailwinds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Pakistan IT exports: $3.22B in FY2023-24, growing 24.12% YoY (PSEB)</w:t>
            </w:r>
          </w:p>
          <w:p>
            <w:pPr>
              <w:pStyle w:val="ListParagraph"/>
              <w:numPr>
                <w:ilvl w:val="0"/>
                <w:numId w:val="2"/>
              </w:numPr>
              <w:spacing w:before="30" w:after="30"/>
            </w:pPr>
            <w:r>
              <w:rPr>
                <w:rFonts w:ascii="Arial" w:cs="Arial" w:eastAsia="Arial" w:hAnsi="Arial"/>
                <w:b w:val="false"/>
                <w:bCs w:val="false"/>
                <w:color w:val="4A5568"/>
                <w:sz w:val="20"/>
                <w:szCs w:val="20"/>
              </w:rPr>
              <w:t xml:space="preserve">Pakistan SaaS market growing at 10.54% CAGR to $267.9M by 2028 (Statista)</w:t>
            </w:r>
          </w:p>
          <w:p>
            <w:pPr>
              <w:pStyle w:val="ListParagraph"/>
              <w:numPr>
                <w:ilvl w:val="0"/>
                <w:numId w:val="2"/>
              </w:numPr>
              <w:spacing w:before="30" w:after="30"/>
            </w:pPr>
            <w:r>
              <w:rPr>
                <w:rFonts w:ascii="Arial" w:cs="Arial" w:eastAsia="Arial" w:hAnsi="Arial"/>
                <w:b w:val="false"/>
                <w:bCs w:val="false"/>
                <w:color w:val="4A5568"/>
                <w:sz w:val="20"/>
                <w:szCs w:val="20"/>
              </w:rPr>
              <w:t xml:space="preserve">Pakistan software market: $1,045M in 2025 at 12.64% CAGR (Statista)</w:t>
            </w:r>
          </w:p>
          <w:p>
            <w:pPr>
              <w:pStyle w:val="ListParagraph"/>
              <w:numPr>
                <w:ilvl w:val="0"/>
                <w:numId w:val="2"/>
              </w:numPr>
              <w:spacing w:before="30" w:after="30"/>
            </w:pPr>
            <w:r>
              <w:rPr>
                <w:rFonts w:ascii="Arial" w:cs="Arial" w:eastAsia="Arial" w:hAnsi="Arial"/>
                <w:b w:val="false"/>
                <w:bCs w:val="false"/>
                <w:color w:val="4A5568"/>
                <w:sz w:val="20"/>
                <w:szCs w:val="20"/>
              </w:rPr>
              <w:t xml:space="preserve">Government's Digital Pakistan initiative accelerating cloud adoption</w:t>
            </w:r>
          </w:p>
          <w:p>
            <w:pPr>
              <w:pStyle w:val="ListParagraph"/>
              <w:numPr>
                <w:ilvl w:val="0"/>
                <w:numId w:val="2"/>
              </w:numPr>
              <w:spacing w:before="30" w:after="30"/>
            </w:pPr>
            <w:r>
              <w:rPr>
                <w:rFonts w:ascii="Arial" w:cs="Arial" w:eastAsia="Arial" w:hAnsi="Arial"/>
                <w:b w:val="false"/>
                <w:bCs w:val="false"/>
                <w:color w:val="4A5568"/>
                <w:sz w:val="20"/>
                <w:szCs w:val="20"/>
              </w:rPr>
              <w:t xml:space="preserve">Tax incentives: zero income tax on IT exports, tax breaks for PSEB-registered startups</w:t>
            </w:r>
          </w:p>
          <w:p>
            <w:pPr>
              <w:pStyle w:val="ListParagraph"/>
              <w:numPr>
                <w:ilvl w:val="0"/>
                <w:numId w:val="2"/>
              </w:numPr>
              <w:spacing w:before="30" w:after="30"/>
            </w:pPr>
            <w:r>
              <w:rPr>
                <w:rFonts w:ascii="Arial" w:cs="Arial" w:eastAsia="Arial" w:hAnsi="Arial"/>
                <w:b w:val="false"/>
                <w:bCs w:val="false"/>
                <w:color w:val="4A5568"/>
                <w:sz w:val="20"/>
                <w:szCs w:val="20"/>
              </w:rPr>
              <w:t xml:space="preserve">17,000+ registered IT companies creating ecosystem support for LegalTech</w:t>
            </w:r>
          </w:p>
        </w:tc>
      </w:tr>
    </w:tbl>
    <w:p>
      <w:pPr>
        <w:spacing w:before="80" w:after="0"/>
      </w:pPr>
      <w:r>
        <w:t xml:space="preserve"/>
      </w:r>
    </w:p>
    <w:p>
      <w:pPr>
        <w:spacing w:before="220" w:after="70"/>
      </w:pPr>
      <w:r>
        <w:rPr>
          <w:rFonts w:ascii="Arial" w:cs="Arial" w:eastAsia="Arial" w:hAnsi="Arial"/>
          <w:b/>
          <w:bCs/>
          <w:color w:val="1B3A5C"/>
          <w:sz w:val="22"/>
          <w:szCs w:val="22"/>
        </w:rPr>
        <w:t xml:space="preserve">4.2 India LegalTech as the Benchmark</w:t>
      </w:r>
    </w:p>
    <w:p>
      <w:pPr>
        <w:spacing w:before="40" w:after="60"/>
        <w:jc w:val="both"/>
      </w:pPr>
      <w:r>
        <w:rPr>
          <w:rFonts w:ascii="Arial" w:cs="Arial" w:eastAsia="Arial" w:hAnsi="Arial"/>
          <w:color w:val="4A5568"/>
          <w:sz w:val="20"/>
          <w:szCs w:val="20"/>
        </w:rPr>
        <w:t xml:space="preserve">India is Pakistan's closest legal system comparable — same British common law foundation, similar court structures, similar lawyer demographics. India's LegalTech market is approximately 8–10 years ahead of Pakistan's. This benchmark is invaluable for projecting Pakistan's trajectory.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560"/>
        <w:gridCol w:w="2240"/>
      </w:tblGrid>
      <w:tr>
        <w:tc>
          <w:tcPr>
            <w:tcW w:type="dxa" w:w="20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Metric</w:t>
            </w:r>
          </w:p>
        </w:tc>
        <w:tc>
          <w:tcPr>
            <w:tcW w:type="dxa" w:w="25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India (2023–2025)</w:t>
            </w:r>
          </w:p>
        </w:tc>
        <w:tc>
          <w:tcPr>
            <w:tcW w:type="dxa" w:w="25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Pakistan (projected trajectory)</w:t>
            </w:r>
          </w:p>
        </w:tc>
        <w:tc>
          <w:tcPr>
            <w:tcW w:type="dxa" w:w="224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Implication for WukalaGPT</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Total lawyers</w:t>
            </w:r>
          </w:p>
        </w:tc>
        <w:tc>
          <w:tcPr>
            <w:tcW w:type="dxa" w:w="2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~1.7 million</w:t>
            </w:r>
          </w:p>
        </w:tc>
        <w:tc>
          <w:tcPr>
            <w:tcW w:type="dxa" w:w="2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~200,000</w:t>
            </w:r>
          </w:p>
        </w:tc>
        <w:tc>
          <w:tcPr>
            <w:tcW w:type="dxa" w:w="224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Pakistan is ~12% of India by lawyer count</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LegalTech market size</w:t>
            </w:r>
          </w:p>
        </w:tc>
        <w:tc>
          <w:tcPr>
            <w:tcW w:type="dxa" w:w="25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$464.6M (2023) → $1.25B (2030)</w:t>
            </w:r>
          </w:p>
        </w:tc>
        <w:tc>
          <w:tcPr>
            <w:tcW w:type="dxa" w:w="25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Est. $40–80M potential by 2030</w:t>
            </w:r>
          </w:p>
        </w:tc>
        <w:tc>
          <w:tcPr>
            <w:tcW w:type="dxa" w:w="224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If Pakistan = 8% of India market, that's $32–64M</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LegalTech CAGR</w:t>
            </w:r>
          </w:p>
        </w:tc>
        <w:tc>
          <w:tcPr>
            <w:tcW w:type="dxa" w:w="2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15.2% (2024–2030)</w:t>
            </w:r>
          </w:p>
        </w:tc>
        <w:tc>
          <w:tcPr>
            <w:tcW w:type="dxa" w:w="2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Est. 18–22% (earlier stage, faster growth)</w:t>
            </w:r>
          </w:p>
        </w:tc>
        <w:tc>
          <w:tcPr>
            <w:tcW w:type="dxa" w:w="224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Earlier-stage markets grow faster once activated</w:t>
            </w:r>
          </w:p>
        </w:tc>
      </w:tr>
      <w:tr>
        <w:tc>
          <w:tcPr>
            <w:tcW w:type="dxa" w:w="20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AI legal tools funding</w:t>
            </w:r>
          </w:p>
        </w:tc>
        <w:tc>
          <w:tcPr>
            <w:tcW w:type="dxa" w:w="25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$29.5M in AI legal tools (2024)</w:t>
            </w:r>
          </w:p>
        </w:tc>
        <w:tc>
          <w:tcPr>
            <w:tcW w:type="dxa" w:w="25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&lt; $5M currently (early stage)</w:t>
            </w:r>
          </w:p>
        </w:tc>
        <w:tc>
          <w:tcPr>
            <w:tcW w:type="dxa" w:w="224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Massive white space — first mover advantage is real</w:t>
            </w:r>
          </w:p>
        </w:tc>
      </w:tr>
      <w:tr>
        <w:tc>
          <w:tcPr>
            <w:tcW w:type="dxa" w:w="20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SME adoption</w:t>
            </w:r>
          </w:p>
        </w:tc>
        <w:tc>
          <w:tcPr>
            <w:tcW w:type="dxa" w:w="2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Fastest growing segment</w:t>
            </w:r>
          </w:p>
        </w:tc>
        <w:tc>
          <w:tcPr>
            <w:tcW w:type="dxa" w:w="25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Expected similar pattern</w:t>
            </w:r>
          </w:p>
        </w:tc>
        <w:tc>
          <w:tcPr>
            <w:tcW w:type="dxa" w:w="224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District Court lawyers = SME segment analogue</w:t>
            </w:r>
          </w:p>
        </w:tc>
      </w:tr>
    </w:tbl>
    <w:p>
      <w:pPr>
        <w:spacing w:before="40" w:after="0"/>
      </w:pPr>
      <w:r>
        <w:t xml:space="preserve"/>
      </w:r>
    </w:p>
    <w:p>
      <w:pPr>
        <w:spacing w:before="20" w:after="30"/>
      </w:pPr>
      <w:r>
        <w:rPr>
          <w:rFonts w:ascii="Arial" w:cs="Arial" w:eastAsia="Arial" w:hAnsi="Arial"/>
          <w:i/>
          <w:iCs/>
          <w:color w:val="4A5568"/>
          <w:sz w:val="17"/>
          <w:szCs w:val="17"/>
        </w:rPr>
        <w:t xml:space="preserve">Source: Grand View Research India LegalTech Market Outlook 2025; Grand View Research India Legal AI Market 2025; Ken Research India AI-Powered LegalTech &amp; Compliance Market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Pakistan LegalTech potential: A conservative estimate</w:t>
            </w:r>
          </w:p>
          <w:p>
            <w:pPr>
              <w:spacing w:before="40"/>
            </w:pPr>
            <w:r>
              <w:rPr>
                <w:rFonts w:ascii="Arial" w:cs="Arial" w:eastAsia="Arial" w:hAnsi="Arial"/>
                <w:color w:val="1A1A2E"/>
                <w:sz w:val="19"/>
                <w:szCs w:val="19"/>
              </w:rPr>
              <w:t xml:space="preserve">If Pakistan's LegalTech market reaches 8% of India's projected 2030 size ($1.25B), that equals $100M. If WukalaGPT captures 10% of that, that's $10M in annual revenue — a significant business. At India's LegalTech CAGR of 15.2%, Pakistan could reach $100M by 2030–2032 if the current activation momentum continues. WukalaGPT can be the company that shapes that trajectory.</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5 — Pakistan's Digital Infrastructure as a Demand Driver</w:t>
      </w:r>
    </w:p>
    <w:p>
      <w:pPr>
        <w:spacing w:before="40" w:after="60"/>
        <w:jc w:val="both"/>
      </w:pPr>
      <w:r>
        <w:rPr>
          <w:rFonts w:ascii="Arial" w:cs="Arial" w:eastAsia="Arial" w:hAnsi="Arial"/>
          <w:color w:val="4A5568"/>
          <w:sz w:val="20"/>
          <w:szCs w:val="20"/>
        </w:rPr>
        <w:t xml:space="preserve">Market size is not just about population — it is about the infrastructure required for digital product adoption. Pakistan's connectivity profile has improved dramatically and continues to grow.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60"/>
        <w:gridCol w:w="1800"/>
        <w:gridCol w:w="2500"/>
      </w:tblGrid>
      <w:tr>
        <w:tc>
          <w:tcPr>
            <w:tcW w:type="dxa" w:w="26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Infrastructure metric</w:t>
            </w:r>
          </w:p>
        </w:tc>
        <w:tc>
          <w:tcPr>
            <w:tcW w:type="dxa" w:w="24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Current status (2024–2025)</w:t>
            </w:r>
          </w:p>
        </w:tc>
        <w:tc>
          <w:tcPr>
            <w:tcW w:type="dxa" w:w="18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Source</w:t>
            </w:r>
          </w:p>
        </w:tc>
        <w:tc>
          <w:tcPr>
            <w:tcW w:type="dxa" w:w="25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Implication</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Internet users</w:t>
            </w:r>
          </w:p>
        </w:tc>
        <w:tc>
          <w:tcPr>
            <w:tcW w:type="dxa" w:w="24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116 million (45.7% penetration)</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DataReportal Jan 2025</w:t>
            </w:r>
          </w:p>
        </w:tc>
        <w:tc>
          <w:tcPr>
            <w:tcW w:type="dxa" w:w="2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Massive addressable base</w:t>
            </w:r>
          </w:p>
        </w:tc>
      </w:tr>
      <w:tr>
        <w:tc>
          <w:tcPr>
            <w:tcW w:type="dxa" w:w="2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Mobile broadband coverage</w:t>
            </w:r>
          </w:p>
        </w:tc>
        <w:tc>
          <w:tcPr>
            <w:tcW w:type="dxa" w:w="24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81% of adults have 3G/4G access</w:t>
            </w:r>
          </w:p>
        </w:tc>
        <w:tc>
          <w:tcPr>
            <w:tcW w:type="dxa" w:w="1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Grokipedia/GSMA 2024</w:t>
            </w:r>
          </w:p>
        </w:tc>
        <w:tc>
          <w:tcPr>
            <w:tcW w:type="dxa" w:w="2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Lawyers in cities fully covered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Mobile data usage growth</w:t>
            </w:r>
          </w:p>
        </w:tc>
        <w:tc>
          <w:tcPr>
            <w:tcW w:type="dxa" w:w="24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 increase FY2024-25</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PTA FY2024-25 report</w:t>
            </w:r>
          </w:p>
        </w:tc>
        <w:tc>
          <w:tcPr>
            <w:tcW w:type="dxa" w:w="2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Demand for data services rising fast</w:t>
            </w:r>
          </w:p>
        </w:tc>
      </w:tr>
      <w:tr>
        <w:tc>
          <w:tcPr>
            <w:tcW w:type="dxa" w:w="2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Fixed broadband penetration</w:t>
            </w:r>
          </w:p>
        </w:tc>
        <w:tc>
          <w:tcPr>
            <w:tcW w:type="dxa" w:w="24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57%</w:t>
            </w:r>
          </w:p>
        </w:tc>
        <w:tc>
          <w:tcPr>
            <w:tcW w:type="dxa" w:w="1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PTA FY2024-25 report</w:t>
            </w:r>
          </w:p>
        </w:tc>
        <w:tc>
          <w:tcPr>
            <w:tcW w:type="dxa" w:w="2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Office internet improving</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Smartphone market</w:t>
            </w:r>
          </w:p>
        </w:tc>
        <w:tc>
          <w:tcPr>
            <w:tcW w:type="dxa" w:w="24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$3.8B industry, 13.3M units by 2028</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Criterion Quarterly 2025</w:t>
            </w:r>
          </w:p>
        </w:tc>
        <w:tc>
          <w:tcPr>
            <w:tcW w:type="dxa" w:w="2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Device access not a barrier for professionals</w:t>
            </w:r>
          </w:p>
        </w:tc>
      </w:tr>
      <w:tr>
        <w:tc>
          <w:tcPr>
            <w:tcW w:type="dxa" w:w="2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Mobile connection type</w:t>
            </w:r>
          </w:p>
        </w:tc>
        <w:tc>
          <w:tcPr>
            <w:tcW w:type="dxa" w:w="24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74% are broadband (3G/4G/5G)</w:t>
            </w:r>
          </w:p>
        </w:tc>
        <w:tc>
          <w:tcPr>
            <w:tcW w:type="dxa" w:w="1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GSMA Intelligence 2025</w:t>
            </w:r>
          </w:p>
        </w:tc>
        <w:tc>
          <w:tcPr>
            <w:tcW w:type="dxa" w:w="2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Lawyers can use mobile apps reliably</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5G rollout</w:t>
            </w:r>
          </w:p>
        </w:tc>
        <w:tc>
          <w:tcPr>
            <w:tcW w:type="dxa" w:w="24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Commenced in 7 cities mid-2025</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Grokipedia 2025</w:t>
            </w:r>
          </w:p>
        </w:tc>
        <w:tc>
          <w:tcPr>
            <w:tcW w:type="dxa" w:w="2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Lahore + major cities gaining 5G</w:t>
            </w:r>
          </w:p>
        </w:tc>
      </w:tr>
      <w:tr>
        <w:tc>
          <w:tcPr>
            <w:tcW w:type="dxa" w:w="2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Pakistan IT companies (PSEB)</w:t>
            </w:r>
          </w:p>
        </w:tc>
        <w:tc>
          <w:tcPr>
            <w:tcW w:type="dxa" w:w="24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9,866 registered IT companies</w:t>
            </w:r>
          </w:p>
        </w:tc>
        <w:tc>
          <w:tcPr>
            <w:tcW w:type="dxa" w:w="1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PSEB 2024 data</w:t>
            </w:r>
          </w:p>
        </w:tc>
        <w:tc>
          <w:tcPr>
            <w:tcW w:type="dxa" w:w="2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Ecosystem for tech products exists</w:t>
            </w:r>
          </w:p>
        </w:tc>
      </w:tr>
    </w:tbl>
    <w:p>
      <w:pPr>
        <w:spacing w:before="40" w:after="0"/>
      </w:pPr>
      <w:r>
        <w:t xml:space="preserve"/>
      </w:r>
    </w:p>
    <w:p>
      <w:pPr>
        <w:spacing w:before="20" w:after="30"/>
      </w:pPr>
      <w:r>
        <w:rPr>
          <w:rFonts w:ascii="Arial" w:cs="Arial" w:eastAsia="Arial" w:hAnsi="Arial"/>
          <w:i/>
          <w:iCs/>
          <w:color w:val="4A5568"/>
          <w:sz w:val="17"/>
          <w:szCs w:val="17"/>
        </w:rPr>
        <w:t xml:space="preserve">Source: DataReportal Digital 2025 Pakistan; PTA Annual Report 2024; GSMA Digital Nation Summit Islamabad August 2025; Grokipedia Pakistan Internet article March 2026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1B7A3E"/>
                <w:sz w:val="19"/>
                <w:szCs w:val="19"/>
              </w:rPr>
              <w:t xml:space="preserve">Infrastructure conclusion</w:t>
            </w:r>
          </w:p>
          <w:p>
            <w:pPr>
              <w:spacing w:before="40"/>
            </w:pPr>
            <w:r>
              <w:rPr>
                <w:rFonts w:ascii="Arial" w:cs="Arial" w:eastAsia="Arial" w:hAnsi="Arial"/>
                <w:color w:val="1A1A2E"/>
                <w:sz w:val="19"/>
                <w:szCs w:val="19"/>
              </w:rPr>
              <w:t xml:space="preserve">The infrastructure story for WukalaGPT is strong. Pakistani lawyers in urban and semi-urban areas (where 95%+ of practicing advocates are concentrated) have reliable 4G access, smartphones, and growing comfort with mobile-first applications. The infrastructure barrier that might have existed five years ago no longer applies to WukalaGPT's primary target users.</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6 — Unit Economics &amp; Business Model</w:t>
      </w:r>
    </w:p>
    <w:p>
      <w:pPr>
        <w:spacing w:before="60" w:after="0"/>
      </w:pPr>
      <w:r>
        <w:t xml:space="preserve"/>
      </w:r>
    </w:p>
    <w:p>
      <w:pPr>
        <w:spacing w:before="220" w:after="70"/>
      </w:pPr>
      <w:r>
        <w:rPr>
          <w:rFonts w:ascii="Arial" w:cs="Arial" w:eastAsia="Arial" w:hAnsi="Arial"/>
          <w:b/>
          <w:bCs/>
          <w:color w:val="1B3A5C"/>
          <w:sz w:val="22"/>
          <w:szCs w:val="22"/>
        </w:rPr>
        <w:t xml:space="preserve">6.1 Revenue Per User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2100"/>
        <w:gridCol w:w="1200"/>
      </w:tblGrid>
      <w:tr>
        <w:tc>
          <w:tcPr>
            <w:tcW w:type="dxa" w:w="27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Metric</w:t>
            </w:r>
          </w:p>
        </w:tc>
        <w:tc>
          <w:tcPr>
            <w:tcW w:type="dxa" w:w="165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Basic Plan</w:t>
            </w:r>
          </w:p>
        </w:tc>
        <w:tc>
          <w:tcPr>
            <w:tcW w:type="dxa" w:w="165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Pro Plan</w:t>
            </w:r>
          </w:p>
        </w:tc>
        <w:tc>
          <w:tcPr>
            <w:tcW w:type="dxa" w:w="21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Firm Plan (5 users)</w:t>
            </w:r>
          </w:p>
        </w:tc>
        <w:tc>
          <w:tcPr>
            <w:tcW w:type="dxa" w:w="12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Blended Average</w:t>
            </w:r>
          </w:p>
        </w:tc>
      </w:tr>
      <w:tr>
        <w:tc>
          <w:tcPr>
            <w:tcW w:type="dxa" w:w="27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Monthly price (PKR)</w:t>
            </w:r>
          </w:p>
        </w:tc>
        <w:tc>
          <w:tcPr>
            <w:tcW w:type="dxa" w:w="165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1,500</w:t>
            </w:r>
          </w:p>
        </w:tc>
        <w:tc>
          <w:tcPr>
            <w:tcW w:type="dxa" w:w="165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4,500</w:t>
            </w:r>
          </w:p>
        </w:tc>
        <w:tc>
          <w:tcPr>
            <w:tcW w:type="dxa" w:w="21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10,000 (firm)</w:t>
            </w:r>
          </w:p>
        </w:tc>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~2,500</w:t>
            </w:r>
          </w:p>
        </w:tc>
      </w:tr>
      <w:tr>
        <w:tc>
          <w:tcPr>
            <w:tcW w:type="dxa" w:w="27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Annual revenue per user (PKR)</w:t>
            </w:r>
          </w:p>
        </w:tc>
        <w:tc>
          <w:tcPr>
            <w:tcW w:type="dxa" w:w="165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18,000</w:t>
            </w:r>
          </w:p>
        </w:tc>
        <w:tc>
          <w:tcPr>
            <w:tcW w:type="dxa" w:w="165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54,000</w:t>
            </w:r>
          </w:p>
        </w:tc>
        <w:tc>
          <w:tcPr>
            <w:tcW w:type="dxa" w:w="21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120,000</w:t>
            </w:r>
          </w:p>
        </w:tc>
        <w:tc>
          <w:tcPr>
            <w:tcW w:type="dxa" w:w="1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30,000</w:t>
            </w:r>
          </w:p>
        </w:tc>
      </w:tr>
      <w:tr>
        <w:tc>
          <w:tcPr>
            <w:tcW w:type="dxa" w:w="27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Annual revenue per user (USD)</w:t>
            </w:r>
          </w:p>
        </w:tc>
        <w:tc>
          <w:tcPr>
            <w:tcW w:type="dxa" w:w="165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~$64</w:t>
            </w:r>
          </w:p>
        </w:tc>
        <w:tc>
          <w:tcPr>
            <w:tcW w:type="dxa" w:w="165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~$193</w:t>
            </w:r>
          </w:p>
        </w:tc>
        <w:tc>
          <w:tcPr>
            <w:tcW w:type="dxa" w:w="21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~$429</w:t>
            </w:r>
          </w:p>
        </w:tc>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~$107</w:t>
            </w:r>
          </w:p>
        </w:tc>
      </w:tr>
      <w:tr>
        <w:tc>
          <w:tcPr>
            <w:tcW w:type="dxa" w:w="27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Cost of lawyer's PLD reporters (annual PKR)</w:t>
            </w:r>
          </w:p>
        </w:tc>
        <w:tc>
          <w:tcPr>
            <w:tcW w:type="dxa" w:w="165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15,000–40,000</w:t>
            </w:r>
          </w:p>
        </w:tc>
        <w:tc>
          <w:tcPr>
            <w:tcW w:type="dxa" w:w="165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15,000–40,000</w:t>
            </w:r>
          </w:p>
        </w:tc>
        <w:tc>
          <w:tcPr>
            <w:tcW w:type="dxa" w:w="21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15,000–40,000</w:t>
            </w:r>
          </w:p>
        </w:tc>
        <w:tc>
          <w:tcPr>
            <w:tcW w:type="dxa" w:w="12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~25,000</w:t>
            </w:r>
          </w:p>
        </w:tc>
      </w:tr>
      <w:tr>
        <w:tc>
          <w:tcPr>
            <w:tcW w:type="dxa" w:w="27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WukalaGPT vs PLD cost</w:t>
            </w:r>
          </w:p>
        </w:tc>
        <w:tc>
          <w:tcPr>
            <w:tcW w:type="dxa" w:w="165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Cheaper than PLD alone</w:t>
            </w:r>
          </w:p>
        </w:tc>
        <w:tc>
          <w:tcPr>
            <w:tcW w:type="dxa" w:w="165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~Same as PLD</w:t>
            </w:r>
          </w:p>
        </w:tc>
        <w:tc>
          <w:tcPr>
            <w:tcW w:type="dxa" w:w="21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Higher, but saves time</w:t>
            </w:r>
          </w:p>
        </w:tc>
        <w:tc>
          <w:tcPr>
            <w:tcW w:type="dxa" w:w="12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Better ROI than PLD</w:t>
            </w:r>
          </w:p>
        </w:tc>
      </w:tr>
    </w:tbl>
    <w:p>
      <w:pPr>
        <w:spacing w:before="80" w:after="0"/>
      </w:pPr>
      <w:r>
        <w:t xml:space="preserve"/>
      </w:r>
    </w:p>
    <w:p>
      <w:pPr>
        <w:spacing w:before="220" w:after="70"/>
      </w:pPr>
      <w:r>
        <w:rPr>
          <w:rFonts w:ascii="Arial" w:cs="Arial" w:eastAsia="Arial" w:hAnsi="Arial"/>
          <w:b/>
          <w:bCs/>
          <w:color w:val="1B3A5C"/>
          <w:sz w:val="22"/>
          <w:szCs w:val="22"/>
        </w:rPr>
        <w:t xml:space="preserve">6.2 Key Business Model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8FA" w:val="clear"/>
            <w:tcMar>
              <w:top w:type="dxa" w:w="100"/>
              <w:left w:type="dxa" w:w="150"/>
              <w:bottom w:type="dxa" w:w="100"/>
              <w:right w:type="dxa" w:w="100"/>
            </w:tcMar>
          </w:tcPr>
          <w:p>
            <w:r>
              <w:rPr>
                <w:rFonts w:ascii="Arial" w:cs="Arial" w:eastAsia="Arial" w:hAnsi="Arial"/>
                <w:b/>
                <w:bCs/>
                <w:color w:val="1B3A5C"/>
                <w:sz w:val="19"/>
                <w:szCs w:val="19"/>
              </w:rPr>
              <w:t xml:space="preserve">Target metrics (Year 1–2)</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CAC (Customer Acquisition Cost): PKR 2,000–5,000 per paying user</w:t>
            </w:r>
          </w:p>
          <w:p>
            <w:pPr>
              <w:pStyle w:val="ListParagraph"/>
              <w:numPr>
                <w:ilvl w:val="0"/>
                <w:numId w:val="2"/>
              </w:numPr>
              <w:spacing w:before="30" w:after="30"/>
            </w:pPr>
            <w:r>
              <w:rPr>
                <w:rFonts w:ascii="Arial" w:cs="Arial" w:eastAsia="Arial" w:hAnsi="Arial"/>
                <w:b w:val="false"/>
                <w:bCs w:val="false"/>
                <w:color w:val="4A5568"/>
                <w:sz w:val="20"/>
                <w:szCs w:val="20"/>
              </w:rPr>
              <w:t xml:space="preserve">LTV (Lifetime Value): PKR 36,000–90,000 (12–36 month avg retention)</w:t>
            </w:r>
          </w:p>
          <w:p>
            <w:pPr>
              <w:pStyle w:val="ListParagraph"/>
              <w:numPr>
                <w:ilvl w:val="0"/>
                <w:numId w:val="2"/>
              </w:numPr>
              <w:spacing w:before="30" w:after="30"/>
            </w:pPr>
            <w:r>
              <w:rPr>
                <w:rFonts w:ascii="Arial" w:cs="Arial" w:eastAsia="Arial" w:hAnsi="Arial"/>
                <w:b w:val="false"/>
                <w:bCs w:val="false"/>
                <w:color w:val="4A5568"/>
                <w:sz w:val="20"/>
                <w:szCs w:val="20"/>
              </w:rPr>
              <w:t xml:space="preserve">LTV:CAC Ratio target: &gt; 10x (strong SaaS benchmark)</w:t>
            </w:r>
          </w:p>
          <w:p>
            <w:pPr>
              <w:pStyle w:val="ListParagraph"/>
              <w:numPr>
                <w:ilvl w:val="0"/>
                <w:numId w:val="2"/>
              </w:numPr>
              <w:spacing w:before="30" w:after="30"/>
            </w:pPr>
            <w:r>
              <w:rPr>
                <w:rFonts w:ascii="Arial" w:cs="Arial" w:eastAsia="Arial" w:hAnsi="Arial"/>
                <w:b w:val="false"/>
                <w:bCs w:val="false"/>
                <w:color w:val="4A5568"/>
                <w:sz w:val="20"/>
                <w:szCs w:val="20"/>
              </w:rPr>
              <w:t xml:space="preserve">Churn rate target: &lt; 5% monthly (&lt; 46% annual)</w:t>
            </w:r>
          </w:p>
          <w:p>
            <w:pPr>
              <w:pStyle w:val="ListParagraph"/>
              <w:numPr>
                <w:ilvl w:val="0"/>
                <w:numId w:val="2"/>
              </w:numPr>
              <w:spacing w:before="30" w:after="30"/>
            </w:pPr>
            <w:r>
              <w:rPr>
                <w:rFonts w:ascii="Arial" w:cs="Arial" w:eastAsia="Arial" w:hAnsi="Arial"/>
                <w:b w:val="false"/>
                <w:bCs w:val="false"/>
                <w:color w:val="4A5568"/>
                <w:sz w:val="20"/>
                <w:szCs w:val="20"/>
              </w:rPr>
              <w:t xml:space="preserve">Free-to-paid conversion target: &gt; 10% within 90 days</w:t>
            </w:r>
          </w:p>
          <w:p>
            <w:pPr>
              <w:pStyle w:val="ListParagraph"/>
              <w:numPr>
                <w:ilvl w:val="0"/>
                <w:numId w:val="2"/>
              </w:numPr>
              <w:spacing w:before="30" w:after="30"/>
            </w:pPr>
            <w:r>
              <w:rPr>
                <w:rFonts w:ascii="Arial" w:cs="Arial" w:eastAsia="Arial" w:hAnsi="Arial"/>
                <w:b w:val="false"/>
                <w:bCs w:val="false"/>
                <w:color w:val="4A5568"/>
                <w:sz w:val="20"/>
                <w:szCs w:val="20"/>
              </w:rPr>
              <w:t xml:space="preserve">Payback period target: &lt; 6 months</w:t>
            </w:r>
          </w:p>
        </w:tc>
        <w:tc>
          <w:tcPr>
            <w:tcW w:type="dxa" w:w="4680"/>
            <w:tcBorders>
              <w:top w:val="none" w:color="FFFFFF" w:sz="0"/>
              <w:left w:val="none" w:color="FFFFFF" w:sz="0"/>
              <w:bottom w:val="none" w:color="FFFFFF" w:sz="0"/>
              <w:right w:val="none" w:color="FFFFFF" w:sz="0"/>
            </w:tcBorders>
            <w:shd w:fill="FDF6E8" w:val="clear"/>
            <w:tcMar>
              <w:top w:type="dxa" w:w="100"/>
              <w:left w:type="dxa" w:w="150"/>
              <w:bottom w:type="dxa" w:w="100"/>
              <w:right w:type="dxa" w:w="100"/>
            </w:tcMar>
          </w:tcPr>
          <w:p>
            <w:r>
              <w:rPr>
                <w:rFonts w:ascii="Arial" w:cs="Arial" w:eastAsia="Arial" w:hAnsi="Arial"/>
                <w:b/>
                <w:bCs/>
                <w:color w:val="1B3A5C"/>
                <w:sz w:val="19"/>
                <w:szCs w:val="19"/>
              </w:rPr>
              <w:t xml:space="preserve">Break-even analysis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Estimated monthly operating cost (CET team of 3): ~PKR 300,000</w:t>
            </w:r>
          </w:p>
          <w:p>
            <w:pPr>
              <w:pStyle w:val="ListParagraph"/>
              <w:numPr>
                <w:ilvl w:val="0"/>
                <w:numId w:val="2"/>
              </w:numPr>
              <w:spacing w:before="30" w:after="30"/>
            </w:pPr>
            <w:r>
              <w:rPr>
                <w:rFonts w:ascii="Arial" w:cs="Arial" w:eastAsia="Arial" w:hAnsi="Arial"/>
                <w:b w:val="false"/>
                <w:bCs w:val="false"/>
                <w:color w:val="4A5568"/>
                <w:sz w:val="20"/>
                <w:szCs w:val="20"/>
              </w:rPr>
              <w:t xml:space="preserve">Break-even users at PKR 2,500 blended: 120 paying users</w:t>
            </w:r>
          </w:p>
          <w:p>
            <w:pPr>
              <w:pStyle w:val="ListParagraph"/>
              <w:numPr>
                <w:ilvl w:val="0"/>
                <w:numId w:val="2"/>
              </w:numPr>
              <w:spacing w:before="30" w:after="30"/>
            </w:pPr>
            <w:r>
              <w:rPr>
                <w:rFonts w:ascii="Arial" w:cs="Arial" w:eastAsia="Arial" w:hAnsi="Arial"/>
                <w:b w:val="false"/>
                <w:bCs w:val="false"/>
                <w:color w:val="4A5568"/>
                <w:sz w:val="20"/>
                <w:szCs w:val="20"/>
              </w:rPr>
              <w:t xml:space="preserve">At 500 users (Year 1 base case): PKR 1.25M/month vs ~PKR 600K costs</w:t>
            </w:r>
          </w:p>
          <w:p>
            <w:pPr>
              <w:pStyle w:val="ListParagraph"/>
              <w:numPr>
                <w:ilvl w:val="0"/>
                <w:numId w:val="2"/>
              </w:numPr>
              <w:spacing w:before="30" w:after="30"/>
            </w:pPr>
            <w:r>
              <w:rPr>
                <w:rFonts w:ascii="Arial" w:cs="Arial" w:eastAsia="Arial" w:hAnsi="Arial"/>
                <w:b w:val="false"/>
                <w:bCs w:val="false"/>
                <w:color w:val="4A5568"/>
                <w:sz w:val="20"/>
                <w:szCs w:val="20"/>
              </w:rPr>
              <w:t xml:space="preserve">Year 1 surplus at base case: ~PKR 7.8M</w:t>
            </w:r>
          </w:p>
          <w:p>
            <w:pPr>
              <w:pStyle w:val="ListParagraph"/>
              <w:numPr>
                <w:ilvl w:val="0"/>
                <w:numId w:val="2"/>
              </w:numPr>
              <w:spacing w:before="30" w:after="30"/>
            </w:pPr>
            <w:r>
              <w:rPr>
                <w:rFonts w:ascii="Arial" w:cs="Arial" w:eastAsia="Arial" w:hAnsi="Arial"/>
                <w:b w:val="false"/>
                <w:bCs w:val="false"/>
                <w:color w:val="4A5568"/>
                <w:sz w:val="20"/>
                <w:szCs w:val="20"/>
              </w:rPr>
              <w:t xml:space="preserve">This assumes no paid marketing — referral + interview network only</w:t>
            </w:r>
          </w:p>
          <w:p>
            <w:pPr>
              <w:pStyle w:val="ListParagraph"/>
              <w:numPr>
                <w:ilvl w:val="0"/>
                <w:numId w:val="2"/>
              </w:numPr>
              <w:spacing w:before="30" w:after="30"/>
            </w:pPr>
            <w:r>
              <w:rPr>
                <w:rFonts w:ascii="Arial" w:cs="Arial" w:eastAsia="Arial" w:hAnsi="Arial"/>
                <w:b w:val="false"/>
                <w:bCs w:val="false"/>
                <w:color w:val="4A5568"/>
                <w:sz w:val="20"/>
                <w:szCs w:val="20"/>
              </w:rPr>
              <w:t xml:space="preserve">Add PKR 50,000–100,000/month for SMS gateway + cloud infrastructure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Investor-ready headline</w:t>
            </w:r>
          </w:p>
          <w:p>
            <w:pPr>
              <w:spacing w:before="40"/>
            </w:pPr>
            <w:r>
              <w:rPr>
                <w:rFonts w:ascii="Arial" w:cs="Arial" w:eastAsia="Arial" w:hAnsi="Arial"/>
                <w:color w:val="1A1A2E"/>
                <w:sz w:val="19"/>
                <w:szCs w:val="19"/>
              </w:rPr>
              <w:t xml:space="preserve">WukalaGPT is targeting a PKR 1.9 billion serviceable addressable market (SAM) with a product that costs less annually than what most Pakistani lawyers already spend on PLD/SCMR reporters (PKR 15,000–40,000/year vs WukalaGPT Basic at PKR 18,000/year). The product does not ask lawyers to spend more — it replaces an existing expenditure with a smarter one that also gives them billing, case management, and hearing reminders.</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7 — Market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4260"/>
      </w:tblGrid>
      <w:tr>
        <w:tc>
          <w:tcPr>
            <w:tcW w:type="dxa" w:w="25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Risk</w:t>
            </w:r>
          </w:p>
        </w:tc>
        <w:tc>
          <w:tcPr>
            <w:tcW w:type="dxa" w:w="13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Probability</w:t>
            </w:r>
          </w:p>
        </w:tc>
        <w:tc>
          <w:tcPr>
            <w:tcW w:type="dxa" w:w="13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Impact</w:t>
            </w:r>
          </w:p>
        </w:tc>
        <w:tc>
          <w:tcPr>
            <w:tcW w:type="dxa" w:w="42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Mitigation strategy</w:t>
            </w:r>
          </w:p>
        </w:tc>
      </w:tr>
      <w:tr>
        <w:tc>
          <w:tcPr>
            <w:tcW w:type="dxa" w:w="2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Low initial willingness to pay from District Court lawyers</w:t>
            </w:r>
          </w:p>
        </w:tc>
        <w:tc>
          <w:tcPr>
            <w:tcW w:type="dxa" w:w="1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Medium</w:t>
            </w:r>
          </w:p>
        </w:tc>
        <w:tc>
          <w:tcPr>
            <w:tcW w:type="dxa" w:w="1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High</w:t>
            </w:r>
          </w:p>
        </w:tc>
        <w:tc>
          <w:tcPr>
            <w:tcW w:type="dxa" w:w="42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Free tier drives trial; ROI framing (one unpaid fee recovered = 12 months subscription paid)</w:t>
            </w:r>
          </w:p>
        </w:tc>
      </w:tr>
      <w:tr>
        <w:tc>
          <w:tcPr>
            <w:tcW w:type="dxa" w:w="2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DigiLawyer captures the market first</w:t>
            </w:r>
          </w:p>
        </w:tc>
        <w:tc>
          <w:tcPr>
            <w:tcW w:type="dxa" w:w="13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Low-Medium</w:t>
            </w:r>
          </w:p>
        </w:tc>
        <w:tc>
          <w:tcPr>
            <w:tcW w:type="dxa" w:w="13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High</w:t>
            </w:r>
          </w:p>
        </w:tc>
        <w:tc>
          <w:tcPr>
            <w:tcW w:type="dxa" w:w="42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Build practice management before they do; PKR pricing vs their $25 USD locks out District Court segment</w:t>
            </w:r>
          </w:p>
        </w:tc>
      </w:tr>
      <w:tr>
        <w:tc>
          <w:tcPr>
            <w:tcW w:type="dxa" w:w="2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PLD/SCMR data not accessible</w:t>
            </w:r>
          </w:p>
        </w:tc>
        <w:tc>
          <w:tcPr>
            <w:tcW w:type="dxa" w:w="1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Medium</w:t>
            </w:r>
          </w:p>
        </w:tc>
        <w:tc>
          <w:tcPr>
            <w:tcW w:type="dxa" w:w="1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High</w:t>
            </w:r>
          </w:p>
        </w:tc>
        <w:tc>
          <w:tcPr>
            <w:tcW w:type="dxa" w:w="42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MVP with statutes only; launch Phase 2 AI later; Document drafting as alternative Phase 2</w:t>
            </w:r>
          </w:p>
        </w:tc>
      </w:tr>
      <w:tr>
        <w:tc>
          <w:tcPr>
            <w:tcW w:type="dxa" w:w="2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Slow adoption due to conservative lawyer culture</w:t>
            </w:r>
          </w:p>
        </w:tc>
        <w:tc>
          <w:tcPr>
            <w:tcW w:type="dxa" w:w="13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Medium</w:t>
            </w:r>
          </w:p>
        </w:tc>
        <w:tc>
          <w:tcPr>
            <w:tcW w:type="dxa" w:w="13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Medium</w:t>
            </w:r>
          </w:p>
        </w:tc>
        <w:tc>
          <w:tcPr>
            <w:tcW w:type="dxa" w:w="42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Invest in in-person onboarding at bar rooms; use respected advocate testimonials</w:t>
            </w:r>
          </w:p>
        </w:tc>
      </w:tr>
      <w:tr>
        <w:tc>
          <w:tcPr>
            <w:tcW w:type="dxa" w:w="2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Internet/power outages disrupting service</w:t>
            </w:r>
          </w:p>
        </w:tc>
        <w:tc>
          <w:tcPr>
            <w:tcW w:type="dxa" w:w="1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Medium</w:t>
            </w:r>
          </w:p>
        </w:tc>
        <w:tc>
          <w:tcPr>
            <w:tcW w:type="dxa" w:w="1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Medium</w:t>
            </w:r>
          </w:p>
        </w:tc>
        <w:tc>
          <w:tcPr>
            <w:tcW w:type="dxa" w:w="42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Offline-capable mobile app for core features; Pakistan-based hosting</w:t>
            </w:r>
          </w:p>
        </w:tc>
      </w:tr>
      <w:tr>
        <w:tc>
          <w:tcPr>
            <w:tcW w:type="dxa" w:w="2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Competition from well-funded global entrant</w:t>
            </w:r>
          </w:p>
        </w:tc>
        <w:tc>
          <w:tcPr>
            <w:tcW w:type="dxa" w:w="13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Low</w:t>
            </w:r>
          </w:p>
        </w:tc>
        <w:tc>
          <w:tcPr>
            <w:tcW w:type="dxa" w:w="13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High</w:t>
            </w:r>
          </w:p>
        </w:tc>
        <w:tc>
          <w:tcPr>
            <w:tcW w:type="dxa" w:w="42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Urdu + local law + PKR pricing + local support creates a moat that global entrants cannot copy quickly</w:t>
            </w:r>
          </w:p>
        </w:tc>
      </w:tr>
      <w:tr>
        <w:tc>
          <w:tcPr>
            <w:tcW w:type="dxa" w:w="2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Churn from credit-based competitor models</w:t>
            </w:r>
          </w:p>
        </w:tc>
        <w:tc>
          <w:tcPr>
            <w:tcW w:type="dxa" w:w="1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Low</w:t>
            </w:r>
          </w:p>
        </w:tc>
        <w:tc>
          <w:tcPr>
            <w:tcW w:type="dxa" w:w="13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Opportunity</w:t>
            </w:r>
          </w:p>
        </w:tc>
        <w:tc>
          <w:tcPr>
            <w:tcW w:type="dxa" w:w="42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Unlimited usage pricing vs credit caps is a direct conversion strategy</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8 — Go-To-Market: Capturing the Market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800"/>
        <w:gridCol w:w="2760"/>
        <w:gridCol w:w="1700"/>
      </w:tblGrid>
      <w:tr>
        <w:tc>
          <w:tcPr>
            <w:tcW w:type="dxa" w:w="16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Phase</w:t>
            </w:r>
          </w:p>
        </w:tc>
        <w:tc>
          <w:tcPr>
            <w:tcW w:type="dxa" w:w="15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Timeline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Target</w:t>
            </w:r>
          </w:p>
        </w:tc>
        <w:tc>
          <w:tcPr>
            <w:tcW w:type="dxa" w:w="27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Channel</w:t>
            </w:r>
          </w:p>
        </w:tc>
        <w:tc>
          <w:tcPr>
            <w:tcW w:type="dxa" w:w="17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Revenue goal</w:t>
            </w:r>
          </w:p>
        </w:tc>
      </w:tr>
      <w:tr>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Phase 1 — Beta</w:t>
            </w:r>
          </w:p>
        </w:tc>
        <w:tc>
          <w:tcPr>
            <w:tcW w:type="dxa" w:w="1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Months 1–4</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20–50 lawyers</w:t>
            </w:r>
          </w:p>
        </w:tc>
        <w:tc>
          <w:tcPr>
            <w:tcW w:type="dxa" w:w="27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Direct interviews, Bar Room visits, referrals</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0 (free beta)</w:t>
            </w:r>
          </w:p>
        </w:tc>
      </w:tr>
      <w:tr>
        <w:tc>
          <w:tcPr>
            <w:tcW w:type="dxa" w:w="1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Phase 2 — Launch</w:t>
            </w:r>
          </w:p>
        </w:tc>
        <w:tc>
          <w:tcPr>
            <w:tcW w:type="dxa" w:w="1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Months 5–9</w:t>
            </w:r>
          </w:p>
        </w:tc>
        <w:tc>
          <w:tcPr>
            <w:tcW w:type="dxa" w:w="1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500 paying users</w:t>
            </w:r>
          </w:p>
        </w:tc>
        <w:tc>
          <w:tcPr>
            <w:tcW w:type="dxa" w:w="27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WhatsApp groups, LinkedIn, Bar Association events</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15M/year run rate</w:t>
            </w:r>
          </w:p>
        </w:tc>
      </w:tr>
      <w:tr>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Phase 3 — Punjab scale</w:t>
            </w:r>
          </w:p>
        </w:tc>
        <w:tc>
          <w:tcPr>
            <w:tcW w:type="dxa" w:w="1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Months 10–18</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2,000 paying users</w:t>
            </w:r>
          </w:p>
        </w:tc>
        <w:tc>
          <w:tcPr>
            <w:tcW w:type="dxa" w:w="27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Referral program, bar events, content marketing</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60M/year run rate</w:t>
            </w:r>
          </w:p>
        </w:tc>
      </w:tr>
      <w:tr>
        <w:tc>
          <w:tcPr>
            <w:tcW w:type="dxa" w:w="16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Phase 4 — National</w:t>
            </w:r>
          </w:p>
        </w:tc>
        <w:tc>
          <w:tcPr>
            <w:tcW w:type="dxa" w:w="1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Year 2–3</w:t>
            </w:r>
          </w:p>
        </w:tc>
        <w:tc>
          <w:tcPr>
            <w:tcW w:type="dxa" w:w="1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5,000 paying users</w:t>
            </w:r>
          </w:p>
        </w:tc>
        <w:tc>
          <w:tcPr>
            <w:tcW w:type="dxa" w:w="27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Firm plan, Karachi + Islamabad expansion</w:t>
            </w:r>
          </w:p>
        </w:tc>
        <w:tc>
          <w:tcPr>
            <w:tcW w:type="dxa" w:w="17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PKR 150M/year run rate</w:t>
            </w:r>
          </w:p>
        </w:tc>
      </w:tr>
      <w:tr>
        <w:tc>
          <w:tcPr>
            <w:tcW w:type="dxa" w:w="16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Phase 5 — Platform</w:t>
            </w:r>
          </w:p>
        </w:tc>
        <w:tc>
          <w:tcPr>
            <w:tcW w:type="dxa" w:w="1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Year 3–5</w:t>
            </w:r>
          </w:p>
        </w:tc>
        <w:tc>
          <w:tcPr>
            <w:tcW w:type="dxa" w:w="1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15,000+ users</w:t>
            </w:r>
          </w:p>
        </w:tc>
        <w:tc>
          <w:tcPr>
            <w:tcW w:type="dxa" w:w="27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API ecosystem, corporate legal, law schools</w:t>
            </w:r>
          </w:p>
        </w:tc>
        <w:tc>
          <w:tcPr>
            <w:tcW w:type="dxa" w:w="17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PKR 450M+ run rate</w:t>
            </w:r>
          </w:p>
        </w:tc>
      </w:tr>
    </w:tbl>
    <w:p>
      <w:pPr>
        <w:spacing w:before="80" w:after="0"/>
      </w:pPr>
      <w:r>
        <w:t xml:space="preserve"/>
      </w:r>
    </w:p>
    <w:p>
      <w:pPr>
        <w:spacing w:before="220" w:after="70"/>
      </w:pPr>
      <w:r>
        <w:rPr>
          <w:rFonts w:ascii="Arial" w:cs="Arial" w:eastAsia="Arial" w:hAnsi="Arial"/>
          <w:b/>
          <w:bCs/>
          <w:color w:val="1B3A5C"/>
          <w:sz w:val="22"/>
          <w:szCs w:val="22"/>
        </w:rPr>
        <w:t xml:space="preserve">Viral growth mechanism: the referral ladder</w:t>
      </w:r>
    </w:p>
    <w:p>
      <w:pPr>
        <w:spacing w:before="40" w:after="60"/>
        <w:jc w:val="both"/>
      </w:pPr>
      <w:r>
        <w:rPr>
          <w:rFonts w:ascii="Arial" w:cs="Arial" w:eastAsia="Arial" w:hAnsi="Arial"/>
          <w:color w:val="4A5568"/>
          <w:sz w:val="20"/>
          <w:szCs w:val="20"/>
        </w:rPr>
        <w:t xml:space="preserve">The most powerful and cost-free growth mechanism for WukalaGPT is the Bar community's word-of-mouth network. Pakistan's legal profession is tightly networked — every lawyer knows 20+ other lawyers personally. One satisfied advocate in a bar room is worth 50 advertising impressions. Design the product specifically to be shown to colleagues: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In-product referral: "Invite 3 lawyers, get 1 month free" — drives viral sharing at zero CAC</w:t>
      </w:r>
    </w:p>
    <w:p>
      <w:pPr>
        <w:pStyle w:val="ListParagraph"/>
        <w:numPr>
          <w:ilvl w:val="0"/>
          <w:numId w:val="2"/>
        </w:numPr>
        <w:spacing w:before="30" w:after="30"/>
      </w:pPr>
      <w:r>
        <w:rPr>
          <w:rFonts w:ascii="Arial" w:cs="Arial" w:eastAsia="Arial" w:hAnsi="Arial"/>
          <w:b w:val="false"/>
          <w:bCs w:val="false"/>
          <w:color w:val="4A5568"/>
          <w:sz w:val="20"/>
          <w:szCs w:val="20"/>
        </w:rPr>
        <w:t xml:space="preserve">Analytics sharing: lawyers can share their anonymised practice stats publicly — "I handled 47 cases this month" creates social proof</w:t>
      </w:r>
    </w:p>
    <w:p>
      <w:pPr>
        <w:pStyle w:val="ListParagraph"/>
        <w:numPr>
          <w:ilvl w:val="0"/>
          <w:numId w:val="2"/>
        </w:numPr>
        <w:spacing w:before="30" w:after="30"/>
      </w:pPr>
      <w:r>
        <w:rPr>
          <w:rFonts w:ascii="Arial" w:cs="Arial" w:eastAsia="Arial" w:hAnsi="Arial"/>
          <w:b w:val="false"/>
          <w:bCs w:val="false"/>
          <w:color w:val="4A5568"/>
          <w:sz w:val="20"/>
          <w:szCs w:val="20"/>
        </w:rPr>
        <w:t xml:space="preserve">Beta advisor programme: first 30 lawyer interviewees become "WukalaGPT founding advocates" — name on website, free lifetime Pro access, social credibility</w:t>
      </w:r>
    </w:p>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Section 9 — Data Sources &amp; Methodology</w:t>
      </w:r>
    </w:p>
    <w:p>
      <w:pPr>
        <w:spacing w:before="40" w:after="60"/>
        <w:jc w:val="both"/>
      </w:pPr>
      <w:r>
        <w:rPr>
          <w:rFonts w:ascii="Arial" w:cs="Arial" w:eastAsia="Arial" w:hAnsi="Arial"/>
          <w:color w:val="4A5568"/>
          <w:sz w:val="20"/>
          <w:szCs w:val="20"/>
        </w:rPr>
        <w:t xml:space="preserve">All figures in this report are sourced from primary official bodies or credible market research organisations. Estimates marked "(est.)" are derived calculations; all others are directly sourced.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160"/>
        <w:gridCol w:w="1900"/>
      </w:tblGrid>
      <w:tr>
        <w:tc>
          <w:tcPr>
            <w:tcW w:type="dxa" w:w="35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Data point</w:t>
            </w:r>
          </w:p>
        </w:tc>
        <w:tc>
          <w:tcPr>
            <w:tcW w:type="dxa" w:w="28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Source</w:t>
            </w:r>
          </w:p>
        </w:tc>
        <w:tc>
          <w:tcPr>
            <w:tcW w:type="dxa" w:w="116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Date</w:t>
            </w:r>
          </w:p>
        </w:tc>
        <w:tc>
          <w:tcPr>
            <w:tcW w:type="dxa" w:w="1900"/>
            <w:tcBorders>
              <w:top w:val="single" w:color="1B3A5C" w:sz="1"/>
              <w:left w:val="single" w:color="1B3A5C" w:sz="1"/>
              <w:bottom w:val="single" w:color="1B3A5C" w:sz="1"/>
              <w:right w:val="single" w:color="1B3A5C" w:sz="1"/>
            </w:tcBorders>
            <w:shd w:fill="1B3A5C" w:val="clear"/>
            <w:tcMar>
              <w:top w:type="dxa" w:w="80"/>
              <w:left w:type="dxa" w:w="110"/>
              <w:bottom w:type="dxa" w:w="80"/>
              <w:right w:type="dxa" w:w="80"/>
            </w:tcMar>
          </w:tcPr>
          <w:p>
            <w:r>
              <w:rPr>
                <w:rFonts w:ascii="Arial" w:cs="Arial" w:eastAsia="Arial" w:hAnsi="Arial"/>
                <w:b/>
                <w:bCs/>
                <w:color w:val="FFFFFF"/>
                <w:sz w:val="18"/>
                <w:szCs w:val="18"/>
              </w:rPr>
              <w:t xml:space="preserve">Type</w:t>
            </w:r>
          </w:p>
        </w:tc>
      </w:tr>
      <w:tr>
        <w:tc>
          <w:tcPr>
            <w:tcW w:type="dxa" w:w="3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Punjab Bar Council — 100,000+ advocates</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pbbarcouncil.com / Punjab Bar Council official website</w:t>
            </w:r>
          </w:p>
        </w:tc>
        <w:tc>
          <w:tcPr>
            <w:tcW w:type="dxa" w:w="1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2021 (latest published)</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Primary official</w:t>
            </w:r>
          </w:p>
        </w:tc>
      </w:tr>
      <w:tr>
        <w:tc>
          <w:tcPr>
            <w:tcW w:type="dxa" w:w="3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Pakistan total lawyers — 200,000+</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Grokipedia Pakistan Bar Council article</w:t>
            </w:r>
          </w:p>
        </w:tc>
        <w:tc>
          <w:tcPr>
            <w:tcW w:type="dxa" w:w="1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January 2026</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Secondary — PBC derived</w:t>
            </w:r>
          </w:p>
        </w:tc>
      </w:tr>
      <w:tr>
        <w:tc>
          <w:tcPr>
            <w:tcW w:type="dxa" w:w="3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LHC Bar Association — 22,000 members</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LUMS LibGuides Pakistan Legal System</w:t>
            </w:r>
          </w:p>
        </w:tc>
        <w:tc>
          <w:tcPr>
            <w:tcW w:type="dxa" w:w="1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2013+</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Primary academic</w:t>
            </w:r>
          </w:p>
        </w:tc>
      </w:tr>
      <w:tr>
        <w:tc>
          <w:tcPr>
            <w:tcW w:type="dxa" w:w="3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Global LegalTech market — $34.15B (2025)</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Mordor Intelligence / Fortune Business Insights</w:t>
            </w:r>
          </w:p>
        </w:tc>
        <w:tc>
          <w:tcPr>
            <w:tcW w:type="dxa" w:w="1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June 2025</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Market research</w:t>
            </w:r>
          </w:p>
        </w:tc>
      </w:tr>
      <w:tr>
        <w:tc>
          <w:tcPr>
            <w:tcW w:type="dxa" w:w="3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Asia-Pacific CAGR — 14.3%</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Mordor Intelligence</w:t>
            </w:r>
          </w:p>
        </w:tc>
        <w:tc>
          <w:tcPr>
            <w:tcW w:type="dxa" w:w="1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Market research</w:t>
            </w:r>
          </w:p>
        </w:tc>
      </w:tr>
      <w:tr>
        <w:tc>
          <w:tcPr>
            <w:tcW w:type="dxa" w:w="3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Global LegalTech CAGR — 9.4%</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Fortune Business Insights</w:t>
            </w:r>
          </w:p>
        </w:tc>
        <w:tc>
          <w:tcPr>
            <w:tcW w:type="dxa" w:w="1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Market research</w:t>
            </w:r>
          </w:p>
        </w:tc>
      </w:tr>
      <w:tr>
        <w:tc>
          <w:tcPr>
            <w:tcW w:type="dxa" w:w="3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Small firms AI use — 53% in 2025</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Mordor Intelligence</w:t>
            </w:r>
          </w:p>
        </w:tc>
        <w:tc>
          <w:tcPr>
            <w:tcW w:type="dxa" w:w="1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Market research</w:t>
            </w:r>
          </w:p>
        </w:tc>
      </w:tr>
      <w:tr>
        <w:tc>
          <w:tcPr>
            <w:tcW w:type="dxa" w:w="3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AI use by lawyers +315% 2023–24</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NetDocuments report via Nasscom</w:t>
            </w:r>
          </w:p>
        </w:tc>
        <w:tc>
          <w:tcPr>
            <w:tcW w:type="dxa" w:w="1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Industry report</w:t>
            </w:r>
          </w:p>
        </w:tc>
      </w:tr>
      <w:tr>
        <w:tc>
          <w:tcPr>
            <w:tcW w:type="dxa" w:w="3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LegalTech funding +44% H1 2025, $3.56B</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Wikipedia via Nasscom report</w:t>
            </w:r>
          </w:p>
        </w:tc>
        <w:tc>
          <w:tcPr>
            <w:tcW w:type="dxa" w:w="1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Industry report</w:t>
            </w:r>
          </w:p>
        </w:tc>
      </w:tr>
      <w:tr>
        <w:tc>
          <w:tcPr>
            <w:tcW w:type="dxa" w:w="3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India LegalTech — $464.6M (2023), 15.2% CAGR</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Grand View Research</w:t>
            </w:r>
          </w:p>
        </w:tc>
        <w:tc>
          <w:tcPr>
            <w:tcW w:type="dxa" w:w="1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Market research</w:t>
            </w:r>
          </w:p>
        </w:tc>
      </w:tr>
      <w:tr>
        <w:tc>
          <w:tcPr>
            <w:tcW w:type="dxa" w:w="3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India Legal AI — $29.5M (2024), 23% CAGR</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Grand View Research</w:t>
            </w:r>
          </w:p>
        </w:tc>
        <w:tc>
          <w:tcPr>
            <w:tcW w:type="dxa" w:w="1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Market research</w:t>
            </w:r>
          </w:p>
        </w:tc>
      </w:tr>
      <w:tr>
        <w:tc>
          <w:tcPr>
            <w:tcW w:type="dxa" w:w="3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Pakistan internet users — 116M</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DataReportal Digital 2025 Pakistan</w:t>
            </w:r>
          </w:p>
        </w:tc>
        <w:tc>
          <w:tcPr>
            <w:tcW w:type="dxa" w:w="1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January 2025</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Primary digital</w:t>
            </w:r>
          </w:p>
        </w:tc>
      </w:tr>
      <w:tr>
        <w:tc>
          <w:tcPr>
            <w:tcW w:type="dxa" w:w="3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Internet penetration — 45.7%</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DataReportal Digital 2025 Pakistan</w:t>
            </w:r>
          </w:p>
        </w:tc>
        <w:tc>
          <w:tcPr>
            <w:tcW w:type="dxa" w:w="1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January 2025</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Primary digital</w:t>
            </w:r>
          </w:p>
        </w:tc>
      </w:tr>
      <w:tr>
        <w:tc>
          <w:tcPr>
            <w:tcW w:type="dxa" w:w="3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Broadband penetration — 57%</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PTA FY2024-25 report</w:t>
            </w:r>
          </w:p>
        </w:tc>
        <w:tc>
          <w:tcPr>
            <w:tcW w:type="dxa" w:w="1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Primary government</w:t>
            </w:r>
          </w:p>
        </w:tc>
      </w:tr>
      <w:tr>
        <w:tc>
          <w:tcPr>
            <w:tcW w:type="dxa" w:w="3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Mobile data usage +20%</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PTA FY2024-25 via Daily K2</w:t>
            </w:r>
          </w:p>
        </w:tc>
        <w:tc>
          <w:tcPr>
            <w:tcW w:type="dxa" w:w="1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October 2025</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Primary government</w:t>
            </w:r>
          </w:p>
        </w:tc>
      </w:tr>
      <w:tr>
        <w:tc>
          <w:tcPr>
            <w:tcW w:type="dxa" w:w="3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Pakistan SaaS market — 10.54% CAGR</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Statista Market Forecast</w:t>
            </w:r>
          </w:p>
        </w:tc>
        <w:tc>
          <w:tcPr>
            <w:tcW w:type="dxa" w:w="1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Market research</w:t>
            </w:r>
          </w:p>
        </w:tc>
      </w:tr>
      <w:tr>
        <w:tc>
          <w:tcPr>
            <w:tcW w:type="dxa" w:w="3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Pakistan software market — $1.045B (2025), 12.64% CAGR</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Statista Market Forecast</w:t>
            </w:r>
          </w:p>
        </w:tc>
        <w:tc>
          <w:tcPr>
            <w:tcW w:type="dxa" w:w="1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Market research</w:t>
            </w:r>
          </w:p>
        </w:tc>
      </w:tr>
      <w:tr>
        <w:tc>
          <w:tcPr>
            <w:tcW w:type="dxa" w:w="3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Pakistan IT exports — $3.22B FY2023-24, +24.12%</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PSEB via TechJuice</w:t>
            </w:r>
          </w:p>
        </w:tc>
        <w:tc>
          <w:tcPr>
            <w:tcW w:type="dxa" w:w="1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May 2025</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Primary government</w:t>
            </w:r>
          </w:p>
        </w:tc>
      </w:tr>
      <w:tr>
        <w:tc>
          <w:tcPr>
            <w:tcW w:type="dxa" w:w="35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Pakistan PSEB registered companies — 9,866</w:t>
            </w:r>
          </w:p>
        </w:tc>
        <w:tc>
          <w:tcPr>
            <w:tcW w:type="dxa" w:w="28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PSEB Annual Report 2024</w:t>
            </w:r>
          </w:p>
        </w:tc>
        <w:tc>
          <w:tcPr>
            <w:tcW w:type="dxa" w:w="116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2025</w:t>
            </w:r>
          </w:p>
        </w:tc>
        <w:tc>
          <w:tcPr>
            <w:tcW w:type="dxa" w:w="1900"/>
            <w:tcBorders>
              <w:top w:val="single" w:color="CBD5E0" w:sz="1"/>
              <w:left w:val="single" w:color="CBD5E0" w:sz="1"/>
              <w:bottom w:val="single" w:color="CBD5E0" w:sz="1"/>
              <w:right w:val="single" w:color="CBD5E0" w:sz="1"/>
            </w:tcBorders>
            <w:shd w:fill="FFFFFF" w:val="clear"/>
            <w:tcMar>
              <w:top w:type="dxa" w:w="70"/>
              <w:left w:type="dxa" w:w="110"/>
              <w:bottom w:type="dxa" w:w="70"/>
              <w:right w:type="dxa" w:w="80"/>
            </w:tcMar>
          </w:tcPr>
          <w:p>
            <w:r>
              <w:rPr>
                <w:rFonts w:ascii="Arial" w:cs="Arial" w:eastAsia="Arial" w:hAnsi="Arial"/>
                <w:color w:val="1A1A2E"/>
                <w:sz w:val="18"/>
                <w:szCs w:val="18"/>
              </w:rPr>
              <w:t xml:space="preserve">Primary government</w:t>
            </w:r>
          </w:p>
        </w:tc>
      </w:tr>
      <w:tr>
        <w:tc>
          <w:tcPr>
            <w:tcW w:type="dxa" w:w="35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5G rollout — 7 cities mid-2025</w:t>
            </w:r>
          </w:p>
        </w:tc>
        <w:tc>
          <w:tcPr>
            <w:tcW w:type="dxa" w:w="28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Grokipedia Pakistan Internet</w:t>
            </w:r>
          </w:p>
        </w:tc>
        <w:tc>
          <w:tcPr>
            <w:tcW w:type="dxa" w:w="116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March 2026</w:t>
            </w:r>
          </w:p>
        </w:tc>
        <w:tc>
          <w:tcPr>
            <w:tcW w:type="dxa" w:w="1900"/>
            <w:tcBorders>
              <w:top w:val="single" w:color="CBD5E0" w:sz="1"/>
              <w:left w:val="single" w:color="CBD5E0" w:sz="1"/>
              <w:bottom w:val="single" w:color="CBD5E0" w:sz="1"/>
              <w:right w:val="single" w:color="CBD5E0" w:sz="1"/>
            </w:tcBorders>
            <w:shd w:fill="EEF2F7" w:val="clear"/>
            <w:tcMar>
              <w:top w:type="dxa" w:w="70"/>
              <w:left w:type="dxa" w:w="110"/>
              <w:bottom w:type="dxa" w:w="70"/>
              <w:right w:type="dxa" w:w="80"/>
            </w:tcMar>
          </w:tcPr>
          <w:p>
            <w:r>
              <w:rPr>
                <w:rFonts w:ascii="Arial" w:cs="Arial" w:eastAsia="Arial" w:hAnsi="Arial"/>
                <w:color w:val="1A1A2E"/>
                <w:sz w:val="18"/>
                <w:szCs w:val="18"/>
              </w:rPr>
              <w:t xml:space="preserve">Secondary current</w:t>
            </w:r>
          </w:p>
        </w:tc>
      </w:tr>
    </w:tbl>
    <w:p>
      <w:pPr>
        <w:spacing w:before="12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i/>
          <w:iCs/>
          <w:color w:val="4A5568"/>
          <w:sz w:val="18"/>
          <w:szCs w:val="18"/>
        </w:rPr>
        <w:t xml:space="preserve">WukalaGPT — Empowering Pakistani Lawyers Through Intelligent Technology</w:t>
      </w:r>
    </w:p>
    <w:p>
      <w:pPr>
        <w:jc w:val="center"/>
      </w:pPr>
      <w:r>
        <w:rPr>
          <w:rFonts w:ascii="Arial" w:cs="Arial" w:eastAsia="Arial" w:hAnsi="Arial"/>
          <w:color w:val="4A5568"/>
          <w:sz w:val="16"/>
          <w:szCs w:val="16"/>
        </w:rPr>
        <w:t xml:space="preserve">Code Envision Technologies — Daska, Punjab, Pakistan  |  WKL-RES-MarketSizeAnalysis-v1.0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pPr>
    <w:r>
      <w:t xml:space="preserve"/>
    </w:r>
  </w:p>
  <w:p>
    <w:r>
      <w:rPr>
        <w:rFonts w:ascii="Arial" w:cs="Arial" w:eastAsia="Arial" w:hAnsi="Arial"/>
        <w:color w:val="4A5568"/>
        <w:sz w:val="16"/>
        <w:szCs w:val="16"/>
      </w:rPr>
      <w:t xml:space="preserve">WukalaGPT Market Size Report  |  WKL-RES-MarketSizeAnalysis-v1.0  |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3A5C"/>
              <w:sz w:val="16"/>
              <w:szCs w:val="16"/>
            </w:rPr>
            <w:t xml:space="preserve">WukalaGPT — Market Size Research Report</w:t>
          </w:r>
        </w:p>
      </w:tc>
      <w:tc>
        <w:tcPr>
          <w:tcW w:type="dxa" w:w="408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4A5568"/>
              <w:sz w:val="16"/>
              <w:szCs w:val="16"/>
            </w:rPr>
            <w:t xml:space="preserve">Code Envision Technologies  |  CONFIDENTIAL</w:t>
          </w:r>
        </w:p>
      </w:tc>
    </w:tr>
  </w:tbl>
  <w:p>
    <w:pPr>
      <w:pBdr>
        <w:bottom w:val="single" w:color="C8972B"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2026-03-28T13:19:30.340Z</dcterms:created>
  <dcterms:modified xsi:type="dcterms:W3CDTF">2026-03-28T13:19:30.340Z</dcterms:modified>
</cp:coreProperties>
</file>

<file path=docProps/custom.xml><?xml version="1.0" encoding="utf-8"?>
<Properties xmlns="http://schemas.openxmlformats.org/officeDocument/2006/custom-properties" xmlns:vt="http://schemas.openxmlformats.org/officeDocument/2006/docPropsVTypes"/>
</file>