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00E" w:rsidRDefault="00FF700E">
      <w:pPr>
        <w:spacing w:after="1400"/>
      </w:pPr>
    </w:p>
    <w:p w:rsidR="00FF700E" w:rsidRDefault="006B6A2E">
      <w:r>
        <w:rPr>
          <w:b/>
          <w:bCs/>
          <w:color w:val="FC8019"/>
          <w:spacing w:val="20"/>
          <w:sz w:val="20"/>
          <w:szCs w:val="20"/>
        </w:rPr>
        <w:t>SWIGGY ORDER DATA</w:t>
      </w:r>
    </w:p>
    <w:p w:rsidR="00FF700E" w:rsidRDefault="006B6A2E">
      <w:pPr>
        <w:spacing w:before="100" w:after="100"/>
      </w:pPr>
      <w:r>
        <w:rPr>
          <w:b/>
          <w:bCs/>
          <w:color w:val="282C3F"/>
          <w:sz w:val="56"/>
          <w:szCs w:val="56"/>
        </w:rPr>
        <w:t>Sales Performance Report</w:t>
      </w:r>
    </w:p>
    <w:p w:rsidR="00FF700E" w:rsidRDefault="006B6A2E">
      <w:pPr>
        <w:spacing w:after="600"/>
      </w:pPr>
      <w:r>
        <w:rPr>
          <w:color w:val="6B6B6B"/>
          <w:sz w:val="26"/>
          <w:szCs w:val="26"/>
        </w:rPr>
        <w:t>January – August 2025</w:t>
      </w:r>
    </w:p>
    <w:p w:rsidR="00FF700E" w:rsidRDefault="00FF700E" w:rsidP="000B7747">
      <w:pPr>
        <w:pBdr>
          <w:top w:val="single" w:sz="8" w:space="27" w:color="FC8019"/>
        </w:pBdr>
        <w:spacing w:before="200" w:after="3200"/>
      </w:pPr>
    </w:p>
    <w:tbl>
      <w:tblPr>
        <w:tblW w:w="5000" w:type="pct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2008"/>
        <w:gridCol w:w="2008"/>
        <w:gridCol w:w="2008"/>
        <w:gridCol w:w="2008"/>
      </w:tblGrid>
      <w:tr w:rsidR="00FF700E">
        <w:tc>
          <w:tcPr>
            <w:tcW w:w="1870" w:type="dxa"/>
            <w:shd w:val="clear" w:color="auto" w:fill="282C3F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:rsidR="00FF700E" w:rsidRDefault="006B6A2E">
            <w:pPr>
              <w:spacing w:after="40"/>
              <w:jc w:val="center"/>
            </w:pPr>
            <w:r>
              <w:rPr>
                <w:b/>
                <w:bCs/>
                <w:color w:val="FC8019"/>
                <w:sz w:val="26"/>
                <w:szCs w:val="26"/>
              </w:rPr>
              <w:t>₹53.01M</w:t>
            </w:r>
          </w:p>
          <w:p w:rsidR="00FF700E" w:rsidRDefault="006B6A2E">
            <w:pPr>
              <w:jc w:val="center"/>
            </w:pPr>
            <w:r>
              <w:rPr>
                <w:color w:val="FFFFFF"/>
                <w:sz w:val="15"/>
                <w:szCs w:val="15"/>
              </w:rPr>
              <w:t>TOTAL REVENUE</w:t>
            </w:r>
          </w:p>
        </w:tc>
        <w:tc>
          <w:tcPr>
            <w:tcW w:w="1870" w:type="dxa"/>
            <w:shd w:val="clear" w:color="auto" w:fill="282C3F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:rsidR="00FF700E" w:rsidRDefault="00220FB5">
            <w:pPr>
              <w:spacing w:after="40"/>
              <w:jc w:val="center"/>
            </w:pPr>
            <w:r>
              <w:rPr>
                <w:b/>
                <w:bCs/>
                <w:color w:val="FC8019"/>
                <w:sz w:val="26"/>
                <w:szCs w:val="26"/>
              </w:rPr>
              <w:t>197,403</w:t>
            </w:r>
          </w:p>
          <w:p w:rsidR="00FF700E" w:rsidRDefault="006B6A2E">
            <w:pPr>
              <w:jc w:val="center"/>
            </w:pPr>
            <w:r>
              <w:rPr>
                <w:color w:val="FFFFFF"/>
                <w:sz w:val="15"/>
                <w:szCs w:val="15"/>
              </w:rPr>
              <w:t>TOTAL ORDERS</w:t>
            </w:r>
          </w:p>
        </w:tc>
        <w:tc>
          <w:tcPr>
            <w:tcW w:w="1870" w:type="dxa"/>
            <w:shd w:val="clear" w:color="auto" w:fill="282C3F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:rsidR="00FF700E" w:rsidRDefault="006B6A2E">
            <w:pPr>
              <w:spacing w:after="40"/>
              <w:jc w:val="center"/>
            </w:pPr>
            <w:r>
              <w:rPr>
                <w:b/>
                <w:bCs/>
                <w:color w:val="FC8019"/>
                <w:sz w:val="26"/>
                <w:szCs w:val="26"/>
              </w:rPr>
              <w:t>₹268.51</w:t>
            </w:r>
          </w:p>
          <w:p w:rsidR="00FF700E" w:rsidRDefault="006B6A2E">
            <w:pPr>
              <w:jc w:val="center"/>
            </w:pPr>
            <w:r>
              <w:rPr>
                <w:color w:val="FFFFFF"/>
                <w:sz w:val="15"/>
                <w:szCs w:val="15"/>
              </w:rPr>
              <w:t>AVG ORDER VALUE</w:t>
            </w:r>
          </w:p>
        </w:tc>
        <w:tc>
          <w:tcPr>
            <w:tcW w:w="1870" w:type="dxa"/>
            <w:shd w:val="clear" w:color="auto" w:fill="282C3F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:rsidR="00FF700E" w:rsidRDefault="006B6A2E">
            <w:pPr>
              <w:spacing w:after="40"/>
              <w:jc w:val="center"/>
            </w:pPr>
            <w:r>
              <w:rPr>
                <w:b/>
                <w:bCs/>
                <w:color w:val="FC8019"/>
                <w:sz w:val="26"/>
                <w:szCs w:val="26"/>
              </w:rPr>
              <w:t>4.34 / 5</w:t>
            </w:r>
          </w:p>
          <w:p w:rsidR="00FF700E" w:rsidRDefault="006B6A2E">
            <w:pPr>
              <w:jc w:val="center"/>
            </w:pPr>
            <w:r>
              <w:rPr>
                <w:color w:val="FFFFFF"/>
                <w:sz w:val="15"/>
                <w:szCs w:val="15"/>
              </w:rPr>
              <w:t>AVG RATING</w:t>
            </w:r>
          </w:p>
        </w:tc>
        <w:tc>
          <w:tcPr>
            <w:tcW w:w="1870" w:type="dxa"/>
            <w:shd w:val="clear" w:color="auto" w:fill="282C3F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:rsidR="00FF700E" w:rsidRDefault="006B6A2E">
            <w:pPr>
              <w:spacing w:after="40"/>
              <w:jc w:val="center"/>
            </w:pPr>
            <w:r>
              <w:rPr>
                <w:b/>
                <w:bCs/>
                <w:color w:val="FC8019"/>
                <w:sz w:val="26"/>
                <w:szCs w:val="26"/>
              </w:rPr>
              <w:t>28</w:t>
            </w:r>
          </w:p>
          <w:p w:rsidR="00FF700E" w:rsidRDefault="006B6A2E">
            <w:pPr>
              <w:jc w:val="center"/>
            </w:pPr>
            <w:r>
              <w:rPr>
                <w:color w:val="FFFFFF"/>
                <w:sz w:val="15"/>
                <w:szCs w:val="15"/>
              </w:rPr>
              <w:t>CITIES COVERED</w:t>
            </w:r>
          </w:p>
        </w:tc>
      </w:tr>
    </w:tbl>
    <w:p w:rsidR="00FF700E" w:rsidRDefault="00FF700E">
      <w:pPr>
        <w:spacing w:after="3600"/>
      </w:pPr>
    </w:p>
    <w:p w:rsidR="00553808" w:rsidRDefault="00553808">
      <w:pPr>
        <w:spacing w:after="60"/>
        <w:rPr>
          <w:color w:val="6B6B6B"/>
          <w:sz w:val="19"/>
          <w:szCs w:val="19"/>
        </w:rPr>
      </w:pPr>
      <w:r>
        <w:rPr>
          <w:color w:val="6B6B6B"/>
          <w:sz w:val="19"/>
          <w:szCs w:val="19"/>
        </w:rPr>
        <w:t>Author: Hamid Nasir</w:t>
      </w:r>
    </w:p>
    <w:p w:rsidR="00FF700E" w:rsidRDefault="006B6A2E">
      <w:pPr>
        <w:spacing w:after="60"/>
      </w:pPr>
      <w:r>
        <w:rPr>
          <w:color w:val="6B6B6B"/>
          <w:sz w:val="19"/>
          <w:szCs w:val="19"/>
        </w:rPr>
        <w:t>Prepared for: Sales Leadership &amp; Regional Managers</w:t>
      </w:r>
    </w:p>
    <w:p w:rsidR="00FF700E" w:rsidRDefault="006B6A2E">
      <w:pPr>
        <w:spacing w:after="60"/>
      </w:pPr>
      <w:r>
        <w:rPr>
          <w:color w:val="6B6B6B"/>
          <w:sz w:val="19"/>
          <w:szCs w:val="19"/>
        </w:rPr>
        <w:t>Data source: Platform order-level export (197</w:t>
      </w:r>
      <w:r w:rsidR="00553808">
        <w:rPr>
          <w:color w:val="6B6B6B"/>
          <w:sz w:val="19"/>
          <w:szCs w:val="19"/>
        </w:rPr>
        <w:t>,430 rows, 28 states/cities, 984</w:t>
      </w:r>
      <w:r>
        <w:rPr>
          <w:color w:val="6B6B6B"/>
          <w:sz w:val="19"/>
          <w:szCs w:val="19"/>
        </w:rPr>
        <w:t xml:space="preserve"> restaurants)</w:t>
      </w:r>
    </w:p>
    <w:p w:rsidR="00FF700E" w:rsidRDefault="006B6A2E">
      <w:r>
        <w:rPr>
          <w:color w:val="6B6B6B"/>
          <w:sz w:val="19"/>
          <w:szCs w:val="19"/>
        </w:rPr>
        <w:t>Report date: August 2026</w:t>
      </w:r>
    </w:p>
    <w:p w:rsidR="00FF700E" w:rsidRDefault="00FF700E">
      <w:pPr>
        <w:sectPr w:rsidR="00FF700E" w:rsidSect="000B774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000" w:right="1100" w:bottom="1000" w:left="1100" w:header="720" w:footer="708" w:gutter="0"/>
          <w:cols w:space="720"/>
          <w:docGrid w:linePitch="360"/>
        </w:sectPr>
      </w:pPr>
    </w:p>
    <w:p w:rsidR="00FF700E" w:rsidRDefault="006B6A2E">
      <w:pPr>
        <w:pStyle w:val="Heading1"/>
        <w:pBdr>
          <w:bottom w:val="single" w:sz="12" w:space="4" w:color="FC8019"/>
        </w:pBdr>
        <w:spacing w:before="400" w:after="200"/>
      </w:pPr>
      <w:r>
        <w:rPr>
          <w:b/>
          <w:bCs/>
          <w:color w:val="282C3F"/>
          <w:sz w:val="30"/>
          <w:szCs w:val="30"/>
        </w:rPr>
        <w:lastRenderedPageBreak/>
        <w:t>1. Executive Summary</w:t>
      </w:r>
    </w:p>
    <w:p w:rsidR="00FF700E" w:rsidRDefault="006B6A2E">
      <w:pPr>
        <w:spacing w:after="160" w:line="300" w:lineRule="auto"/>
      </w:pPr>
      <w:r>
        <w:t>Between January and August 2025, the platform processed 197,</w:t>
      </w:r>
      <w:r w:rsidR="00BF52C9">
        <w:t>430 orders across 28 cities, 984 restaurants, and</w:t>
      </w:r>
      <w:r>
        <w:t xml:space="preserve"> </w:t>
      </w:r>
      <w:r w:rsidR="00BF52C9">
        <w:t xml:space="preserve">4774 </w:t>
      </w:r>
      <w:r>
        <w:t xml:space="preserve">menu categories, generating ₹53.01M in gross revenue at an average order value (AOV) of ₹268.51. Customer satisfaction is high and stable, with an average </w:t>
      </w:r>
      <w:r w:rsidR="00EF0AE8">
        <w:t>rating of 4.34/5</w:t>
      </w:r>
      <w:r>
        <w:t>.</w:t>
      </w:r>
    </w:p>
    <w:p w:rsidR="00FF700E" w:rsidRDefault="00BF52C9">
      <w:pPr>
        <w:spacing w:after="160" w:line="300" w:lineRule="auto"/>
      </w:pPr>
      <w:r>
        <w:t>Revenue is</w:t>
      </w:r>
      <w:r w:rsidR="006B6A2E">
        <w:t xml:space="preserve"> consistent month to month (₹6.27M–₹6.83M), indicating a mature, steady-state business rather than one driven by seasonal spikes. The clearest strategic signal in the data is geographic: Bengaluru alone generates 10.3% of total revenue — more than double any other city — while the next 22 cities each contribute </w:t>
      </w:r>
      <w:r w:rsidR="008D6B42">
        <w:t>under 3%. This report discuss that</w:t>
      </w:r>
      <w:r w:rsidR="00905F3A">
        <w:t>,</w:t>
      </w:r>
      <w:r w:rsidR="008D6B42">
        <w:t xml:space="preserve"> area </w:t>
      </w:r>
      <w:r w:rsidR="006B6A2E">
        <w:t>where the real, data-backed opportun</w:t>
      </w:r>
      <w:r w:rsidR="008D6B42">
        <w:t>ities are: like weekend demand, other</w:t>
      </w:r>
      <w:r w:rsidR="006B6A2E">
        <w:t xml:space="preserve"> city growth, and category-level bundling.</w:t>
      </w:r>
    </w:p>
    <w:p w:rsidR="00FF700E" w:rsidRDefault="006B6A2E">
      <w:pPr>
        <w:pStyle w:val="Heading1"/>
        <w:pBdr>
          <w:bottom w:val="single" w:sz="12" w:space="4" w:color="FC8019"/>
        </w:pBdr>
        <w:spacing w:before="400" w:after="200"/>
      </w:pPr>
      <w:r>
        <w:rPr>
          <w:b/>
          <w:bCs/>
          <w:color w:val="282C3F"/>
          <w:sz w:val="30"/>
          <w:szCs w:val="30"/>
        </w:rPr>
        <w:t>2. Data &amp; Methodology</w:t>
      </w:r>
    </w:p>
    <w:p w:rsidR="00FF700E" w:rsidRDefault="006B6A2E">
      <w:pPr>
        <w:spacing w:after="160" w:line="300" w:lineRule="auto"/>
      </w:pPr>
      <w:r>
        <w:t>This report is base</w:t>
      </w:r>
      <w:r w:rsidR="005F56BE">
        <w:t>d on a single order-level data</w:t>
      </w:r>
      <w:r>
        <w:t xml:space="preserve"> covering</w:t>
      </w:r>
      <w:r w:rsidR="005F56BE">
        <w:t xml:space="preserve"> the following points</w:t>
      </w:r>
      <w:r>
        <w:t>: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t>Period: January 1, 2025 – August 31, 2025 (8 full months; Q3 2025 includes only July and August, not a full quarter)</w:t>
      </w:r>
    </w:p>
    <w:p w:rsidR="00FF700E" w:rsidRDefault="00427ECB">
      <w:pPr>
        <w:pStyle w:val="ListParagraph"/>
        <w:numPr>
          <w:ilvl w:val="0"/>
          <w:numId w:val="2"/>
        </w:numPr>
        <w:spacing w:after="90" w:line="280" w:lineRule="auto"/>
      </w:pPr>
      <w:r>
        <w:t>Scope: 197,430 order received on platform in</w:t>
      </w:r>
      <w:r w:rsidR="006B6A2E">
        <w:t xml:space="preserve"> 28 states/cities (one city per state in this dataset), </w:t>
      </w:r>
      <w:r>
        <w:t>984 restaurants, 56</w:t>
      </w:r>
      <w:r w:rsidR="00787837">
        <w:t>,</w:t>
      </w:r>
      <w:r>
        <w:t>588</w:t>
      </w:r>
      <w:r w:rsidR="006B6A2E">
        <w:t xml:space="preserve"> distinct dish names, </w:t>
      </w:r>
      <w:r w:rsidR="00787837">
        <w:t>4,774 category of foods</w:t>
      </w:r>
      <w:r w:rsidR="00905F3A">
        <w:t>.</w:t>
      </w:r>
    </w:p>
    <w:p w:rsidR="00FF700E" w:rsidRDefault="00787837">
      <w:pPr>
        <w:pStyle w:val="ListParagraph"/>
        <w:numPr>
          <w:ilvl w:val="0"/>
          <w:numId w:val="2"/>
        </w:numPr>
        <w:spacing w:after="90" w:line="280" w:lineRule="auto"/>
      </w:pPr>
      <w:r>
        <w:t>Data Fields</w:t>
      </w:r>
      <w:r w:rsidR="006B6A2E">
        <w:t>: order date, geography, restaurant, category, dish name, price</w:t>
      </w:r>
      <w:r>
        <w:t>(INR)</w:t>
      </w:r>
      <w:r w:rsidR="006B6A2E">
        <w:t>, rating, and rating count</w:t>
      </w:r>
    </w:p>
    <w:p w:rsidR="00FF700E" w:rsidRDefault="006B6A2E">
      <w:pPr>
        <w:pStyle w:val="Heading2"/>
        <w:spacing w:before="280" w:after="140"/>
      </w:pPr>
      <w:r>
        <w:rPr>
          <w:b/>
          <w:bCs/>
          <w:color w:val="FC8019"/>
          <w:sz w:val="24"/>
          <w:szCs w:val="24"/>
        </w:rPr>
        <w:t>Known limitations</w:t>
      </w:r>
    </w:p>
    <w:p w:rsidR="00FF700E" w:rsidRDefault="00787837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Every State have only </w:t>
      </w:r>
      <w:r w:rsidR="00905F3A">
        <w:t xml:space="preserve">one </w:t>
      </w:r>
      <w:r>
        <w:t>city in this dataset</w:t>
      </w:r>
      <w:r w:rsidR="006B6A2E">
        <w:t>, so state-level and city-le</w:t>
      </w:r>
      <w:r w:rsidR="00462AA1">
        <w:t>vel findings are the same</w:t>
      </w:r>
      <w:r w:rsidR="006B6A2E">
        <w:t>, not independent confirmation.</w:t>
      </w:r>
    </w:p>
    <w:p w:rsidR="00FF700E" w:rsidRDefault="007968CE">
      <w:pPr>
        <w:pStyle w:val="ListParagraph"/>
        <w:numPr>
          <w:ilvl w:val="0"/>
          <w:numId w:val="2"/>
        </w:numPr>
        <w:spacing w:after="90" w:line="280" w:lineRule="auto"/>
      </w:pPr>
      <w:r>
        <w:t>“Category” is free text defined by restaurants like (4,774</w:t>
      </w:r>
      <w:r w:rsidR="006B6A2E">
        <w:t xml:space="preserve"> unique values, e.g. “Recommended,” “Chef’s Special”</w:t>
      </w:r>
      <w:r w:rsidR="00462AA1">
        <w:t xml:space="preserve"> </w:t>
      </w:r>
      <w:r w:rsidR="00FD1F92">
        <w:t>etc.</w:t>
      </w:r>
      <w:r w:rsidR="006B6A2E">
        <w:t xml:space="preserve">). Many top categories are </w:t>
      </w:r>
      <w:r>
        <w:t xml:space="preserve">just </w:t>
      </w:r>
      <w:r w:rsidR="00553808">
        <w:t>defined Label</w:t>
      </w:r>
      <w:r>
        <w:t xml:space="preserve"> instead of</w:t>
      </w:r>
      <w:r w:rsidR="006B6A2E">
        <w:t xml:space="preserve"> food types, so category totals should be read as “where on the menu revenue comes from,” not a clean cuisine breakdown.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t>Q3 2025 is incomplete (2 of 3 months). It is excluded from any month-over-month growth claims below.</w:t>
      </w:r>
    </w:p>
    <w:p w:rsidR="00553808" w:rsidRPr="00553808" w:rsidRDefault="006B6A2E" w:rsidP="00553808">
      <w:pPr>
        <w:pStyle w:val="ListParagraph"/>
        <w:numPr>
          <w:ilvl w:val="0"/>
          <w:numId w:val="2"/>
        </w:numPr>
        <w:spacing w:after="90" w:line="280" w:lineRule="auto"/>
      </w:pPr>
      <w:r>
        <w:t>No cost, margin, or delivery-fee data is included — all figures are gross order value (INR), not profit.</w:t>
      </w:r>
    </w:p>
    <w:p w:rsidR="00553808" w:rsidRDefault="00553808">
      <w:pPr>
        <w:pStyle w:val="Heading1"/>
        <w:pBdr>
          <w:bottom w:val="single" w:sz="12" w:space="4" w:color="FC8019"/>
        </w:pBdr>
        <w:spacing w:before="400" w:after="200"/>
        <w:rPr>
          <w:b/>
          <w:bCs/>
          <w:color w:val="282C3F"/>
          <w:sz w:val="30"/>
          <w:szCs w:val="30"/>
        </w:rPr>
      </w:pPr>
    </w:p>
    <w:p w:rsidR="00553808" w:rsidRDefault="00553808">
      <w:pPr>
        <w:pStyle w:val="Heading1"/>
        <w:pBdr>
          <w:bottom w:val="single" w:sz="12" w:space="4" w:color="FC8019"/>
        </w:pBdr>
        <w:spacing w:before="400" w:after="200"/>
        <w:rPr>
          <w:b/>
          <w:bCs/>
          <w:color w:val="282C3F"/>
          <w:sz w:val="30"/>
          <w:szCs w:val="30"/>
        </w:rPr>
      </w:pPr>
    </w:p>
    <w:p w:rsidR="00553808" w:rsidRDefault="00553808">
      <w:pPr>
        <w:pStyle w:val="Heading1"/>
        <w:pBdr>
          <w:bottom w:val="single" w:sz="12" w:space="4" w:color="FC8019"/>
        </w:pBdr>
        <w:spacing w:before="400" w:after="200"/>
        <w:rPr>
          <w:b/>
          <w:bCs/>
          <w:color w:val="282C3F"/>
          <w:sz w:val="30"/>
          <w:szCs w:val="30"/>
        </w:rPr>
      </w:pPr>
    </w:p>
    <w:p w:rsidR="00FD1F92" w:rsidRDefault="00FD1F92">
      <w:pPr>
        <w:pStyle w:val="Heading1"/>
        <w:pBdr>
          <w:bottom w:val="single" w:sz="12" w:space="4" w:color="FC8019"/>
        </w:pBdr>
        <w:spacing w:before="400" w:after="200"/>
        <w:rPr>
          <w:b/>
          <w:bCs/>
          <w:color w:val="282C3F"/>
          <w:sz w:val="30"/>
          <w:szCs w:val="30"/>
        </w:rPr>
      </w:pPr>
    </w:p>
    <w:p w:rsidR="00D023C6" w:rsidRPr="00FD1F92" w:rsidRDefault="006B6A2E" w:rsidP="00FD1F92">
      <w:pPr>
        <w:pStyle w:val="Heading1"/>
        <w:pBdr>
          <w:bottom w:val="single" w:sz="12" w:space="4" w:color="FC8019"/>
        </w:pBdr>
        <w:spacing w:before="400" w:after="200"/>
      </w:pPr>
      <w:r>
        <w:rPr>
          <w:b/>
          <w:bCs/>
          <w:color w:val="282C3F"/>
          <w:sz w:val="30"/>
          <w:szCs w:val="30"/>
        </w:rPr>
        <w:lastRenderedPageBreak/>
        <w:t>3. Revenue &amp; Order Performance</w:t>
      </w:r>
    </w:p>
    <w:p w:rsidR="00FF700E" w:rsidRDefault="006B6A2E">
      <w:pPr>
        <w:pStyle w:val="Heading2"/>
        <w:spacing w:before="280" w:after="140"/>
      </w:pPr>
      <w:r>
        <w:rPr>
          <w:b/>
          <w:bCs/>
          <w:color w:val="FC8019"/>
          <w:sz w:val="24"/>
          <w:szCs w:val="24"/>
        </w:rPr>
        <w:t>3.1 Monthly trend</w:t>
      </w:r>
    </w:p>
    <w:p w:rsidR="00553808" w:rsidRDefault="009E0E9C">
      <w:pPr>
        <w:spacing w:after="160" w:line="300" w:lineRule="auto"/>
        <w:rPr>
          <w:noProof/>
        </w:rPr>
      </w:pPr>
      <w:r>
        <w:t>Monthly revenue remain stable between ₹6.27M–₹6.83M over the</w:t>
      </w:r>
      <w:r w:rsidR="006B6A2E">
        <w:t xml:space="preserve"> year, with no month deviating from the average by more t</w:t>
      </w:r>
      <w:r>
        <w:t>han 5%. February was the weakest</w:t>
      </w:r>
      <w:r w:rsidR="006B6A2E">
        <w:t xml:space="preserve"> month; January and May were the strongest.</w:t>
      </w:r>
      <w:r>
        <w:t xml:space="preserve"> </w:t>
      </w:r>
      <w:r w:rsidR="006B6A2E" w:rsidRPr="006B6A2E">
        <w:rPr>
          <w:noProof/>
        </w:rPr>
        <w:t xml:space="preserve"> </w:t>
      </w:r>
    </w:p>
    <w:p w:rsidR="00FD1F92" w:rsidRDefault="00FD1F92">
      <w:pPr>
        <w:spacing w:after="160" w:line="300" w:lineRule="auto"/>
        <w:rPr>
          <w:noProof/>
        </w:rPr>
      </w:pPr>
    </w:p>
    <w:p w:rsidR="00FD1F92" w:rsidRDefault="00FD1F92">
      <w:pPr>
        <w:spacing w:after="160" w:line="300" w:lineRule="auto"/>
        <w:rPr>
          <w:noProof/>
        </w:rPr>
      </w:pPr>
    </w:p>
    <w:p w:rsidR="00D023C6" w:rsidRDefault="00D023C6">
      <w:pPr>
        <w:spacing w:after="160" w:line="300" w:lineRule="auto"/>
        <w:rPr>
          <w:noProof/>
        </w:rPr>
      </w:pPr>
    </w:p>
    <w:p w:rsidR="00FF700E" w:rsidRDefault="006B6A2E" w:rsidP="00FD1F92">
      <w:pPr>
        <w:spacing w:after="160" w:line="300" w:lineRule="auto"/>
        <w:ind w:left="180" w:right="-130"/>
      </w:pPr>
      <w:r w:rsidRPr="002F51D6">
        <w:rPr>
          <w:noProof/>
          <w:bdr w:val="single" w:sz="4" w:space="0" w:color="auto" w:shadow="1"/>
        </w:rPr>
        <w:drawing>
          <wp:inline distT="0" distB="0" distL="0" distR="0" wp14:anchorId="07F203CB" wp14:editId="6A882848">
            <wp:extent cx="5925312" cy="182371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102" cy="184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0E" w:rsidRDefault="00FF700E">
      <w:pPr>
        <w:spacing w:before="120" w:after="80"/>
        <w:jc w:val="center"/>
      </w:pPr>
    </w:p>
    <w:p w:rsidR="00FF700E" w:rsidRDefault="006B6A2E">
      <w:pPr>
        <w:spacing w:after="260"/>
        <w:jc w:val="center"/>
      </w:pPr>
      <w:r>
        <w:rPr>
          <w:i/>
          <w:iCs/>
          <w:color w:val="6B6B6B"/>
          <w:sz w:val="18"/>
          <w:szCs w:val="18"/>
        </w:rPr>
        <w:t>Figure 1. Monthly gross revenue, January–August 2025.</w:t>
      </w:r>
    </w:p>
    <w:p w:rsidR="00D023C6" w:rsidRDefault="00D023C6">
      <w:pPr>
        <w:pStyle w:val="Heading2"/>
        <w:spacing w:before="280" w:after="140"/>
        <w:rPr>
          <w:b/>
          <w:bCs/>
          <w:color w:val="FC8019"/>
          <w:sz w:val="24"/>
          <w:szCs w:val="24"/>
        </w:rPr>
      </w:pPr>
    </w:p>
    <w:p w:rsidR="00D023C6" w:rsidRDefault="00D023C6">
      <w:pPr>
        <w:pStyle w:val="Heading2"/>
        <w:spacing w:before="280" w:after="140"/>
        <w:rPr>
          <w:b/>
          <w:bCs/>
          <w:color w:val="FC8019"/>
          <w:sz w:val="24"/>
          <w:szCs w:val="24"/>
        </w:rPr>
      </w:pPr>
    </w:p>
    <w:p w:rsidR="00FF700E" w:rsidRDefault="006B6A2E">
      <w:pPr>
        <w:pStyle w:val="Heading2"/>
        <w:spacing w:before="280" w:after="140"/>
      </w:pPr>
      <w:r>
        <w:rPr>
          <w:b/>
          <w:bCs/>
          <w:color w:val="FC8019"/>
          <w:sz w:val="24"/>
          <w:szCs w:val="24"/>
        </w:rPr>
        <w:t>3.2 Quarterly view</w:t>
      </w:r>
    </w:p>
    <w:tbl>
      <w:tblPr>
        <w:tblW w:w="5000" w:type="pct"/>
        <w:tblInd w:w="-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5"/>
        <w:gridCol w:w="3005"/>
        <w:gridCol w:w="1932"/>
        <w:gridCol w:w="2522"/>
      </w:tblGrid>
      <w:tr w:rsidR="00FF700E" w:rsidTr="00220FB5">
        <w:trPr>
          <w:tblHeader/>
        </w:trPr>
        <w:tc>
          <w:tcPr>
            <w:tcW w:w="2575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r>
              <w:rPr>
                <w:b/>
                <w:bCs/>
                <w:color w:val="FFFFFF"/>
                <w:sz w:val="18"/>
                <w:szCs w:val="18"/>
              </w:rPr>
              <w:t>Quarter</w:t>
            </w:r>
          </w:p>
        </w:tc>
        <w:tc>
          <w:tcPr>
            <w:tcW w:w="3005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220FB5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Revenue (INR</w:t>
            </w:r>
            <w:r w:rsidR="006B6A2E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932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Orders</w:t>
            </w:r>
          </w:p>
        </w:tc>
        <w:tc>
          <w:tcPr>
            <w:tcW w:w="2522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Months Covered</w:t>
            </w:r>
          </w:p>
        </w:tc>
      </w:tr>
      <w:tr w:rsidR="00220FB5" w:rsidTr="00220FB5">
        <w:tc>
          <w:tcPr>
            <w:tcW w:w="25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Default="00220FB5" w:rsidP="00220FB5">
            <w:r>
              <w:rPr>
                <w:sz w:val="18"/>
                <w:szCs w:val="18"/>
              </w:rPr>
              <w:t>Q1 2025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Pr="00E6774E" w:rsidRDefault="00220FB5" w:rsidP="00220FB5">
            <w:pPr>
              <w:jc w:val="right"/>
            </w:pPr>
            <w:r w:rsidRPr="00E6774E">
              <w:t>19664881.2</w:t>
            </w:r>
          </w:p>
        </w:tc>
        <w:tc>
          <w:tcPr>
            <w:tcW w:w="19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Pr="007B4956" w:rsidRDefault="00220FB5" w:rsidP="00220FB5">
            <w:pPr>
              <w:jc w:val="right"/>
            </w:pPr>
            <w:r w:rsidRPr="007B4956">
              <w:t>73085</w:t>
            </w:r>
          </w:p>
        </w:tc>
        <w:tc>
          <w:tcPr>
            <w:tcW w:w="25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Default="00220FB5" w:rsidP="00220FB5">
            <w:pPr>
              <w:jc w:val="right"/>
            </w:pPr>
            <w:r>
              <w:rPr>
                <w:sz w:val="18"/>
                <w:szCs w:val="18"/>
              </w:rPr>
              <w:t>3 (Jan–Mar)</w:t>
            </w:r>
          </w:p>
        </w:tc>
      </w:tr>
      <w:tr w:rsidR="00220FB5" w:rsidTr="00220FB5">
        <w:tc>
          <w:tcPr>
            <w:tcW w:w="257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Default="00220FB5" w:rsidP="00220FB5">
            <w:r>
              <w:rPr>
                <w:sz w:val="18"/>
                <w:szCs w:val="18"/>
              </w:rPr>
              <w:t>Q2 2025</w:t>
            </w:r>
          </w:p>
        </w:tc>
        <w:tc>
          <w:tcPr>
            <w:tcW w:w="300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Pr="00E6774E" w:rsidRDefault="00220FB5" w:rsidP="00220FB5">
            <w:pPr>
              <w:jc w:val="right"/>
            </w:pPr>
            <w:r w:rsidRPr="00E6774E">
              <w:t>19896935.54</w:t>
            </w:r>
          </w:p>
        </w:tc>
        <w:tc>
          <w:tcPr>
            <w:tcW w:w="193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Pr="007B4956" w:rsidRDefault="00220FB5" w:rsidP="00220FB5">
            <w:pPr>
              <w:jc w:val="right"/>
            </w:pPr>
            <w:r w:rsidRPr="007B4956">
              <w:t>74155</w:t>
            </w:r>
          </w:p>
        </w:tc>
        <w:tc>
          <w:tcPr>
            <w:tcW w:w="252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Default="00220FB5" w:rsidP="00220FB5">
            <w:pPr>
              <w:jc w:val="right"/>
            </w:pPr>
            <w:r>
              <w:rPr>
                <w:sz w:val="18"/>
                <w:szCs w:val="18"/>
              </w:rPr>
              <w:t>3 (Apr–Jun)</w:t>
            </w:r>
          </w:p>
        </w:tc>
      </w:tr>
      <w:tr w:rsidR="00220FB5" w:rsidTr="00220FB5">
        <w:tc>
          <w:tcPr>
            <w:tcW w:w="25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Default="00220FB5" w:rsidP="00220FB5">
            <w:r>
              <w:rPr>
                <w:sz w:val="18"/>
                <w:szCs w:val="18"/>
              </w:rPr>
              <w:t>Q3 2025</w:t>
            </w:r>
          </w:p>
        </w:tc>
        <w:tc>
          <w:tcPr>
            <w:tcW w:w="30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Default="00220FB5" w:rsidP="00220FB5">
            <w:pPr>
              <w:jc w:val="right"/>
            </w:pPr>
            <w:r w:rsidRPr="00E6774E">
              <w:t>13441167.73</w:t>
            </w:r>
          </w:p>
        </w:tc>
        <w:tc>
          <w:tcPr>
            <w:tcW w:w="19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Default="00220FB5" w:rsidP="00220FB5">
            <w:pPr>
              <w:jc w:val="right"/>
            </w:pPr>
            <w:r w:rsidRPr="007B4956">
              <w:t>50163</w:t>
            </w:r>
          </w:p>
        </w:tc>
        <w:tc>
          <w:tcPr>
            <w:tcW w:w="25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FB5" w:rsidRDefault="00220FB5" w:rsidP="00220FB5">
            <w:pPr>
              <w:jc w:val="right"/>
            </w:pPr>
            <w:r>
              <w:rPr>
                <w:sz w:val="18"/>
                <w:szCs w:val="18"/>
              </w:rPr>
              <w:t>2 (Jul–Aug only)</w:t>
            </w:r>
          </w:p>
        </w:tc>
      </w:tr>
    </w:tbl>
    <w:p w:rsidR="00FF700E" w:rsidRDefault="00FF700E">
      <w:pPr>
        <w:spacing w:after="180"/>
      </w:pPr>
    </w:p>
    <w:p w:rsidR="00FF700E" w:rsidRDefault="009E0E9C">
      <w:pPr>
        <w:spacing w:after="160" w:line="300" w:lineRule="auto"/>
      </w:pPr>
      <w:r>
        <w:t>Q2 recorded more orders than Q1, but the difference</w:t>
      </w:r>
      <w:r w:rsidR="00D023C6">
        <w:t xml:space="preserve"> is under 1</w:t>
      </w:r>
      <w:r w:rsidR="006B6A2E">
        <w:t>%. Q3's lower total is expected and not a decline signal</w:t>
      </w:r>
      <w:r w:rsidR="00D023C6">
        <w:t xml:space="preserve"> in orders because</w:t>
      </w:r>
      <w:r w:rsidR="006B6A2E">
        <w:t xml:space="preserve"> it is missing Septemb</w:t>
      </w:r>
      <w:r w:rsidR="00D023C6">
        <w:t>er entirely, so it will not be</w:t>
      </w:r>
      <w:r w:rsidR="006B6A2E">
        <w:t xml:space="preserve"> compared directly to the two full quarters above it.</w:t>
      </w:r>
    </w:p>
    <w:p w:rsidR="00D023C6" w:rsidRDefault="00D023C6">
      <w:pPr>
        <w:pStyle w:val="Heading1"/>
        <w:pBdr>
          <w:bottom w:val="single" w:sz="12" w:space="4" w:color="FC8019"/>
        </w:pBdr>
        <w:spacing w:before="400" w:after="200"/>
        <w:rPr>
          <w:b/>
          <w:bCs/>
          <w:color w:val="282C3F"/>
          <w:sz w:val="30"/>
          <w:szCs w:val="30"/>
        </w:rPr>
      </w:pPr>
    </w:p>
    <w:p w:rsidR="00FF700E" w:rsidRDefault="00D023C6">
      <w:pPr>
        <w:pStyle w:val="Heading1"/>
        <w:pBdr>
          <w:bottom w:val="single" w:sz="12" w:space="4" w:color="FC8019"/>
        </w:pBdr>
        <w:spacing w:before="400" w:after="200"/>
      </w:pPr>
      <w:r>
        <w:rPr>
          <w:b/>
          <w:bCs/>
          <w:color w:val="282C3F"/>
          <w:sz w:val="30"/>
          <w:szCs w:val="30"/>
        </w:rPr>
        <w:lastRenderedPageBreak/>
        <w:t xml:space="preserve">4. Daily Demand </w:t>
      </w:r>
    </w:p>
    <w:p w:rsidR="00FF700E" w:rsidRDefault="006B6A2E">
      <w:pPr>
        <w:spacing w:after="160" w:line="300" w:lineRule="auto"/>
      </w:pPr>
      <w:r>
        <w:t>Weekend order volume is modestly higher than week</w:t>
      </w:r>
      <w:r w:rsidR="00B75C19">
        <w:t xml:space="preserve"> </w:t>
      </w:r>
      <w:r>
        <w:t>day volume, not dramaticall</w:t>
      </w:r>
      <w:r w:rsidR="00B75C19">
        <w:t>y so. Comparing weekend</w:t>
      </w:r>
      <w:r>
        <w:t xml:space="preserve"> day</w:t>
      </w:r>
      <w:r w:rsidR="00B75C19">
        <w:t>s such as Saturday and Sunday</w:t>
      </w:r>
      <w:r>
        <w:t xml:space="preserve"> to the</w:t>
      </w:r>
      <w:r w:rsidR="00B75C19">
        <w:t xml:space="preserve"> average of week days from Monday–Friday average of 28,000</w:t>
      </w:r>
      <w:r>
        <w:t xml:space="preserve"> orders/day:</w:t>
      </w:r>
    </w:p>
    <w:p w:rsidR="00D023C6" w:rsidRDefault="00D023C6">
      <w:pPr>
        <w:spacing w:after="160" w:line="300" w:lineRule="auto"/>
      </w:pPr>
    </w:p>
    <w:p w:rsidR="00FF700E" w:rsidRDefault="006B6A2E">
      <w:pPr>
        <w:spacing w:before="120" w:after="80"/>
        <w:jc w:val="center"/>
      </w:pPr>
      <w:r w:rsidRPr="00636C87">
        <w:rPr>
          <w:noProof/>
          <w:bdr w:val="single" w:sz="4" w:space="0" w:color="auto" w:shadow="1"/>
        </w:rPr>
        <w:drawing>
          <wp:inline distT="0" distB="0" distL="0" distR="0">
            <wp:extent cx="5762625" cy="19681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6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0E" w:rsidRDefault="006B6A2E">
      <w:pPr>
        <w:spacing w:after="260"/>
        <w:jc w:val="center"/>
      </w:pPr>
      <w:r>
        <w:rPr>
          <w:i/>
          <w:iCs/>
          <w:color w:val="6B6B6B"/>
          <w:sz w:val="18"/>
          <w:szCs w:val="18"/>
        </w:rPr>
        <w:t>Figure 2. Order volume by day of week (Jan–Aug 2025 total).</w:t>
      </w:r>
    </w:p>
    <w:p w:rsidR="00FF700E" w:rsidRDefault="00B75C19">
      <w:pPr>
        <w:pStyle w:val="ListParagraph"/>
        <w:numPr>
          <w:ilvl w:val="0"/>
          <w:numId w:val="2"/>
        </w:numPr>
        <w:spacing w:after="90" w:line="280" w:lineRule="auto"/>
      </w:pPr>
      <w:r>
        <w:t>Saturday: 28,933</w:t>
      </w:r>
      <w:r w:rsidR="00CB73F0">
        <w:t xml:space="preserve"> orders — +3.2</w:t>
      </w:r>
      <w:r w:rsidR="006B6A2E">
        <w:t>% vs. weekday average</w:t>
      </w:r>
    </w:p>
    <w:p w:rsidR="00FF700E" w:rsidRDefault="00CB73F0">
      <w:pPr>
        <w:pStyle w:val="ListParagraph"/>
        <w:numPr>
          <w:ilvl w:val="0"/>
          <w:numId w:val="2"/>
        </w:numPr>
        <w:spacing w:after="90" w:line="280" w:lineRule="auto"/>
      </w:pPr>
      <w:r>
        <w:t>Sunday: 28,470</w:t>
      </w:r>
      <w:r w:rsidR="006B6A2E">
        <w:t xml:space="preserve"> orders — +1.7% vs. weekday average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t>Tuesday is the single lowest day (27,415 orders), 2.1% below the weekday average</w:t>
      </w:r>
    </w:p>
    <w:p w:rsidR="00FF700E" w:rsidRDefault="00CB73F0">
      <w:pPr>
        <w:spacing w:after="160" w:line="300" w:lineRule="auto"/>
      </w:pPr>
      <w:r>
        <w:t>This is a</w:t>
      </w:r>
      <w:r w:rsidR="006B6A2E">
        <w:t xml:space="preserve"> modest effect — useful for lightly weighting weekend promotions, not for building a campaign around a “major weekend surge,” which the data does not support.</w:t>
      </w:r>
    </w:p>
    <w:p w:rsidR="00FF700E" w:rsidRDefault="006B6A2E">
      <w:pPr>
        <w:pStyle w:val="Heading1"/>
        <w:pBdr>
          <w:bottom w:val="single" w:sz="12" w:space="4" w:color="FC8019"/>
        </w:pBdr>
        <w:spacing w:before="400" w:after="200"/>
      </w:pPr>
      <w:r>
        <w:rPr>
          <w:b/>
          <w:bCs/>
          <w:color w:val="282C3F"/>
          <w:sz w:val="30"/>
          <w:szCs w:val="30"/>
        </w:rPr>
        <w:t>5. Geographic Performance</w:t>
      </w:r>
    </w:p>
    <w:p w:rsidR="00FF700E" w:rsidRDefault="006B6A2E">
      <w:pPr>
        <w:spacing w:after="160" w:line="300" w:lineRule="auto"/>
      </w:pPr>
      <w:r>
        <w:t>Revenue is heavily concentrated at the top of the city list. The top 5 cities generate 32.9% of total reven</w:t>
      </w:r>
      <w:r w:rsidR="00361FBB">
        <w:t>ue, but Bengaluru alone generate</w:t>
      </w:r>
      <w:r>
        <w:t xml:space="preserve"> more than the next two cities combined</w:t>
      </w:r>
      <w:r w:rsidR="00361FBB">
        <w:t xml:space="preserve"> revenue</w:t>
      </w:r>
      <w:r>
        <w:t>.</w:t>
      </w:r>
    </w:p>
    <w:p w:rsidR="00361FBB" w:rsidRDefault="00361FBB">
      <w:pPr>
        <w:spacing w:after="160" w:line="300" w:lineRule="auto"/>
      </w:pPr>
    </w:p>
    <w:p w:rsidR="00FF700E" w:rsidRDefault="006B6A2E">
      <w:pPr>
        <w:spacing w:before="120" w:after="80"/>
        <w:jc w:val="center"/>
      </w:pPr>
      <w:r w:rsidRPr="00470CB6">
        <w:rPr>
          <w:noProof/>
          <w:bdr w:val="single" w:sz="4" w:space="0" w:color="auto" w:shadow="1"/>
        </w:rPr>
        <w:drawing>
          <wp:inline distT="0" distB="0" distL="0" distR="0">
            <wp:extent cx="5960523" cy="2178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727" cy="219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0E" w:rsidRDefault="006B6A2E">
      <w:pPr>
        <w:spacing w:after="260"/>
        <w:jc w:val="center"/>
      </w:pPr>
      <w:r>
        <w:rPr>
          <w:i/>
          <w:iCs/>
          <w:color w:val="6B6B6B"/>
          <w:sz w:val="18"/>
          <w:szCs w:val="18"/>
        </w:rPr>
        <w:t>Figure 3. Top 10 cities by gross revenue.</w:t>
      </w:r>
    </w:p>
    <w:tbl>
      <w:tblPr>
        <w:tblW w:w="5000" w:type="pct"/>
        <w:tblInd w:w="-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0"/>
        <w:gridCol w:w="2683"/>
        <w:gridCol w:w="2039"/>
        <w:gridCol w:w="2522"/>
      </w:tblGrid>
      <w:tr w:rsidR="00FF700E" w:rsidRPr="000D1C1F" w:rsidTr="000D1C1F">
        <w:trPr>
          <w:tblHeader/>
        </w:trPr>
        <w:tc>
          <w:tcPr>
            <w:tcW w:w="2790" w:type="dxa"/>
            <w:tcBorders>
              <w:bottom w:val="single" w:sz="2" w:space="0" w:color="E5E5E5"/>
            </w:tcBorders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City</w:t>
            </w:r>
          </w:p>
        </w:tc>
        <w:tc>
          <w:tcPr>
            <w:tcW w:w="2683" w:type="dxa"/>
            <w:tcBorders>
              <w:bottom w:val="single" w:sz="2" w:space="0" w:color="E5E5E5"/>
            </w:tcBorders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Revenue (₹)</w:t>
            </w:r>
          </w:p>
        </w:tc>
        <w:tc>
          <w:tcPr>
            <w:tcW w:w="2039" w:type="dxa"/>
            <w:tcBorders>
              <w:bottom w:val="single" w:sz="2" w:space="0" w:color="E5E5E5"/>
            </w:tcBorders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Orders</w:t>
            </w:r>
          </w:p>
        </w:tc>
        <w:tc>
          <w:tcPr>
            <w:tcW w:w="2522" w:type="dxa"/>
            <w:tcBorders>
              <w:bottom w:val="single" w:sz="2" w:space="0" w:color="E5E5E5"/>
            </w:tcBorders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</w:tr>
      <w:tr w:rsidR="00080F3F" w:rsidRPr="000D1C1F" w:rsidTr="000D1C1F">
        <w:tc>
          <w:tcPr>
            <w:tcW w:w="2790" w:type="dxa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80F3F" w:rsidP="00080F3F">
            <w:r w:rsidRPr="000D1C1F">
              <w:rPr>
                <w:sz w:val="18"/>
                <w:szCs w:val="18"/>
              </w:rPr>
              <w:t>Bengaluru</w:t>
            </w:r>
          </w:p>
        </w:tc>
        <w:tc>
          <w:tcPr>
            <w:tcW w:w="2683" w:type="dxa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D1C1F" w:rsidP="00080F3F">
            <w:pPr>
              <w:jc w:val="right"/>
            </w:pPr>
            <w:r w:rsidRPr="000D1C1F">
              <w:rPr>
                <w:sz w:val="18"/>
                <w:szCs w:val="18"/>
              </w:rPr>
              <w:t>5455887.73</w:t>
            </w:r>
          </w:p>
        </w:tc>
        <w:tc>
          <w:tcPr>
            <w:tcW w:w="2039" w:type="dxa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80F3F" w:rsidP="00080F3F">
            <w:pPr>
              <w:jc w:val="right"/>
            </w:pPr>
            <w:r w:rsidRPr="000D1C1F">
              <w:rPr>
                <w:sz w:val="18"/>
                <w:szCs w:val="18"/>
              </w:rPr>
              <w:t>20,072</w:t>
            </w:r>
          </w:p>
        </w:tc>
        <w:tc>
          <w:tcPr>
            <w:tcW w:w="2522" w:type="dxa"/>
            <w:tcBorders>
              <w:top w:val="single" w:sz="2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80F3F" w:rsidRPr="000D1C1F" w:rsidRDefault="00080F3F" w:rsidP="00080F3F">
            <w:pPr>
              <w:jc w:val="right"/>
              <w:rPr>
                <w:rFonts w:ascii="Arial" w:hAnsi="Arial" w:cs="Arial"/>
                <w:color w:val="000000"/>
              </w:rPr>
            </w:pPr>
            <w:r w:rsidRPr="000D1C1F">
              <w:rPr>
                <w:rFonts w:ascii="Arial" w:hAnsi="Arial" w:cs="Arial"/>
                <w:color w:val="000000"/>
              </w:rPr>
              <w:t>10.2%</w:t>
            </w:r>
          </w:p>
        </w:tc>
      </w:tr>
      <w:tr w:rsidR="00080F3F" w:rsidRPr="000D1C1F" w:rsidTr="000D1C1F">
        <w:tc>
          <w:tcPr>
            <w:tcW w:w="2790" w:type="dxa"/>
            <w:tcBorders>
              <w:top w:val="single" w:sz="6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80F3F" w:rsidP="00080F3F">
            <w:r w:rsidRPr="000D1C1F">
              <w:rPr>
                <w:sz w:val="18"/>
                <w:szCs w:val="18"/>
              </w:rPr>
              <w:t>Lucknow</w:t>
            </w:r>
          </w:p>
        </w:tc>
        <w:tc>
          <w:tcPr>
            <w:tcW w:w="268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D1C1F" w:rsidP="00080F3F">
            <w:pPr>
              <w:jc w:val="right"/>
            </w:pPr>
            <w:r w:rsidRPr="000D1C1F">
              <w:rPr>
                <w:sz w:val="18"/>
                <w:szCs w:val="18"/>
              </w:rPr>
              <w:t>3117359.65</w:t>
            </w:r>
          </w:p>
        </w:tc>
        <w:tc>
          <w:tcPr>
            <w:tcW w:w="203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80F3F" w:rsidP="00080F3F">
            <w:pPr>
              <w:jc w:val="right"/>
            </w:pPr>
            <w:r w:rsidRPr="000D1C1F">
              <w:rPr>
                <w:sz w:val="18"/>
                <w:szCs w:val="18"/>
              </w:rPr>
              <w:t>10,192</w:t>
            </w:r>
          </w:p>
        </w:tc>
        <w:tc>
          <w:tcPr>
            <w:tcW w:w="252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80F3F" w:rsidRPr="000D1C1F" w:rsidRDefault="00080F3F" w:rsidP="00080F3F">
            <w:pPr>
              <w:jc w:val="right"/>
              <w:rPr>
                <w:rFonts w:ascii="Arial" w:hAnsi="Arial" w:cs="Arial"/>
                <w:color w:val="000000"/>
              </w:rPr>
            </w:pPr>
            <w:r w:rsidRPr="000D1C1F">
              <w:rPr>
                <w:rFonts w:ascii="Arial" w:hAnsi="Arial" w:cs="Arial"/>
                <w:color w:val="000000"/>
              </w:rPr>
              <w:t>5.2%</w:t>
            </w:r>
          </w:p>
        </w:tc>
      </w:tr>
      <w:tr w:rsidR="00080F3F" w:rsidRPr="000D1C1F" w:rsidTr="000D1C1F">
        <w:tc>
          <w:tcPr>
            <w:tcW w:w="2790" w:type="dxa"/>
            <w:tcBorders>
              <w:top w:val="single" w:sz="6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80F3F" w:rsidP="00080F3F">
            <w:r w:rsidRPr="000D1C1F">
              <w:rPr>
                <w:sz w:val="18"/>
                <w:szCs w:val="18"/>
              </w:rPr>
              <w:t>Hyderabad</w:t>
            </w:r>
          </w:p>
        </w:tc>
        <w:tc>
          <w:tcPr>
            <w:tcW w:w="268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D1C1F" w:rsidP="00080F3F">
            <w:pPr>
              <w:jc w:val="right"/>
            </w:pPr>
            <w:r w:rsidRPr="000D1C1F">
              <w:rPr>
                <w:sz w:val="18"/>
                <w:szCs w:val="18"/>
              </w:rPr>
              <w:t>3021711.62</w:t>
            </w:r>
          </w:p>
        </w:tc>
        <w:tc>
          <w:tcPr>
            <w:tcW w:w="203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80F3F" w:rsidP="00080F3F">
            <w:pPr>
              <w:jc w:val="right"/>
            </w:pPr>
            <w:r w:rsidRPr="000D1C1F">
              <w:rPr>
                <w:sz w:val="18"/>
                <w:szCs w:val="18"/>
              </w:rPr>
              <w:t>10,309</w:t>
            </w:r>
          </w:p>
        </w:tc>
        <w:tc>
          <w:tcPr>
            <w:tcW w:w="252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80F3F" w:rsidRPr="000D1C1F" w:rsidRDefault="00080F3F" w:rsidP="00080F3F">
            <w:pPr>
              <w:jc w:val="right"/>
              <w:rPr>
                <w:rFonts w:ascii="Arial" w:hAnsi="Arial" w:cs="Arial"/>
                <w:color w:val="000000"/>
              </w:rPr>
            </w:pPr>
            <w:r w:rsidRPr="000D1C1F">
              <w:rPr>
                <w:rFonts w:ascii="Arial" w:hAnsi="Arial" w:cs="Arial"/>
                <w:color w:val="000000"/>
              </w:rPr>
              <w:t>5.2%</w:t>
            </w:r>
          </w:p>
        </w:tc>
      </w:tr>
      <w:tr w:rsidR="00080F3F" w:rsidRPr="000D1C1F" w:rsidTr="000D1C1F">
        <w:tc>
          <w:tcPr>
            <w:tcW w:w="2790" w:type="dxa"/>
            <w:tcBorders>
              <w:top w:val="single" w:sz="6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80F3F" w:rsidP="00080F3F">
            <w:r w:rsidRPr="000D1C1F">
              <w:rPr>
                <w:sz w:val="18"/>
                <w:szCs w:val="18"/>
              </w:rPr>
              <w:t>Mumbai</w:t>
            </w:r>
          </w:p>
        </w:tc>
        <w:tc>
          <w:tcPr>
            <w:tcW w:w="268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D1C1F" w:rsidP="00080F3F">
            <w:pPr>
              <w:jc w:val="right"/>
            </w:pPr>
            <w:r w:rsidRPr="000D1C1F">
              <w:rPr>
                <w:sz w:val="18"/>
                <w:szCs w:val="18"/>
              </w:rPr>
              <w:t>3015573.35</w:t>
            </w:r>
          </w:p>
        </w:tc>
        <w:tc>
          <w:tcPr>
            <w:tcW w:w="203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80F3F" w:rsidP="00080F3F">
            <w:pPr>
              <w:jc w:val="right"/>
            </w:pPr>
            <w:r w:rsidRPr="000D1C1F">
              <w:rPr>
                <w:sz w:val="18"/>
                <w:szCs w:val="18"/>
              </w:rPr>
              <w:t>10,507</w:t>
            </w:r>
          </w:p>
        </w:tc>
        <w:tc>
          <w:tcPr>
            <w:tcW w:w="252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2" w:space="0" w:color="E5E5E5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80F3F" w:rsidRPr="000D1C1F" w:rsidRDefault="00080F3F" w:rsidP="00080F3F">
            <w:pPr>
              <w:jc w:val="right"/>
              <w:rPr>
                <w:rFonts w:ascii="Arial" w:hAnsi="Arial" w:cs="Arial"/>
                <w:color w:val="000000"/>
              </w:rPr>
            </w:pPr>
            <w:r w:rsidRPr="000D1C1F">
              <w:rPr>
                <w:rFonts w:ascii="Arial" w:hAnsi="Arial" w:cs="Arial"/>
                <w:color w:val="000000"/>
              </w:rPr>
              <w:t>5.3%</w:t>
            </w:r>
          </w:p>
        </w:tc>
      </w:tr>
      <w:tr w:rsidR="00080F3F" w:rsidRPr="000D1C1F" w:rsidTr="000D1C1F">
        <w:tc>
          <w:tcPr>
            <w:tcW w:w="2790" w:type="dxa"/>
            <w:tcBorders>
              <w:top w:val="single" w:sz="6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80F3F" w:rsidP="00080F3F">
            <w:r w:rsidRPr="000D1C1F">
              <w:rPr>
                <w:sz w:val="18"/>
                <w:szCs w:val="18"/>
              </w:rPr>
              <w:t>New Delhi</w:t>
            </w:r>
          </w:p>
        </w:tc>
        <w:tc>
          <w:tcPr>
            <w:tcW w:w="2683" w:type="dxa"/>
            <w:tcBorders>
              <w:top w:val="single" w:sz="6" w:space="0" w:color="E5E5E5"/>
              <w:left w:val="single" w:sz="6" w:space="0" w:color="E5E5E5"/>
              <w:bottom w:val="single" w:sz="2" w:space="0" w:color="E5E5E5"/>
              <w:right w:val="single" w:sz="6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D1C1F" w:rsidP="00080F3F">
            <w:pPr>
              <w:jc w:val="right"/>
            </w:pPr>
            <w:r w:rsidRPr="000D1C1F">
              <w:rPr>
                <w:sz w:val="18"/>
                <w:szCs w:val="18"/>
              </w:rPr>
              <w:t>2829180.6</w:t>
            </w:r>
          </w:p>
        </w:tc>
        <w:tc>
          <w:tcPr>
            <w:tcW w:w="2039" w:type="dxa"/>
            <w:tcBorders>
              <w:top w:val="single" w:sz="6" w:space="0" w:color="E5E5E5"/>
              <w:left w:val="single" w:sz="6" w:space="0" w:color="E5E5E5"/>
              <w:bottom w:val="single" w:sz="2" w:space="0" w:color="E5E5E5"/>
              <w:right w:val="single" w:sz="6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80F3F" w:rsidRPr="000D1C1F" w:rsidRDefault="00080F3F" w:rsidP="00080F3F">
            <w:pPr>
              <w:jc w:val="right"/>
            </w:pPr>
            <w:r w:rsidRPr="000D1C1F">
              <w:rPr>
                <w:sz w:val="18"/>
                <w:szCs w:val="18"/>
              </w:rPr>
              <w:t>10,191</w:t>
            </w:r>
          </w:p>
        </w:tc>
        <w:tc>
          <w:tcPr>
            <w:tcW w:w="2522" w:type="dxa"/>
            <w:tcBorders>
              <w:top w:val="single" w:sz="6" w:space="0" w:color="E5E5E5"/>
              <w:left w:val="single" w:sz="6" w:space="0" w:color="E5E5E5"/>
              <w:bottom w:val="single" w:sz="2" w:space="0" w:color="E5E5E5"/>
              <w:right w:val="single" w:sz="2" w:space="0" w:color="E5E5E5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80F3F" w:rsidRPr="000D1C1F" w:rsidRDefault="00080F3F" w:rsidP="00080F3F">
            <w:pPr>
              <w:jc w:val="right"/>
              <w:rPr>
                <w:rFonts w:ascii="Arial" w:hAnsi="Arial" w:cs="Arial"/>
                <w:color w:val="000000"/>
              </w:rPr>
            </w:pPr>
            <w:r w:rsidRPr="000D1C1F">
              <w:rPr>
                <w:rFonts w:ascii="Arial" w:hAnsi="Arial" w:cs="Arial"/>
                <w:color w:val="000000"/>
              </w:rPr>
              <w:t>5.2%</w:t>
            </w:r>
          </w:p>
        </w:tc>
      </w:tr>
    </w:tbl>
    <w:p w:rsidR="00FF700E" w:rsidRDefault="00FF700E">
      <w:pPr>
        <w:spacing w:after="180"/>
      </w:pPr>
    </w:p>
    <w:p w:rsidR="00FF700E" w:rsidRDefault="00361FBB">
      <w:pPr>
        <w:spacing w:after="160" w:line="300" w:lineRule="auto"/>
      </w:pPr>
      <w:r>
        <w:t xml:space="preserve">The other </w:t>
      </w:r>
      <w:r w:rsidR="006B6A2E">
        <w:t xml:space="preserve">23 cities each contribute between 1.1% and 3.7% of revenue, and collectively make up 67% of the business. </w:t>
      </w:r>
      <w:r w:rsidR="00834E28">
        <w:t xml:space="preserve">Some cities like </w:t>
      </w:r>
      <w:proofErr w:type="spellStart"/>
      <w:r w:rsidR="006B6A2E">
        <w:t>Gangtok</w:t>
      </w:r>
      <w:proofErr w:type="spellEnd"/>
      <w:r w:rsidR="006B6A2E">
        <w:t xml:space="preserve">, </w:t>
      </w:r>
      <w:proofErr w:type="spellStart"/>
      <w:r w:rsidR="006B6A2E">
        <w:t>Kohima</w:t>
      </w:r>
      <w:proofErr w:type="spellEnd"/>
      <w:r w:rsidR="006B6A2E">
        <w:t xml:space="preserve">, and </w:t>
      </w:r>
      <w:proofErr w:type="spellStart"/>
      <w:r w:rsidR="006B6A2E">
        <w:t>Aizawl</w:t>
      </w:r>
      <w:proofErr w:type="spellEnd"/>
      <w:r w:rsidR="006B6A2E">
        <w:t xml:space="preserve"> are the smallest markets, each under ₹850K, likely reflecting either lower population density or earlier-stage market entry rather than lower demand potential per capita — this dataset cannot distinguish between the two.</w:t>
      </w:r>
    </w:p>
    <w:p w:rsidR="00FF700E" w:rsidRDefault="006B6A2E">
      <w:pPr>
        <w:pStyle w:val="Heading1"/>
        <w:pBdr>
          <w:bottom w:val="single" w:sz="12" w:space="4" w:color="FC8019"/>
        </w:pBdr>
        <w:spacing w:before="400" w:after="200"/>
      </w:pPr>
      <w:r>
        <w:rPr>
          <w:b/>
          <w:bCs/>
          <w:color w:val="282C3F"/>
          <w:sz w:val="30"/>
          <w:szCs w:val="30"/>
        </w:rPr>
        <w:t>6. Product &amp; Category Performance</w:t>
      </w:r>
    </w:p>
    <w:p w:rsidR="00FF700E" w:rsidRDefault="006B6A2E">
      <w:pPr>
        <w:pStyle w:val="Heading2"/>
        <w:spacing w:before="280" w:after="140"/>
      </w:pPr>
      <w:r>
        <w:rPr>
          <w:b/>
          <w:bCs/>
          <w:color w:val="FC8019"/>
          <w:sz w:val="24"/>
          <w:szCs w:val="24"/>
        </w:rPr>
        <w:t>6.1 Best-selling dishes</w:t>
      </w:r>
    </w:p>
    <w:p w:rsidR="00FF700E" w:rsidRDefault="00834E28">
      <w:pPr>
        <w:spacing w:after="160" w:line="300" w:lineRule="auto"/>
      </w:pPr>
      <w:r>
        <w:t>No single dish dominates — this platform have a long catalog of food menu</w:t>
      </w:r>
      <w:r w:rsidR="006B6A2E">
        <w:t xml:space="preserve">, </w:t>
      </w:r>
      <w:r w:rsidR="006B6A2E" w:rsidRPr="00834E28">
        <w:t xml:space="preserve">with </w:t>
      </w:r>
      <w:r w:rsidR="00AE6B7A" w:rsidRPr="00834E28">
        <w:t>56588</w:t>
      </w:r>
      <w:r>
        <w:t xml:space="preserve"> distinct dishes</w:t>
      </w:r>
      <w:r w:rsidR="006B6A2E">
        <w:t>. Even the top seller represents just 0.15</w:t>
      </w:r>
      <w:r w:rsidR="00485570">
        <w:t>% of all orders. Choco Lava Cake</w:t>
      </w:r>
      <w:r w:rsidR="006B6A2E">
        <w:t xml:space="preserve"> leads on order count and shows the most stable month-to-month demand of any top dish.</w:t>
      </w:r>
    </w:p>
    <w:p w:rsidR="00834E28" w:rsidRDefault="006B6A2E" w:rsidP="00834E28">
      <w:pPr>
        <w:spacing w:before="120" w:after="80"/>
        <w:jc w:val="center"/>
      </w:pPr>
      <w:r w:rsidRPr="00024F0C">
        <w:rPr>
          <w:noProof/>
          <w:bdr w:val="single" w:sz="2" w:space="0" w:color="auto"/>
        </w:rPr>
        <w:drawing>
          <wp:inline distT="0" distB="0" distL="0" distR="0">
            <wp:extent cx="5608215" cy="18761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215" cy="187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0E" w:rsidRDefault="006B6A2E">
      <w:pPr>
        <w:spacing w:after="260"/>
        <w:jc w:val="center"/>
        <w:rPr>
          <w:i/>
          <w:iCs/>
          <w:color w:val="6B6B6B"/>
          <w:sz w:val="18"/>
          <w:szCs w:val="18"/>
        </w:rPr>
      </w:pPr>
      <w:r>
        <w:rPr>
          <w:i/>
          <w:iCs/>
          <w:color w:val="6B6B6B"/>
          <w:sz w:val="18"/>
          <w:szCs w:val="18"/>
        </w:rPr>
        <w:t>Figure 4. Top 10 dishes by order volume, Jan–Aug 2025.</w:t>
      </w:r>
    </w:p>
    <w:p w:rsidR="00834E28" w:rsidRDefault="00834E28">
      <w:pPr>
        <w:spacing w:after="260"/>
        <w:jc w:val="center"/>
      </w:pPr>
    </w:p>
    <w:p w:rsidR="00FF700E" w:rsidRDefault="006B6A2E">
      <w:pPr>
        <w:pStyle w:val="Heading2"/>
        <w:spacing w:before="280" w:after="140"/>
      </w:pPr>
      <w:r>
        <w:rPr>
          <w:b/>
          <w:bCs/>
          <w:color w:val="FC8019"/>
          <w:sz w:val="24"/>
          <w:szCs w:val="24"/>
        </w:rPr>
        <w:t>6.2 Category revenue</w:t>
      </w:r>
    </w:p>
    <w:p w:rsidR="00FF700E" w:rsidRDefault="006B6A2E">
      <w:pPr>
        <w:spacing w:after="160" w:line="300" w:lineRule="auto"/>
      </w:pPr>
      <w:r>
        <w:t>“Recommended” is t</w:t>
      </w:r>
      <w:r w:rsidR="00485570">
        <w:t>he largest single category</w:t>
      </w:r>
      <w:r w:rsidR="00D75349">
        <w:t xml:space="preserve"> at 12.2</w:t>
      </w:r>
      <w:r>
        <w:t>% of total revenue (₹7.19M, AOV ₹298), well ahead of the next largest, Main Cour</w:t>
      </w:r>
      <w:r w:rsidR="00485570">
        <w:t>se (1.5%). Actually</w:t>
      </w:r>
      <w:r>
        <w:t xml:space="preserve"> “Recommended” is most likely a menu</w:t>
      </w:r>
      <w:r w:rsidR="00485570">
        <w:t>-placement label</w:t>
      </w:r>
      <w:r>
        <w:t xml:space="preserve"> rather than a food category, so this should be read as evidence that me</w:t>
      </w:r>
      <w:r w:rsidR="00485570">
        <w:t>nu placement drives order value.</w:t>
      </w:r>
    </w:p>
    <w:p w:rsidR="00485570" w:rsidRDefault="00485570">
      <w:pPr>
        <w:spacing w:after="160" w:line="300" w:lineRule="auto"/>
      </w:pPr>
    </w:p>
    <w:tbl>
      <w:tblPr>
        <w:tblW w:w="5000" w:type="pct"/>
        <w:tblInd w:w="-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0"/>
        <w:gridCol w:w="2254"/>
        <w:gridCol w:w="1717"/>
        <w:gridCol w:w="1610"/>
        <w:gridCol w:w="1663"/>
      </w:tblGrid>
      <w:tr w:rsidR="00FF700E" w:rsidTr="00AC45D6">
        <w:trPr>
          <w:tblHeader/>
        </w:trPr>
        <w:tc>
          <w:tcPr>
            <w:tcW w:w="2790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2254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Revenue (₹)</w:t>
            </w:r>
          </w:p>
        </w:tc>
        <w:tc>
          <w:tcPr>
            <w:tcW w:w="1717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Orders</w:t>
            </w:r>
          </w:p>
        </w:tc>
        <w:tc>
          <w:tcPr>
            <w:tcW w:w="1610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AOV (₹)</w:t>
            </w:r>
          </w:p>
        </w:tc>
        <w:tc>
          <w:tcPr>
            <w:tcW w:w="1663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</w:tr>
      <w:tr w:rsidR="00AC45D6" w:rsidTr="00AC45D6">
        <w:tc>
          <w:tcPr>
            <w:tcW w:w="27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AC45D6" w:rsidP="00AC45D6"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22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AC45D6" w:rsidP="00AC45D6">
            <w:pPr>
              <w:jc w:val="right"/>
            </w:pPr>
            <w:r w:rsidRPr="00024F0C">
              <w:rPr>
                <w:sz w:val="18"/>
                <w:szCs w:val="18"/>
              </w:rPr>
              <w:t>7188273</w:t>
            </w:r>
          </w:p>
        </w:tc>
        <w:tc>
          <w:tcPr>
            <w:tcW w:w="17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Pr="00AD5E42" w:rsidRDefault="00AC45D6" w:rsidP="00AC45D6">
            <w:pPr>
              <w:jc w:val="right"/>
            </w:pPr>
            <w:r w:rsidRPr="00AD5E42">
              <w:t>24098</w:t>
            </w:r>
          </w:p>
        </w:tc>
        <w:tc>
          <w:tcPr>
            <w:tcW w:w="1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AC45D6" w:rsidP="00AC45D6">
            <w:pPr>
              <w:jc w:val="right"/>
            </w:pPr>
            <w:r>
              <w:rPr>
                <w:sz w:val="18"/>
                <w:szCs w:val="18"/>
              </w:rPr>
              <w:t>298</w:t>
            </w: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70D65" w:rsidP="00AC45D6">
            <w:pPr>
              <w:jc w:val="right"/>
            </w:pPr>
            <w:r>
              <w:rPr>
                <w:sz w:val="18"/>
                <w:szCs w:val="18"/>
              </w:rPr>
              <w:t>12.2</w:t>
            </w:r>
            <w:r w:rsidR="00AC45D6">
              <w:rPr>
                <w:sz w:val="18"/>
                <w:szCs w:val="18"/>
              </w:rPr>
              <w:t>%</w:t>
            </w:r>
          </w:p>
        </w:tc>
      </w:tr>
      <w:tr w:rsidR="00AC45D6" w:rsidTr="00AC45D6">
        <w:tc>
          <w:tcPr>
            <w:tcW w:w="27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AC45D6" w:rsidP="00AC45D6">
            <w:r>
              <w:rPr>
                <w:sz w:val="18"/>
                <w:szCs w:val="18"/>
              </w:rPr>
              <w:t>Main Course</w:t>
            </w:r>
          </w:p>
        </w:tc>
        <w:tc>
          <w:tcPr>
            <w:tcW w:w="225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AC45D6" w:rsidP="00AC45D6">
            <w:pPr>
              <w:jc w:val="right"/>
            </w:pPr>
            <w:r w:rsidRPr="00024F0C">
              <w:rPr>
                <w:sz w:val="18"/>
                <w:szCs w:val="18"/>
              </w:rPr>
              <w:t>767175</w:t>
            </w:r>
          </w:p>
        </w:tc>
        <w:tc>
          <w:tcPr>
            <w:tcW w:w="171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Pr="00AD5E42" w:rsidRDefault="00AC45D6" w:rsidP="00AC45D6">
            <w:pPr>
              <w:jc w:val="right"/>
            </w:pPr>
            <w:r w:rsidRPr="00AD5E42">
              <w:t>2983</w:t>
            </w:r>
          </w:p>
        </w:tc>
        <w:tc>
          <w:tcPr>
            <w:tcW w:w="1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AC45D6" w:rsidP="00AC45D6">
            <w:pPr>
              <w:jc w:val="right"/>
            </w:pPr>
            <w:r>
              <w:rPr>
                <w:sz w:val="18"/>
                <w:szCs w:val="18"/>
              </w:rPr>
              <w:t>257</w:t>
            </w:r>
          </w:p>
        </w:tc>
        <w:tc>
          <w:tcPr>
            <w:tcW w:w="166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70D65" w:rsidP="00AC45D6">
            <w:pPr>
              <w:jc w:val="right"/>
            </w:pPr>
            <w:r>
              <w:rPr>
                <w:sz w:val="18"/>
                <w:szCs w:val="18"/>
              </w:rPr>
              <w:t>1.5</w:t>
            </w:r>
            <w:r w:rsidR="00AC45D6">
              <w:rPr>
                <w:sz w:val="18"/>
                <w:szCs w:val="18"/>
              </w:rPr>
              <w:t>%</w:t>
            </w:r>
          </w:p>
        </w:tc>
      </w:tr>
      <w:tr w:rsidR="00AC45D6" w:rsidTr="00AC45D6">
        <w:tc>
          <w:tcPr>
            <w:tcW w:w="27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AC45D6" w:rsidP="00AC45D6">
            <w:r w:rsidRPr="00024F0C">
              <w:rPr>
                <w:sz w:val="18"/>
                <w:szCs w:val="18"/>
              </w:rPr>
              <w:t>Burgers</w:t>
            </w:r>
          </w:p>
        </w:tc>
        <w:tc>
          <w:tcPr>
            <w:tcW w:w="22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AC45D6" w:rsidP="00AC45D6">
            <w:pPr>
              <w:jc w:val="right"/>
            </w:pPr>
            <w:r w:rsidRPr="00024F0C">
              <w:rPr>
                <w:sz w:val="18"/>
                <w:szCs w:val="18"/>
              </w:rPr>
              <w:t>695149</w:t>
            </w:r>
          </w:p>
        </w:tc>
        <w:tc>
          <w:tcPr>
            <w:tcW w:w="17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Pr="00AD5E42" w:rsidRDefault="00AC45D6" w:rsidP="00AC45D6">
            <w:pPr>
              <w:jc w:val="right"/>
            </w:pPr>
            <w:r w:rsidRPr="00AD5E42">
              <w:t>2539</w:t>
            </w:r>
          </w:p>
        </w:tc>
        <w:tc>
          <w:tcPr>
            <w:tcW w:w="1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AC45D6" w:rsidP="00AC45D6">
            <w:pPr>
              <w:jc w:val="right"/>
            </w:pPr>
            <w:r>
              <w:rPr>
                <w:sz w:val="18"/>
                <w:szCs w:val="18"/>
              </w:rPr>
              <w:t>274</w:t>
            </w: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70D65" w:rsidP="00AC45D6">
            <w:pPr>
              <w:jc w:val="right"/>
            </w:pPr>
            <w:r>
              <w:rPr>
                <w:sz w:val="18"/>
                <w:szCs w:val="18"/>
              </w:rPr>
              <w:t>1.3</w:t>
            </w:r>
            <w:r w:rsidR="00AC45D6">
              <w:rPr>
                <w:sz w:val="18"/>
                <w:szCs w:val="18"/>
              </w:rPr>
              <w:t>%</w:t>
            </w:r>
          </w:p>
        </w:tc>
      </w:tr>
      <w:tr w:rsidR="00AC45D6" w:rsidTr="00AC45D6">
        <w:tc>
          <w:tcPr>
            <w:tcW w:w="27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A4EBC" w:rsidP="00AC45D6">
            <w:r w:rsidRPr="00024F0C">
              <w:rPr>
                <w:sz w:val="18"/>
                <w:szCs w:val="18"/>
              </w:rPr>
              <w:t>Sweets</w:t>
            </w:r>
          </w:p>
        </w:tc>
        <w:tc>
          <w:tcPr>
            <w:tcW w:w="225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A4EBC" w:rsidP="00AC45D6">
            <w:pPr>
              <w:jc w:val="right"/>
            </w:pPr>
            <w:r w:rsidRPr="00024F0C">
              <w:rPr>
                <w:sz w:val="18"/>
                <w:szCs w:val="18"/>
              </w:rPr>
              <w:t>475068</w:t>
            </w:r>
          </w:p>
        </w:tc>
        <w:tc>
          <w:tcPr>
            <w:tcW w:w="171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Pr="00AD5E42" w:rsidRDefault="003A4EBC" w:rsidP="00AC45D6">
            <w:pPr>
              <w:jc w:val="right"/>
            </w:pPr>
            <w:r w:rsidRPr="00AD5E42">
              <w:t>1954</w:t>
            </w:r>
          </w:p>
        </w:tc>
        <w:tc>
          <w:tcPr>
            <w:tcW w:w="1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A4EBC" w:rsidP="00AC45D6">
            <w:pPr>
              <w:jc w:val="right"/>
            </w:pPr>
            <w:r>
              <w:rPr>
                <w:sz w:val="18"/>
                <w:szCs w:val="18"/>
              </w:rPr>
              <w:t>243</w:t>
            </w:r>
          </w:p>
        </w:tc>
        <w:tc>
          <w:tcPr>
            <w:tcW w:w="166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A4EBC" w:rsidP="00AC45D6">
            <w:pPr>
              <w:jc w:val="right"/>
            </w:pPr>
            <w:r>
              <w:rPr>
                <w:sz w:val="18"/>
                <w:szCs w:val="18"/>
              </w:rPr>
              <w:t>1.0%</w:t>
            </w:r>
          </w:p>
        </w:tc>
      </w:tr>
      <w:tr w:rsidR="00AC45D6" w:rsidTr="00AC45D6">
        <w:tc>
          <w:tcPr>
            <w:tcW w:w="27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A4EBC" w:rsidP="00AC45D6">
            <w:r w:rsidRPr="00024F0C">
              <w:rPr>
                <w:sz w:val="18"/>
                <w:szCs w:val="18"/>
              </w:rPr>
              <w:t>Burger Combos ( 3 Pc Meals )</w:t>
            </w:r>
          </w:p>
        </w:tc>
        <w:tc>
          <w:tcPr>
            <w:tcW w:w="22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A4EBC" w:rsidP="003A4EBC">
            <w:pPr>
              <w:jc w:val="right"/>
            </w:pPr>
            <w:r w:rsidRPr="00024F0C">
              <w:rPr>
                <w:sz w:val="18"/>
                <w:szCs w:val="18"/>
              </w:rPr>
              <w:t>507774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A4EBC" w:rsidP="00AC45D6">
            <w:pPr>
              <w:jc w:val="right"/>
            </w:pPr>
            <w:r w:rsidRPr="00AD5E42">
              <w:t>1331</w:t>
            </w:r>
          </w:p>
        </w:tc>
        <w:tc>
          <w:tcPr>
            <w:tcW w:w="1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A4EBC" w:rsidP="00AC45D6">
            <w:pPr>
              <w:jc w:val="right"/>
            </w:pPr>
            <w:r>
              <w:rPr>
                <w:sz w:val="18"/>
                <w:szCs w:val="18"/>
              </w:rPr>
              <w:t>381</w:t>
            </w:r>
          </w:p>
        </w:tc>
        <w:tc>
          <w:tcPr>
            <w:tcW w:w="16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45D6" w:rsidRDefault="003A4EBC" w:rsidP="003A4EBC">
            <w:pPr>
              <w:jc w:val="right"/>
            </w:pPr>
            <w:r>
              <w:rPr>
                <w:sz w:val="18"/>
                <w:szCs w:val="18"/>
              </w:rPr>
              <w:t>0.7%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FF700E" w:rsidRDefault="006B6A2E">
      <w:pPr>
        <w:pStyle w:val="Heading1"/>
        <w:pBdr>
          <w:bottom w:val="single" w:sz="12" w:space="4" w:color="FC8019"/>
        </w:pBdr>
        <w:spacing w:before="400" w:after="200"/>
      </w:pPr>
      <w:r>
        <w:rPr>
          <w:b/>
          <w:bCs/>
          <w:color w:val="282C3F"/>
          <w:sz w:val="30"/>
          <w:szCs w:val="30"/>
        </w:rPr>
        <w:t>7. Quality &amp; Ratings</w:t>
      </w:r>
      <w:bookmarkStart w:id="0" w:name="_GoBack"/>
      <w:bookmarkEnd w:id="0"/>
    </w:p>
    <w:p w:rsidR="00FF700E" w:rsidRDefault="006B6A2E">
      <w:pPr>
        <w:spacing w:after="160" w:line="300" w:lineRule="auto"/>
      </w:pPr>
      <w:r>
        <w:t>Rating quality is strong across the board: 96.5% of orders carry a rating of 3.5 or higher, and the average of 4.34 has held steady across the period. This is not a business with a widespread quality problem.</w:t>
      </w:r>
    </w:p>
    <w:p w:rsidR="00FF700E" w:rsidRDefault="006B6A2E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4769510" cy="2135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369" cy="215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0E" w:rsidRDefault="006B6A2E">
      <w:pPr>
        <w:spacing w:after="260"/>
        <w:jc w:val="center"/>
      </w:pPr>
      <w:r>
        <w:rPr>
          <w:i/>
          <w:iCs/>
          <w:color w:val="6B6B6B"/>
          <w:sz w:val="18"/>
          <w:szCs w:val="18"/>
        </w:rPr>
        <w:t>Figure 5. Distribution of order ratings (log scale). Note the small slices at the low end.</w:t>
      </w:r>
    </w:p>
    <w:p w:rsidR="003472E6" w:rsidRDefault="003472E6">
      <w:pPr>
        <w:pStyle w:val="Heading1"/>
        <w:pBdr>
          <w:bottom w:val="single" w:sz="12" w:space="4" w:color="FC8019"/>
        </w:pBdr>
        <w:spacing w:before="400" w:after="200"/>
        <w:rPr>
          <w:b/>
          <w:bCs/>
          <w:color w:val="282C3F"/>
          <w:sz w:val="30"/>
          <w:szCs w:val="30"/>
        </w:rPr>
      </w:pPr>
    </w:p>
    <w:p w:rsidR="00FF700E" w:rsidRDefault="006B6A2E">
      <w:pPr>
        <w:pStyle w:val="Heading1"/>
        <w:pBdr>
          <w:bottom w:val="single" w:sz="12" w:space="4" w:color="FC8019"/>
        </w:pBdr>
        <w:spacing w:before="400" w:after="200"/>
      </w:pPr>
      <w:r>
        <w:rPr>
          <w:b/>
          <w:bCs/>
          <w:color w:val="282C3F"/>
          <w:sz w:val="30"/>
          <w:szCs w:val="30"/>
        </w:rPr>
        <w:t>8. Recommendations</w:t>
      </w:r>
    </w:p>
    <w:p w:rsidR="00FF700E" w:rsidRDefault="006B6A2E">
      <w:pPr>
        <w:spacing w:after="160" w:line="300" w:lineRule="auto"/>
      </w:pPr>
      <w:r>
        <w:t>Each recommendation below is tied directly to a figure quantified in this report.</w:t>
      </w:r>
    </w:p>
    <w:p w:rsidR="00FF700E" w:rsidRDefault="003472E6">
      <w:pPr>
        <w:pStyle w:val="Heading2"/>
        <w:spacing w:before="280" w:after="140"/>
      </w:pPr>
      <w:r>
        <w:rPr>
          <w:b/>
          <w:bCs/>
          <w:color w:val="FC8019"/>
          <w:sz w:val="24"/>
          <w:szCs w:val="24"/>
        </w:rPr>
        <w:t>8.1 Grow the other</w:t>
      </w:r>
      <w:r w:rsidR="006B6A2E">
        <w:rPr>
          <w:b/>
          <w:bCs/>
          <w:color w:val="FC8019"/>
          <w:sz w:val="24"/>
          <w:szCs w:val="24"/>
        </w:rPr>
        <w:t xml:space="preserve"> cities, deliberately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t>Finding: 23 non-top-5 cities already generate 67% of revenue but average under 3% each — there is no single dominant secondary market to “copy,” so this is a portfolio play, not a single-city bet.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t>Action: Identify the 3-4 cities just behind the top 5 (Ahmedabad, Chandigarh, Kolkata, Chennai — all within ₹460K of each other) as the next tier for targeted delivery-fleet and restaurant-acquisition investment, since they are already close together and likely to respond similarly to a shared playbook.</w:t>
      </w:r>
    </w:p>
    <w:p w:rsidR="00FF700E" w:rsidRDefault="003472E6">
      <w:pPr>
        <w:pStyle w:val="Heading2"/>
        <w:spacing w:before="280" w:after="140"/>
      </w:pPr>
      <w:r>
        <w:rPr>
          <w:b/>
          <w:bCs/>
          <w:color w:val="FC8019"/>
          <w:sz w:val="24"/>
          <w:szCs w:val="24"/>
        </w:rPr>
        <w:t>8.2 W</w:t>
      </w:r>
      <w:r w:rsidR="006B6A2E">
        <w:rPr>
          <w:b/>
          <w:bCs/>
          <w:color w:val="FC8019"/>
          <w:sz w:val="24"/>
          <w:szCs w:val="24"/>
        </w:rPr>
        <w:t>eekend promotions to the real lift, not an inflated one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t>Finding: weekend order volume is +1.7% to +3.3% above weekday average — real, but modest.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lastRenderedPageBreak/>
        <w:t>Action: Use light wee</w:t>
      </w:r>
      <w:r w:rsidR="00BD0544">
        <w:t xml:space="preserve">kend-targeted promotions (like </w:t>
      </w:r>
      <w:r>
        <w:t>a small delivery-fee discount</w:t>
      </w:r>
      <w:r w:rsidR="003472E6">
        <w:t xml:space="preserve"> on</w:t>
      </w:r>
      <w:r>
        <w:t xml:space="preserve"> Saturday) rather than large promotional budgets sized for a “major spike” that the data does not show.</w:t>
      </w:r>
    </w:p>
    <w:p w:rsidR="00FF700E" w:rsidRDefault="006B6A2E">
      <w:pPr>
        <w:pStyle w:val="Heading2"/>
        <w:spacing w:before="280" w:after="140"/>
      </w:pPr>
      <w:r>
        <w:rPr>
          <w:b/>
          <w:bCs/>
          <w:color w:val="FC8019"/>
          <w:sz w:val="24"/>
          <w:szCs w:val="24"/>
        </w:rPr>
        <w:t>8.3 Test menu placement as a revenue lever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t>Finding: dishes placed in the “Recommended” slot carry a 30% higher AOV (₹298 vs. the ₹268 platform average) and drive 13.6% of all revenue from a single placement.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t>Action: Run an A/B test with partner restaurants on what gets featured in that slot — this is a low-cost, high-leverage lever compared to a platform-wide pricing change.</w:t>
      </w:r>
    </w:p>
    <w:p w:rsidR="00FF700E" w:rsidRDefault="006B6A2E">
      <w:pPr>
        <w:pStyle w:val="Heading2"/>
        <w:spacing w:before="280" w:after="140"/>
      </w:pPr>
      <w:r>
        <w:rPr>
          <w:b/>
          <w:bCs/>
          <w:color w:val="FC8019"/>
          <w:sz w:val="24"/>
          <w:szCs w:val="24"/>
        </w:rPr>
        <w:t>8.4 Investigate two specific dishes, not a broad quality audit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t>Finding: only 2 dishes with a meaningful order volume (≥15 orders) fall below a 3.8 rating.</w:t>
      </w:r>
    </w:p>
    <w:p w:rsidR="00FF700E" w:rsidRDefault="006B6A2E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Action: Have the relevant restaurant partners review “Penne </w:t>
      </w:r>
      <w:proofErr w:type="spellStart"/>
      <w:r>
        <w:t>McN</w:t>
      </w:r>
      <w:proofErr w:type="spellEnd"/>
      <w:r>
        <w:t xml:space="preserve"> Cheese Pasta” and “2 Farm Spicy </w:t>
      </w:r>
      <w:proofErr w:type="spellStart"/>
      <w:r>
        <w:t>Paneer</w:t>
      </w:r>
      <w:proofErr w:type="spellEnd"/>
      <w:r>
        <w:t>” specifically, rather than commissioning a platform-wide dark-kitchen quality audit that this data does not justify.</w:t>
      </w:r>
    </w:p>
    <w:p w:rsidR="00FF700E" w:rsidRDefault="006B6A2E">
      <w:pPr>
        <w:pStyle w:val="Heading1"/>
        <w:pBdr>
          <w:bottom w:val="single" w:sz="12" w:space="4" w:color="FC8019"/>
        </w:pBdr>
        <w:spacing w:before="400" w:after="200"/>
      </w:pPr>
      <w:r>
        <w:rPr>
          <w:b/>
          <w:bCs/>
          <w:color w:val="282C3F"/>
          <w:sz w:val="30"/>
          <w:szCs w:val="30"/>
        </w:rPr>
        <w:t>Appendix: Data Dictionary</w:t>
      </w:r>
    </w:p>
    <w:tbl>
      <w:tblPr>
        <w:tblW w:w="5000" w:type="pct"/>
        <w:tblInd w:w="-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5E5E5"/>
          <w:insideV w:val="single" w:sz="2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0"/>
        <w:gridCol w:w="7244"/>
      </w:tblGrid>
      <w:tr w:rsidR="00FF700E">
        <w:trPr>
          <w:tblHeader/>
        </w:trPr>
        <w:tc>
          <w:tcPr>
            <w:tcW w:w="2600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50" w:type="dxa"/>
            <w:shd w:val="clear" w:color="auto" w:fill="282C3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700E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r>
              <w:rPr>
                <w:sz w:val="18"/>
                <w:szCs w:val="18"/>
              </w:rPr>
              <w:t>State / City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sz w:val="18"/>
                <w:szCs w:val="18"/>
              </w:rPr>
              <w:t>Delivery region; 1:1 mapped in this dataset (28 of each)</w:t>
            </w:r>
          </w:p>
        </w:tc>
      </w:tr>
      <w:tr w:rsidR="00FF700E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r>
              <w:rPr>
                <w:sz w:val="18"/>
                <w:szCs w:val="18"/>
              </w:rPr>
              <w:t>Order Date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sz w:val="18"/>
                <w:szCs w:val="18"/>
              </w:rPr>
              <w:t>Date of order, DD-MM-YY</w:t>
            </w:r>
          </w:p>
        </w:tc>
      </w:tr>
      <w:tr w:rsidR="00FF700E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r>
              <w:rPr>
                <w:sz w:val="18"/>
                <w:szCs w:val="18"/>
              </w:rPr>
              <w:t>Restaurant Name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sz w:val="18"/>
                <w:szCs w:val="18"/>
              </w:rPr>
              <w:t>Partner restaurant (</w:t>
            </w:r>
            <w:r w:rsidR="004A0155">
              <w:t>984</w:t>
            </w:r>
            <w:r>
              <w:rPr>
                <w:sz w:val="18"/>
                <w:szCs w:val="18"/>
              </w:rPr>
              <w:t xml:space="preserve"> unique)</w:t>
            </w:r>
          </w:p>
        </w:tc>
      </w:tr>
      <w:tr w:rsidR="00FF700E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sz w:val="18"/>
                <w:szCs w:val="18"/>
              </w:rPr>
              <w:t>Restaurant-defined menu section (</w:t>
            </w:r>
            <w:r w:rsidR="004A0155">
              <w:t xml:space="preserve">4774 </w:t>
            </w:r>
            <w:r>
              <w:rPr>
                <w:sz w:val="18"/>
                <w:szCs w:val="18"/>
              </w:rPr>
              <w:t>unique, free text)</w:t>
            </w:r>
          </w:p>
        </w:tc>
      </w:tr>
      <w:tr w:rsidR="00FF700E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r>
              <w:rPr>
                <w:sz w:val="18"/>
                <w:szCs w:val="18"/>
              </w:rPr>
              <w:t>Dish Name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sz w:val="18"/>
                <w:szCs w:val="18"/>
              </w:rPr>
              <w:t>Item ordered (</w:t>
            </w:r>
            <w:r w:rsidR="004A0155">
              <w:t xml:space="preserve">56,588 </w:t>
            </w:r>
            <w:r>
              <w:rPr>
                <w:sz w:val="18"/>
                <w:szCs w:val="18"/>
              </w:rPr>
              <w:t>unique)</w:t>
            </w:r>
          </w:p>
        </w:tc>
      </w:tr>
      <w:tr w:rsidR="00FF700E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r>
              <w:rPr>
                <w:sz w:val="18"/>
                <w:szCs w:val="18"/>
              </w:rPr>
              <w:t>Price (INR)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sz w:val="18"/>
                <w:szCs w:val="18"/>
              </w:rPr>
              <w:t>Gross order value for that line item</w:t>
            </w:r>
          </w:p>
        </w:tc>
      </w:tr>
      <w:tr w:rsidR="00FF700E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r>
              <w:rPr>
                <w:sz w:val="18"/>
                <w:szCs w:val="18"/>
              </w:rPr>
              <w:t>Rating / Rating Count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700E" w:rsidRDefault="006B6A2E">
            <w:pPr>
              <w:jc w:val="right"/>
            </w:pPr>
            <w:r>
              <w:rPr>
                <w:sz w:val="18"/>
                <w:szCs w:val="18"/>
              </w:rPr>
              <w:t>Customer rating (1-5) and number of ratings behind it, at time of export</w:t>
            </w:r>
          </w:p>
        </w:tc>
      </w:tr>
    </w:tbl>
    <w:p w:rsidR="006B6A2E" w:rsidRDefault="006B6A2E"/>
    <w:sectPr w:rsidR="006B6A2E">
      <w:headerReference w:type="default" r:id="rId19"/>
      <w:footerReference w:type="default" r:id="rId20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98B" w:rsidRDefault="0077698B">
      <w:r>
        <w:separator/>
      </w:r>
    </w:p>
  </w:endnote>
  <w:endnote w:type="continuationSeparator" w:id="0">
    <w:p w:rsidR="0077698B" w:rsidRDefault="00776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A2E" w:rsidRDefault="006B6A2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A2E" w:rsidRDefault="006B6A2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A2E" w:rsidRDefault="006B6A2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A2E" w:rsidRDefault="006B6A2E"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123DBC">
      <w:rPr>
        <w:noProof/>
        <w:color w:val="6B6B6B"/>
        <w:sz w:val="16"/>
        <w:szCs w:val="16"/>
      </w:rPr>
      <w:t>6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123DBC">
      <w:rPr>
        <w:noProof/>
        <w:color w:val="6B6B6B"/>
        <w:sz w:val="16"/>
        <w:szCs w:val="16"/>
      </w:rPr>
      <w:t>7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98B" w:rsidRDefault="0077698B">
      <w:r>
        <w:separator/>
      </w:r>
    </w:p>
  </w:footnote>
  <w:footnote w:type="continuationSeparator" w:id="0">
    <w:p w:rsidR="0077698B" w:rsidRDefault="007769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A2E" w:rsidRDefault="006B6A2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A2E" w:rsidRDefault="006B6A2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A2E" w:rsidRDefault="006B6A2E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A2E" w:rsidRDefault="006B6A2E">
    <w:pPr>
      <w:pBdr>
        <w:bottom w:val="single" w:sz="4" w:space="4" w:color="DDDDDD"/>
      </w:pBdr>
      <w:tabs>
        <w:tab w:val="right" w:pos="9026"/>
      </w:tabs>
    </w:pPr>
    <w:proofErr w:type="spellStart"/>
    <w:r>
      <w:rPr>
        <w:color w:val="6B6B6B"/>
        <w:sz w:val="16"/>
        <w:szCs w:val="16"/>
      </w:rPr>
      <w:t>Swiggy</w:t>
    </w:r>
    <w:proofErr w:type="spellEnd"/>
    <w:r>
      <w:rPr>
        <w:color w:val="6B6B6B"/>
        <w:sz w:val="16"/>
        <w:szCs w:val="16"/>
      </w:rPr>
      <w:t xml:space="preserve"> Sales Performance Report</w:t>
    </w:r>
    <w:r>
      <w:rPr>
        <w:color w:val="6B6B6B"/>
        <w:sz w:val="16"/>
        <w:szCs w:val="16"/>
      </w:rPr>
      <w:tab/>
      <w:t>Jan–Aug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2054D"/>
    <w:multiLevelType w:val="hybridMultilevel"/>
    <w:tmpl w:val="3690832A"/>
    <w:lvl w:ilvl="0" w:tplc="73143830">
      <w:start w:val="1"/>
      <w:numFmt w:val="bullet"/>
      <w:lvlText w:val="●"/>
      <w:lvlJc w:val="left"/>
      <w:pPr>
        <w:ind w:left="720" w:hanging="360"/>
      </w:pPr>
    </w:lvl>
    <w:lvl w:ilvl="1" w:tplc="E1D0A67E">
      <w:start w:val="1"/>
      <w:numFmt w:val="bullet"/>
      <w:lvlText w:val="○"/>
      <w:lvlJc w:val="left"/>
      <w:pPr>
        <w:ind w:left="1440" w:hanging="360"/>
      </w:pPr>
    </w:lvl>
    <w:lvl w:ilvl="2" w:tplc="E1D41B80">
      <w:start w:val="1"/>
      <w:numFmt w:val="bullet"/>
      <w:lvlText w:val="■"/>
      <w:lvlJc w:val="left"/>
      <w:pPr>
        <w:ind w:left="2160" w:hanging="360"/>
      </w:pPr>
    </w:lvl>
    <w:lvl w:ilvl="3" w:tplc="45AA0968">
      <w:start w:val="1"/>
      <w:numFmt w:val="bullet"/>
      <w:lvlText w:val="●"/>
      <w:lvlJc w:val="left"/>
      <w:pPr>
        <w:ind w:left="2880" w:hanging="360"/>
      </w:pPr>
    </w:lvl>
    <w:lvl w:ilvl="4" w:tplc="35AEC906">
      <w:start w:val="1"/>
      <w:numFmt w:val="bullet"/>
      <w:lvlText w:val="○"/>
      <w:lvlJc w:val="left"/>
      <w:pPr>
        <w:ind w:left="3600" w:hanging="360"/>
      </w:pPr>
    </w:lvl>
    <w:lvl w:ilvl="5" w:tplc="95705DF6">
      <w:start w:val="1"/>
      <w:numFmt w:val="bullet"/>
      <w:lvlText w:val="■"/>
      <w:lvlJc w:val="left"/>
      <w:pPr>
        <w:ind w:left="4320" w:hanging="360"/>
      </w:pPr>
    </w:lvl>
    <w:lvl w:ilvl="6" w:tplc="0BB8D79A">
      <w:start w:val="1"/>
      <w:numFmt w:val="bullet"/>
      <w:lvlText w:val="●"/>
      <w:lvlJc w:val="left"/>
      <w:pPr>
        <w:ind w:left="5040" w:hanging="360"/>
      </w:pPr>
    </w:lvl>
    <w:lvl w:ilvl="7" w:tplc="E6C25718">
      <w:start w:val="1"/>
      <w:numFmt w:val="bullet"/>
      <w:lvlText w:val="●"/>
      <w:lvlJc w:val="left"/>
      <w:pPr>
        <w:ind w:left="5760" w:hanging="360"/>
      </w:pPr>
    </w:lvl>
    <w:lvl w:ilvl="8" w:tplc="B8365D7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9086E11"/>
    <w:multiLevelType w:val="hybridMultilevel"/>
    <w:tmpl w:val="BF7C8F28"/>
    <w:lvl w:ilvl="0" w:tplc="5C00DBB4">
      <w:start w:val="1"/>
      <w:numFmt w:val="bullet"/>
      <w:lvlText w:val="•"/>
      <w:lvlJc w:val="left"/>
      <w:pPr>
        <w:ind w:left="360" w:hanging="260"/>
      </w:pPr>
      <w:rPr>
        <w:color w:val="FC8019"/>
      </w:rPr>
    </w:lvl>
    <w:lvl w:ilvl="1" w:tplc="38E2AD1C">
      <w:numFmt w:val="decimal"/>
      <w:lvlText w:val=""/>
      <w:lvlJc w:val="left"/>
    </w:lvl>
    <w:lvl w:ilvl="2" w:tplc="9484F58A">
      <w:numFmt w:val="decimal"/>
      <w:lvlText w:val=""/>
      <w:lvlJc w:val="left"/>
    </w:lvl>
    <w:lvl w:ilvl="3" w:tplc="399697EE">
      <w:numFmt w:val="decimal"/>
      <w:lvlText w:val=""/>
      <w:lvlJc w:val="left"/>
    </w:lvl>
    <w:lvl w:ilvl="4" w:tplc="F7B46AC4">
      <w:numFmt w:val="decimal"/>
      <w:lvlText w:val=""/>
      <w:lvlJc w:val="left"/>
    </w:lvl>
    <w:lvl w:ilvl="5" w:tplc="486CE4DE">
      <w:numFmt w:val="decimal"/>
      <w:lvlText w:val=""/>
      <w:lvlJc w:val="left"/>
    </w:lvl>
    <w:lvl w:ilvl="6" w:tplc="C68224FC">
      <w:numFmt w:val="decimal"/>
      <w:lvlText w:val=""/>
      <w:lvlJc w:val="left"/>
    </w:lvl>
    <w:lvl w:ilvl="7" w:tplc="4CE2CC02">
      <w:numFmt w:val="decimal"/>
      <w:lvlText w:val=""/>
      <w:lvlJc w:val="left"/>
    </w:lvl>
    <w:lvl w:ilvl="8" w:tplc="E458ABB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00E"/>
    <w:rsid w:val="00024F0C"/>
    <w:rsid w:val="00080F3F"/>
    <w:rsid w:val="000B7747"/>
    <w:rsid w:val="000D1C1F"/>
    <w:rsid w:val="00123DBC"/>
    <w:rsid w:val="001B4A8D"/>
    <w:rsid w:val="00220FB5"/>
    <w:rsid w:val="00254EB1"/>
    <w:rsid w:val="002F51D6"/>
    <w:rsid w:val="003472E6"/>
    <w:rsid w:val="00361FBB"/>
    <w:rsid w:val="00370D65"/>
    <w:rsid w:val="003A4EBC"/>
    <w:rsid w:val="00427ECB"/>
    <w:rsid w:val="00462AA1"/>
    <w:rsid w:val="00470CB6"/>
    <w:rsid w:val="00485570"/>
    <w:rsid w:val="00497614"/>
    <w:rsid w:val="004A0155"/>
    <w:rsid w:val="00510E9C"/>
    <w:rsid w:val="00553808"/>
    <w:rsid w:val="005F56BE"/>
    <w:rsid w:val="00636C87"/>
    <w:rsid w:val="006B6A2E"/>
    <w:rsid w:val="0077698B"/>
    <w:rsid w:val="00787837"/>
    <w:rsid w:val="007968CE"/>
    <w:rsid w:val="00834E28"/>
    <w:rsid w:val="00891A04"/>
    <w:rsid w:val="008D6B42"/>
    <w:rsid w:val="00905F3A"/>
    <w:rsid w:val="00936C04"/>
    <w:rsid w:val="0095593C"/>
    <w:rsid w:val="009E0E9C"/>
    <w:rsid w:val="00AC45D6"/>
    <w:rsid w:val="00AE6B7A"/>
    <w:rsid w:val="00B75C19"/>
    <w:rsid w:val="00BD0544"/>
    <w:rsid w:val="00BF52C9"/>
    <w:rsid w:val="00C0770D"/>
    <w:rsid w:val="00CB73F0"/>
    <w:rsid w:val="00D023C6"/>
    <w:rsid w:val="00D15108"/>
    <w:rsid w:val="00D75349"/>
    <w:rsid w:val="00DD039D"/>
    <w:rsid w:val="00ED7DEA"/>
    <w:rsid w:val="00EF0AE8"/>
    <w:rsid w:val="00FD1F92"/>
    <w:rsid w:val="00FF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65DD86-FD0C-435D-B64C-363F424C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B2B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77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7747"/>
  </w:style>
  <w:style w:type="paragraph" w:styleId="Footer">
    <w:name w:val="footer"/>
    <w:basedOn w:val="Normal"/>
    <w:link w:val="FooterChar"/>
    <w:uiPriority w:val="99"/>
    <w:unhideWhenUsed/>
    <w:rsid w:val="000B77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7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56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A7928-D0B9-4525-930F-43747A173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4284</TotalTime>
  <Pages>1</Pages>
  <Words>1189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15</cp:revision>
  <cp:lastPrinted>2026-09-12T09:06:00Z</cp:lastPrinted>
  <dcterms:created xsi:type="dcterms:W3CDTF">2026-08-31T11:20:00Z</dcterms:created>
  <dcterms:modified xsi:type="dcterms:W3CDTF">2026-09-12T09:07:00Z</dcterms:modified>
</cp:coreProperties>
</file>