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080"/>
        <w:tblLayout w:type="fixed"/>
        <w:tblLook w:firstColumn="1" w:firstRow="1" w:lastColumn="0" w:lastRow="0" w:noHBand="0" w:noVBand="1" w:val="04A0"/>
      </w:tblPr>
      <w:tblGrid>
        <w:gridCol w:w="10080"/>
      </w:tblGrid>
      <w:tr>
        <w:tc>
          <w:tcPr>
            <w:tcW w:type="dxa" w:w="10080"/>
            <w:shd w:val="clear" w:color="auto" w:fill="1B3A4B"/>
            <w:tcBorders>
              <w:top w:val="single" w:sz="4" w:space="0" w:color="1B3A4B"/>
              <w:left w:val="single" w:sz="4" w:space="0" w:color="1B3A4B"/>
              <w:bottom w:val="single" w:sz="4" w:space="0" w:color="1B3A4B"/>
              <w:right w:val="single" w:sz="4" w:space="0" w:color="1B3A4B"/>
            </w:tcBorders>
            <w:tcMar>
              <w:top w:w="140" w:type="dxa"/>
              <w:left w:w="160" w:type="dxa"/>
              <w:bottom w:w="140" w:type="dxa"/>
              <w:right w:w="160" w:type="dxa"/>
            </w:tcMar>
          </w:tcPr>
          <w:p>
            <w:pPr>
              <w:spacing w:after="40"/>
              <w:jc w:val="left"/>
            </w:pPr>
            <w:r/>
            <w:r>
              <w:rPr>
                <w:rFonts w:ascii="Calibri" w:hAnsi="Calibri" w:eastAsia="Calibri"/>
                <w:b/>
                <w:i w:val="0"/>
                <w:color w:val="B7E0D8"/>
                <w:sz w:val="22"/>
              </w:rPr>
              <w:t>ASSIGNMENT</w:t>
            </w:r>
          </w:p>
          <w:p>
            <w:pPr>
              <w:spacing w:before="40" w:after="40"/>
            </w:pPr>
            <w:r>
              <w:rPr>
                <w:rFonts w:ascii="Calibri" w:hAnsi="Calibri" w:eastAsia="Calibri"/>
                <w:b/>
                <w:i w:val="0"/>
                <w:color w:val="FFFFFF"/>
                <w:sz w:val="44"/>
              </w:rPr>
              <w:t>NDC and CPT/HCPCS Drug Quantity and Units</w:t>
            </w:r>
          </w:p>
          <w:p>
            <w:pPr>
              <w:spacing w:before="40" w:after="0"/>
            </w:pPr>
            <w:r>
              <w:rPr>
                <w:rFonts w:ascii="Calibri" w:hAnsi="Calibri" w:eastAsia="Calibri"/>
                <w:b w:val="0"/>
                <w:i w:val="0"/>
                <w:color w:val="D5E4EA"/>
                <w:sz w:val="22"/>
              </w:rPr>
              <w:t>Three scenarios: the full vial is used, half is kept for another patient, and half is discarded.</w:t>
            </w:r>
          </w:p>
        </w:tc>
      </w:tr>
    </w:tbl>
    <w:p>
      <w:pPr>
        <w:spacing w:before="0" w:after="80" w:line="269" w:lineRule="auto"/>
        <w:jc w:val="left"/>
      </w:pPr>
    </w:p>
    <w:tbl>
      <w:tblPr>
        <w:tblW w:type="dxa" w:w="10080"/>
        <w:tblLayout w:type="fixed"/>
        <w:tblLook w:firstColumn="1" w:firstRow="1" w:lastColumn="0" w:lastRow="0" w:noHBand="0" w:noVBand="1" w:val="04A0"/>
      </w:tblPr>
      <w:tblGrid>
        <w:gridCol w:w="2800"/>
        <w:gridCol w:w="7280"/>
      </w:tblGrid>
      <w:tr>
        <w:trPr>
          <w:cantSplit/>
        </w:trPr>
        <w:tc>
          <w:tcPr>
            <w:tcW w:type="dxa" w:w="2800"/>
            <w:shd w:val="clear" w:color="auto" w:fill="E6F3F1"/>
            <w:tcBorders>
              <w:top w:val="single" w:sz="4" w:space="0" w:color="D5DDE2"/>
              <w:left w:val="single" w:sz="4" w:space="0" w:color="D5DDE2"/>
              <w:bottom w:val="single" w:sz="4" w:space="0" w:color="D5DDE2"/>
              <w:right w:val="single" w:sz="4" w:space="0" w:color="D5DDE2"/>
            </w:tcBorders>
            <w:tcMar>
              <w:top w:w="40" w:type="dxa"/>
              <w:left w:w="80" w:type="dxa"/>
              <w:bottom w:w="40" w:type="dxa"/>
              <w:right w:w="80" w:type="dxa"/>
            </w:tcMar>
          </w:tcPr>
          <w:p>
            <w:pPr>
              <w:spacing w:after="0"/>
            </w:pPr>
            <w:r/>
            <w:r>
              <w:rPr>
                <w:rFonts w:ascii="Calibri" w:hAnsi="Calibri" w:eastAsia="Calibri"/>
                <w:b/>
                <w:i w:val="0"/>
                <w:color w:val="1B3A4B"/>
                <w:sz w:val="22"/>
              </w:rPr>
              <w:t>Student name</w:t>
            </w:r>
          </w:p>
        </w:tc>
        <w:tc>
          <w:tcPr>
            <w:tcW w:type="dxa" w:w="7280"/>
            <w:shd w:val="clear" w:color="auto" w:fill="FFFFFF"/>
            <w:tcBorders>
              <w:top w:val="single" w:sz="4" w:space="0" w:color="D5DDE2"/>
              <w:left w:val="single" w:sz="4" w:space="0" w:color="D5DDE2"/>
              <w:bottom w:val="single" w:sz="4" w:space="0" w:color="D5DDE2"/>
              <w:right w:val="single" w:sz="4" w:space="0" w:color="D5DDE2"/>
            </w:tcBorders>
            <w:tcMar>
              <w:top w:w="40" w:type="dxa"/>
              <w:left w:w="80" w:type="dxa"/>
              <w:bottom w:w="40" w:type="dxa"/>
              <w:right w:w="80" w:type="dxa"/>
            </w:tcMar>
          </w:tcPr>
          <w:p>
            <w:pPr>
              <w:spacing w:after="0"/>
            </w:pPr>
            <w:r/>
            <w:r>
              <w:rPr>
                <w:rFonts w:ascii="Calibri" w:hAnsi="Calibri" w:eastAsia="Calibri"/>
                <w:b w:val="0"/>
                <w:i w:val="0"/>
                <w:color w:val="1A1A1A"/>
                <w:sz w:val="22"/>
              </w:rPr>
              <w:t>________________________________</w:t>
            </w:r>
          </w:p>
        </w:tc>
      </w:tr>
      <w:tr>
        <w:trPr>
          <w:cantSplit/>
        </w:trPr>
        <w:tc>
          <w:tcPr>
            <w:tcW w:type="dxa" w:w="2800"/>
            <w:shd w:val="clear" w:color="auto" w:fill="E6F3F1"/>
            <w:tcBorders>
              <w:top w:val="single" w:sz="4" w:space="0" w:color="D5DDE2"/>
              <w:left w:val="single" w:sz="4" w:space="0" w:color="D5DDE2"/>
              <w:bottom w:val="single" w:sz="4" w:space="0" w:color="D5DDE2"/>
              <w:right w:val="single" w:sz="4" w:space="0" w:color="D5DDE2"/>
            </w:tcBorders>
            <w:tcMar>
              <w:top w:w="40" w:type="dxa"/>
              <w:left w:w="80" w:type="dxa"/>
              <w:bottom w:w="40" w:type="dxa"/>
              <w:right w:w="80" w:type="dxa"/>
            </w:tcMar>
          </w:tcPr>
          <w:p>
            <w:pPr>
              <w:spacing w:after="0"/>
            </w:pPr>
            <w:r/>
            <w:r>
              <w:rPr>
                <w:rFonts w:ascii="Calibri" w:hAnsi="Calibri" w:eastAsia="Calibri"/>
                <w:b/>
                <w:i w:val="0"/>
                <w:color w:val="1B3A4B"/>
                <w:sz w:val="22"/>
              </w:rPr>
              <w:t>Student ID</w:t>
            </w:r>
          </w:p>
        </w:tc>
        <w:tc>
          <w:tcPr>
            <w:tcW w:type="dxa" w:w="7280"/>
            <w:shd w:val="clear" w:color="auto" w:fill="FFFFFF"/>
            <w:tcBorders>
              <w:top w:val="single" w:sz="4" w:space="0" w:color="D5DDE2"/>
              <w:left w:val="single" w:sz="4" w:space="0" w:color="D5DDE2"/>
              <w:bottom w:val="single" w:sz="4" w:space="0" w:color="D5DDE2"/>
              <w:right w:val="single" w:sz="4" w:space="0" w:color="D5DDE2"/>
            </w:tcBorders>
            <w:tcMar>
              <w:top w:w="40" w:type="dxa"/>
              <w:left w:w="80" w:type="dxa"/>
              <w:bottom w:w="40" w:type="dxa"/>
              <w:right w:w="80" w:type="dxa"/>
            </w:tcMar>
          </w:tcPr>
          <w:p>
            <w:pPr>
              <w:spacing w:after="0"/>
            </w:pPr>
            <w:r/>
            <w:r>
              <w:rPr>
                <w:rFonts w:ascii="Calibri" w:hAnsi="Calibri" w:eastAsia="Calibri"/>
                <w:b w:val="0"/>
                <w:i w:val="0"/>
                <w:color w:val="1A1A1A"/>
                <w:sz w:val="22"/>
              </w:rPr>
              <w:t>________________________________</w:t>
            </w:r>
          </w:p>
        </w:tc>
      </w:tr>
      <w:tr>
        <w:trPr>
          <w:cantSplit/>
        </w:trPr>
        <w:tc>
          <w:tcPr>
            <w:tcW w:type="dxa" w:w="2800"/>
            <w:shd w:val="clear" w:color="auto" w:fill="E6F3F1"/>
            <w:tcBorders>
              <w:top w:val="single" w:sz="4" w:space="0" w:color="D5DDE2"/>
              <w:left w:val="single" w:sz="4" w:space="0" w:color="D5DDE2"/>
              <w:bottom w:val="single" w:sz="4" w:space="0" w:color="D5DDE2"/>
              <w:right w:val="single" w:sz="4" w:space="0" w:color="D5DDE2"/>
            </w:tcBorders>
            <w:tcMar>
              <w:top w:w="40" w:type="dxa"/>
              <w:left w:w="80" w:type="dxa"/>
              <w:bottom w:w="40" w:type="dxa"/>
              <w:right w:w="80" w:type="dxa"/>
            </w:tcMar>
          </w:tcPr>
          <w:p>
            <w:pPr>
              <w:spacing w:after="0"/>
            </w:pPr>
            <w:r/>
            <w:r>
              <w:rPr>
                <w:rFonts w:ascii="Calibri" w:hAnsi="Calibri" w:eastAsia="Calibri"/>
                <w:b/>
                <w:i w:val="0"/>
                <w:color w:val="1B3A4B"/>
                <w:sz w:val="22"/>
              </w:rPr>
              <w:t>Course / instructor</w:t>
            </w:r>
          </w:p>
        </w:tc>
        <w:tc>
          <w:tcPr>
            <w:tcW w:type="dxa" w:w="7280"/>
            <w:shd w:val="clear" w:color="auto" w:fill="FFFFFF"/>
            <w:tcBorders>
              <w:top w:val="single" w:sz="4" w:space="0" w:color="D5DDE2"/>
              <w:left w:val="single" w:sz="4" w:space="0" w:color="D5DDE2"/>
              <w:bottom w:val="single" w:sz="4" w:space="0" w:color="D5DDE2"/>
              <w:right w:val="single" w:sz="4" w:space="0" w:color="D5DDE2"/>
            </w:tcBorders>
            <w:tcMar>
              <w:top w:w="40" w:type="dxa"/>
              <w:left w:w="80" w:type="dxa"/>
              <w:bottom w:w="40" w:type="dxa"/>
              <w:right w:w="80" w:type="dxa"/>
            </w:tcMar>
          </w:tcPr>
          <w:p>
            <w:pPr>
              <w:spacing w:after="0"/>
            </w:pPr>
            <w:r/>
            <w:r>
              <w:rPr>
                <w:rFonts w:ascii="Calibri" w:hAnsi="Calibri" w:eastAsia="Calibri"/>
                <w:b w:val="0"/>
                <w:i w:val="0"/>
                <w:color w:val="1A1A1A"/>
                <w:sz w:val="22"/>
              </w:rPr>
              <w:t>________________________________</w:t>
            </w:r>
          </w:p>
        </w:tc>
      </w:tr>
      <w:tr>
        <w:trPr>
          <w:cantSplit/>
        </w:trPr>
        <w:tc>
          <w:tcPr>
            <w:tcW w:type="dxa" w:w="2800"/>
            <w:shd w:val="clear" w:color="auto" w:fill="E6F3F1"/>
            <w:tcBorders>
              <w:top w:val="single" w:sz="4" w:space="0" w:color="D5DDE2"/>
              <w:left w:val="single" w:sz="4" w:space="0" w:color="D5DDE2"/>
              <w:bottom w:val="single" w:sz="4" w:space="0" w:color="D5DDE2"/>
              <w:right w:val="single" w:sz="4" w:space="0" w:color="D5DDE2"/>
            </w:tcBorders>
            <w:tcMar>
              <w:top w:w="40" w:type="dxa"/>
              <w:left w:w="80" w:type="dxa"/>
              <w:bottom w:w="40" w:type="dxa"/>
              <w:right w:w="80" w:type="dxa"/>
            </w:tcMar>
          </w:tcPr>
          <w:p>
            <w:pPr>
              <w:spacing w:after="0"/>
            </w:pPr>
            <w:r/>
            <w:r>
              <w:rPr>
                <w:rFonts w:ascii="Calibri" w:hAnsi="Calibri" w:eastAsia="Calibri"/>
                <w:b/>
                <w:i w:val="0"/>
                <w:color w:val="1B3A4B"/>
                <w:sz w:val="22"/>
              </w:rPr>
              <w:t>Date</w:t>
            </w:r>
          </w:p>
        </w:tc>
        <w:tc>
          <w:tcPr>
            <w:tcW w:type="dxa" w:w="7280"/>
            <w:shd w:val="clear" w:color="auto" w:fill="FFFFFF"/>
            <w:tcBorders>
              <w:top w:val="single" w:sz="4" w:space="0" w:color="D5DDE2"/>
              <w:left w:val="single" w:sz="4" w:space="0" w:color="D5DDE2"/>
              <w:bottom w:val="single" w:sz="4" w:space="0" w:color="D5DDE2"/>
              <w:right w:val="single" w:sz="4" w:space="0" w:color="D5DDE2"/>
            </w:tcBorders>
            <w:tcMar>
              <w:top w:w="40" w:type="dxa"/>
              <w:left w:w="80" w:type="dxa"/>
              <w:bottom w:w="40" w:type="dxa"/>
              <w:right w:w="80" w:type="dxa"/>
            </w:tcMar>
          </w:tcPr>
          <w:p>
            <w:pPr>
              <w:spacing w:after="0"/>
            </w:pPr>
            <w:r/>
            <w:r>
              <w:rPr>
                <w:rFonts w:ascii="Calibri" w:hAnsi="Calibri" w:eastAsia="Calibri"/>
                <w:b w:val="0"/>
                <w:i w:val="0"/>
                <w:color w:val="1A1A1A"/>
                <w:sz w:val="22"/>
              </w:rPr>
              <w:t>27 October 2026 (PKT)</w:t>
            </w:r>
          </w:p>
        </w:tc>
      </w:tr>
    </w:tbl>
    <w:p>
      <w:pPr>
        <w:spacing w:before="0" w:after="120" w:line="269" w:lineRule="auto"/>
        <w:jc w:val="left"/>
      </w:pPr>
    </w:p>
    <w:p>
      <w:pPr>
        <w:keepNext/>
        <w:spacing w:before="320" w:after="120" w:line="252" w:lineRule="auto"/>
        <w:pBdr>
          <w:bottom w:val="single" w:sz="10" w:space="1" w:color="0F5E56"/>
        </w:pBdr>
      </w:pPr>
      <w:r>
        <w:rPr>
          <w:rFonts w:ascii="Calibri" w:hAnsi="Calibri" w:eastAsia="Calibri"/>
          <w:b/>
          <w:i w:val="0"/>
          <w:color w:val="1B3A4B"/>
          <w:sz w:val="32"/>
        </w:rPr>
        <w:t>1. Purpose</w:t>
      </w:r>
    </w:p>
    <w:p>
      <w:pPr>
        <w:spacing w:before="0" w:after="160" w:line="269" w:lineRule="auto"/>
        <w:jc w:val="both"/>
      </w:pPr>
      <w:r>
        <w:rPr>
          <w:rFonts w:ascii="Calibri" w:hAnsi="Calibri" w:eastAsia="Calibri"/>
          <w:b w:val="0"/>
          <w:i w:val="0"/>
          <w:color w:val="1A1A1A"/>
          <w:sz w:val="22"/>
        </w:rPr>
        <w:t>This assignment shows how to bill one injectable drug in three different situations. The drug, the HCPCS code, and the administration CPT code stay the same. What changes is the container, the National Drug Code (NDC), the quantity, and the units that may be reported.</w:t>
      </w:r>
    </w:p>
    <w:p>
      <w:pPr>
        <w:spacing w:before="0" w:after="80" w:line="269" w:lineRule="auto"/>
        <w:jc w:val="left"/>
      </w:pPr>
      <w:r>
        <w:rPr>
          <w:rFonts w:ascii="Calibri" w:hAnsi="Calibri" w:eastAsia="Calibri"/>
          <w:b w:val="0"/>
          <w:i w:val="0"/>
          <w:color w:val="1A1A1A"/>
          <w:sz w:val="22"/>
        </w:rPr>
        <w:t>The three situations are:</w:t>
      </w:r>
    </w:p>
    <w:p>
      <w:pPr>
        <w:spacing w:before="20" w:after="60" w:line="264" w:lineRule="auto"/>
        <w:ind w:left="567" w:hanging="227"/>
      </w:pPr>
      <w:r>
        <w:rPr>
          <w:rFonts w:ascii="Calibri" w:hAnsi="Calibri" w:eastAsia="Calibri"/>
          <w:b/>
          <w:i w:val="0"/>
          <w:color w:val="0F5E56"/>
          <w:sz w:val="22"/>
        </w:rPr>
        <w:t xml:space="preserve">•  </w:t>
      </w:r>
      <w:r>
        <w:rPr>
          <w:rFonts w:ascii="Calibri" w:hAnsi="Calibri" w:eastAsia="Calibri"/>
          <w:b/>
          <w:i w:val="0"/>
          <w:color w:val="1A1A1A"/>
          <w:sz w:val="22"/>
        </w:rPr>
        <w:t xml:space="preserve">Scenario 1 — full use. </w:t>
      </w:r>
      <w:r>
        <w:rPr>
          <w:rFonts w:ascii="Calibri" w:hAnsi="Calibri" w:eastAsia="Calibri"/>
          <w:b w:val="0"/>
          <w:i w:val="0"/>
          <w:color w:val="1A1A1A"/>
          <w:sz w:val="22"/>
        </w:rPr>
        <w:t>The ordered dose uses the entire single-dose vial. Every milligram is administered, so the NDC quantity and the HCPCS units both represent the full labeled contents.</w:t>
      </w:r>
    </w:p>
    <w:p>
      <w:pPr>
        <w:spacing w:before="20" w:after="60" w:line="264" w:lineRule="auto"/>
        <w:ind w:left="567" w:hanging="227"/>
      </w:pPr>
      <w:r>
        <w:rPr>
          <w:rFonts w:ascii="Calibri" w:hAnsi="Calibri" w:eastAsia="Calibri"/>
          <w:b/>
          <w:i w:val="0"/>
          <w:color w:val="0F5E56"/>
          <w:sz w:val="22"/>
        </w:rPr>
        <w:t xml:space="preserve">•  </w:t>
      </w:r>
      <w:r>
        <w:rPr>
          <w:rFonts w:ascii="Calibri" w:hAnsi="Calibri" w:eastAsia="Calibri"/>
          <w:b/>
          <w:i w:val="0"/>
          <w:color w:val="1A1A1A"/>
          <w:sz w:val="22"/>
        </w:rPr>
        <w:t xml:space="preserve">Scenario 2 — half used, half kept. </w:t>
      </w:r>
      <w:r>
        <w:rPr>
          <w:rFonts w:ascii="Calibri" w:hAnsi="Calibri" w:eastAsia="Calibri"/>
          <w:b w:val="0"/>
          <w:i w:val="0"/>
          <w:color w:val="1A1A1A"/>
          <w:sz w:val="22"/>
        </w:rPr>
        <w:t>Half of a multiple-dose vial is administered. The other half is stored and later given to a different patient. Only the half actually given is billed on this claim.</w:t>
      </w:r>
    </w:p>
    <w:p>
      <w:pPr>
        <w:spacing w:before="20" w:after="60" w:line="264" w:lineRule="auto"/>
        <w:ind w:left="567" w:hanging="227"/>
      </w:pPr>
      <w:r>
        <w:rPr>
          <w:rFonts w:ascii="Calibri" w:hAnsi="Calibri" w:eastAsia="Calibri"/>
          <w:b/>
          <w:i w:val="0"/>
          <w:color w:val="0F5E56"/>
          <w:sz w:val="22"/>
        </w:rPr>
        <w:t xml:space="preserve">•  </w:t>
      </w:r>
      <w:r>
        <w:rPr>
          <w:rFonts w:ascii="Calibri" w:hAnsi="Calibri" w:eastAsia="Calibri"/>
          <w:b/>
          <w:i w:val="0"/>
          <w:color w:val="1A1A1A"/>
          <w:sz w:val="22"/>
        </w:rPr>
        <w:t xml:space="preserve">Scenario 3 — half used, half discarded. </w:t>
      </w:r>
      <w:r>
        <w:rPr>
          <w:rFonts w:ascii="Calibri" w:hAnsi="Calibri" w:eastAsia="Calibri"/>
          <w:b w:val="0"/>
          <w:i w:val="0"/>
          <w:color w:val="1A1A1A"/>
          <w:sz w:val="22"/>
        </w:rPr>
        <w:t>Half of a single-dose vial is administered and the other half is discarded. The NDC must be the single-dose vial, and the discarded half is billed on its own claim line.</w:t>
      </w:r>
    </w:p>
    <w:p>
      <w:pPr>
        <w:keepNext/>
        <w:spacing w:before="320" w:after="120" w:line="252" w:lineRule="auto"/>
        <w:pBdr>
          <w:bottom w:val="single" w:sz="10" w:space="1" w:color="0F5E56"/>
        </w:pBdr>
      </w:pPr>
      <w:r>
        <w:rPr>
          <w:rFonts w:ascii="Calibri" w:hAnsi="Calibri" w:eastAsia="Calibri"/>
          <w:b/>
          <w:i w:val="0"/>
          <w:color w:val="1B3A4B"/>
          <w:sz w:val="32"/>
        </w:rPr>
        <w:t>2. Codes used for every scenario</w:t>
      </w:r>
    </w:p>
    <w:p>
      <w:pPr>
        <w:spacing w:before="0" w:after="160" w:line="269" w:lineRule="auto"/>
        <w:jc w:val="both"/>
      </w:pPr>
      <w:r>
        <w:rPr>
          <w:rFonts w:ascii="Calibri" w:hAnsi="Calibri" w:eastAsia="Calibri"/>
          <w:b w:val="0"/>
          <w:i w:val="0"/>
          <w:color w:val="1A1A1A"/>
          <w:sz w:val="22"/>
        </w:rPr>
        <w:t>Dexamethasone sodium phosphate injection is used throughout, because the same drug is sold both as a single-dose vial and as a multiple-dose vial. That makes the NDC the item that tells the payer which container was opened. The examples below use Fresenius Kabi products as labeled on DailyMed.</w:t>
      </w:r>
    </w:p>
    <w:tbl>
      <w:tblPr>
        <w:tblStyle w:val="TableGrid"/>
        <w:tblW w:type="dxa" w:w="10080"/>
        <w:jc w:val="center"/>
        <w:tblLayout w:type="fixed"/>
        <w:tblLook w:firstColumn="1" w:firstRow="1" w:lastColumn="0" w:lastRow="0" w:noHBand="0" w:noVBand="1" w:val="04A0"/>
      </w:tblPr>
      <w:tblGrid>
        <w:gridCol w:w="2200"/>
        <w:gridCol w:w="2800"/>
        <w:gridCol w:w="5080"/>
      </w:tblGrid>
      <w:tr>
        <w:trPr>
          <w:cantSplit/>
        </w:trPr>
        <w:tc>
          <w:tcPr>
            <w:tcW w:type="dxa" w:w="2200"/>
            <w:shd w:val="clear" w:color="auto" w:fill="1B3A4B"/>
            <w:tcBorders>
              <w:top w:val="single" w:sz="4" w:space="0" w:color="1B3A4B"/>
              <w:left w:val="single" w:sz="4" w:space="0" w:color="1B3A4B"/>
              <w:bottom w:val="single" w:sz="4" w:space="0" w:color="1B3A4B"/>
              <w:right w:val="single" w:sz="4" w:space="0" w:color="1B3A4B"/>
            </w:tcBorders>
            <w:tcMar>
              <w:top w:w="50" w:type="dxa"/>
              <w:left w:w="60" w:type="dxa"/>
              <w:bottom w:w="50" w:type="dxa"/>
              <w:right w:w="60" w:type="dxa"/>
            </w:tcMar>
          </w:tcPr>
          <w:p>
            <w:pPr>
              <w:spacing w:after="0"/>
            </w:pPr>
            <w:r/>
            <w:r>
              <w:rPr>
                <w:rFonts w:ascii="Calibri" w:hAnsi="Calibri" w:eastAsia="Calibri"/>
                <w:b/>
                <w:i w:val="0"/>
                <w:color w:val="FFFFFF"/>
                <w:sz w:val="18"/>
              </w:rPr>
              <w:t>Item</w:t>
            </w:r>
          </w:p>
        </w:tc>
        <w:tc>
          <w:tcPr>
            <w:tcW w:type="dxa" w:w="2800"/>
            <w:shd w:val="clear" w:color="auto" w:fill="1B3A4B"/>
            <w:tcBorders>
              <w:top w:val="single" w:sz="4" w:space="0" w:color="1B3A4B"/>
              <w:left w:val="single" w:sz="4" w:space="0" w:color="1B3A4B"/>
              <w:bottom w:val="single" w:sz="4" w:space="0" w:color="1B3A4B"/>
              <w:right w:val="single" w:sz="4" w:space="0" w:color="1B3A4B"/>
            </w:tcBorders>
            <w:tcMar>
              <w:top w:w="50" w:type="dxa"/>
              <w:left w:w="60" w:type="dxa"/>
              <w:bottom w:w="50" w:type="dxa"/>
              <w:right w:w="60" w:type="dxa"/>
            </w:tcMar>
          </w:tcPr>
          <w:p>
            <w:pPr>
              <w:spacing w:after="0"/>
            </w:pPr>
            <w:r/>
            <w:r>
              <w:rPr>
                <w:rFonts w:ascii="Calibri" w:hAnsi="Calibri" w:eastAsia="Calibri"/>
                <w:b/>
                <w:i w:val="0"/>
                <w:color w:val="FFFFFF"/>
                <w:sz w:val="18"/>
              </w:rPr>
              <w:t>Code or value</w:t>
            </w:r>
          </w:p>
        </w:tc>
        <w:tc>
          <w:tcPr>
            <w:tcW w:type="dxa" w:w="5080"/>
            <w:shd w:val="clear" w:color="auto" w:fill="1B3A4B"/>
            <w:tcBorders>
              <w:top w:val="single" w:sz="4" w:space="0" w:color="1B3A4B"/>
              <w:left w:val="single" w:sz="4" w:space="0" w:color="1B3A4B"/>
              <w:bottom w:val="single" w:sz="4" w:space="0" w:color="1B3A4B"/>
              <w:right w:val="single" w:sz="4" w:space="0" w:color="1B3A4B"/>
            </w:tcBorders>
            <w:tcMar>
              <w:top w:w="50" w:type="dxa"/>
              <w:left w:w="60" w:type="dxa"/>
              <w:bottom w:w="50" w:type="dxa"/>
              <w:right w:w="60" w:type="dxa"/>
            </w:tcMar>
          </w:tcPr>
          <w:p>
            <w:pPr>
              <w:spacing w:after="0"/>
            </w:pPr>
            <w:r/>
            <w:r>
              <w:rPr>
                <w:rFonts w:ascii="Calibri" w:hAnsi="Calibri" w:eastAsia="Calibri"/>
                <w:b/>
                <w:i w:val="0"/>
                <w:color w:val="FFFFFF"/>
                <w:sz w:val="18"/>
              </w:rPr>
              <w:t>What it means on the claim</w:t>
            </w:r>
          </w:p>
        </w:tc>
      </w:tr>
      <w:tr>
        <w:trPr>
          <w:cantSplit/>
        </w:trPr>
        <w:tc>
          <w:tcPr>
            <w:tcW w:type="dxa" w:w="220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8"/>
              </w:rPr>
              <w:t>Drug</w:t>
            </w:r>
          </w:p>
        </w:tc>
        <w:tc>
          <w:tcPr>
            <w:tcW w:type="dxa" w:w="280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8"/>
              </w:rPr>
              <w:t>Dexamethasone sodium phosphate injection</w:t>
            </w:r>
          </w:p>
        </w:tc>
        <w:tc>
          <w:tcPr>
            <w:tcW w:type="dxa" w:w="508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8"/>
              </w:rPr>
              <w:t>Corticosteroid given by IV push in these examples</w:t>
            </w:r>
          </w:p>
        </w:tc>
      </w:tr>
      <w:tr>
        <w:trPr>
          <w:cantSplit/>
        </w:trPr>
        <w:tc>
          <w:tcPr>
            <w:tcW w:type="dxa" w:w="220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8"/>
              </w:rPr>
              <w:t>Drug procedure code</w:t>
            </w:r>
          </w:p>
        </w:tc>
        <w:tc>
          <w:tcPr>
            <w:tcW w:type="dxa" w:w="280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8"/>
              </w:rPr>
              <w:t>HCPCS J1100</w:t>
            </w:r>
          </w:p>
        </w:tc>
        <w:tc>
          <w:tcPr>
            <w:tcW w:type="dxa" w:w="508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8"/>
              </w:rPr>
              <w:t>Injection, dexamethasone sodium phosphate, 1 mg. One billing unit = 1 mg.</w:t>
            </w:r>
          </w:p>
        </w:tc>
      </w:tr>
      <w:tr>
        <w:trPr>
          <w:cantSplit/>
        </w:trPr>
        <w:tc>
          <w:tcPr>
            <w:tcW w:type="dxa" w:w="220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8"/>
              </w:rPr>
              <w:t>Administration CPT</w:t>
            </w:r>
          </w:p>
        </w:tc>
        <w:tc>
          <w:tcPr>
            <w:tcW w:type="dxa" w:w="280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8"/>
              </w:rPr>
              <w:t>CPT 96374</w:t>
            </w:r>
          </w:p>
        </w:tc>
        <w:tc>
          <w:tcPr>
            <w:tcW w:type="dxa" w:w="508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8"/>
              </w:rPr>
              <w:t>IV push of a single or initial drug. Billed once per encounter. It is not split when drug units are split.</w:t>
            </w:r>
          </w:p>
        </w:tc>
      </w:tr>
      <w:tr>
        <w:trPr>
          <w:cantSplit/>
        </w:trPr>
        <w:tc>
          <w:tcPr>
            <w:tcW w:type="dxa" w:w="220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8"/>
              </w:rPr>
              <w:t>Full-use and discard NDC</w:t>
            </w:r>
          </w:p>
        </w:tc>
        <w:tc>
          <w:tcPr>
            <w:tcW w:type="dxa" w:w="280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8"/>
              </w:rPr>
              <w:t>63323-0165-02</w:t>
            </w:r>
          </w:p>
        </w:tc>
        <w:tc>
          <w:tcPr>
            <w:tcW w:type="dxa" w:w="508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8"/>
              </w:rPr>
              <w:t>11-digit NDC of the 1 mL single-dose vial (4 mg per mL). Label form 63323-165-02.</w:t>
            </w:r>
          </w:p>
        </w:tc>
      </w:tr>
      <w:tr>
        <w:trPr>
          <w:cantSplit/>
        </w:trPr>
        <w:tc>
          <w:tcPr>
            <w:tcW w:type="dxa" w:w="220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8"/>
              </w:rPr>
              <w:t>Kept-for-later NDC</w:t>
            </w:r>
          </w:p>
        </w:tc>
        <w:tc>
          <w:tcPr>
            <w:tcW w:type="dxa" w:w="280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8"/>
              </w:rPr>
              <w:t>63323-0165-03</w:t>
            </w:r>
          </w:p>
        </w:tc>
        <w:tc>
          <w:tcPr>
            <w:tcW w:type="dxa" w:w="508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8"/>
              </w:rPr>
              <w:t>11-digit NDC of the 5 mL multiple-dose vial (20 mg per 5 mL). Label form 63323-165-03.</w:t>
            </w:r>
          </w:p>
        </w:tc>
      </w:tr>
      <w:tr>
        <w:trPr>
          <w:cantSplit/>
        </w:trPr>
        <w:tc>
          <w:tcPr>
            <w:tcW w:type="dxa" w:w="220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8"/>
              </w:rPr>
              <w:t>No-waste modifier</w:t>
            </w:r>
          </w:p>
        </w:tc>
        <w:tc>
          <w:tcPr>
            <w:tcW w:type="dxa" w:w="280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8"/>
              </w:rPr>
              <w:t>JZ</w:t>
            </w:r>
          </w:p>
        </w:tc>
        <w:tc>
          <w:tcPr>
            <w:tcW w:type="dxa" w:w="508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8"/>
              </w:rPr>
              <w:t>Single-dose container, and none of the labeled drug was discarded.</w:t>
            </w:r>
          </w:p>
        </w:tc>
      </w:tr>
      <w:tr>
        <w:trPr>
          <w:cantSplit/>
        </w:trPr>
        <w:tc>
          <w:tcPr>
            <w:tcW w:type="dxa" w:w="220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8"/>
              </w:rPr>
              <w:t>Discard modifier</w:t>
            </w:r>
          </w:p>
        </w:tc>
        <w:tc>
          <w:tcPr>
            <w:tcW w:type="dxa" w:w="280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8"/>
              </w:rPr>
              <w:t>JW</w:t>
            </w:r>
          </w:p>
        </w:tc>
        <w:tc>
          <w:tcPr>
            <w:tcW w:type="dxa" w:w="508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8"/>
              </w:rPr>
              <w:t>Amount from a single-dose container that was discarded and not given to any patient.</w:t>
            </w:r>
          </w:p>
        </w:tc>
      </w:tr>
    </w:tbl>
    <w:p>
      <w:pPr>
        <w:spacing w:before="40" w:after="120"/>
      </w:pPr>
    </w:p>
    <w:p>
      <w:pPr>
        <w:spacing w:before="0" w:after="160" w:line="269" w:lineRule="auto"/>
        <w:jc w:val="both"/>
      </w:pPr>
      <w:r>
        <w:rPr>
          <w:rFonts w:ascii="Calibri" w:hAnsi="Calibri" w:eastAsia="Calibri"/>
          <w:b w:val="0"/>
          <w:i w:val="0"/>
          <w:color w:val="1A1A1A"/>
          <w:sz w:val="22"/>
        </w:rPr>
        <w:t>J1100 is a HCPCS Level II code, not a CPT code. On the CMS-1500 it is still entered in Item 24D, the same field used for CPT. CPT 96374 is a separate line because administration is a service, while J1100 is the drug. An intramuscular injection of the same drug would use CPT 96372 instead of 96374. The drug math would not change. Report the NDC printed on the vial that was opened. Some payer crosswalks list the carton NDC instead (63323-0165-01 for the single-dose pack, or 63323-0165-05 for the multiple-dose pack). If the payer’s crosswalk requires the carton NDC, use that NDC, but do not switch the container type.</w:t>
      </w:r>
    </w:p>
    <w:p>
      <w:pPr>
        <w:keepNext/>
        <w:spacing w:before="320" w:after="120" w:line="252" w:lineRule="auto"/>
        <w:pBdr>
          <w:bottom w:val="single" w:sz="10" w:space="1" w:color="0F5E56"/>
        </w:pBdr>
      </w:pPr>
      <w:r>
        <w:rPr>
          <w:rFonts w:ascii="Calibri" w:hAnsi="Calibri" w:eastAsia="Calibri"/>
          <w:b/>
          <w:i w:val="0"/>
          <w:color w:val="1B3A4B"/>
          <w:sz w:val="32"/>
        </w:rPr>
        <w:t>3. How NDC quantity and HCPCS units are calculated</w:t>
      </w:r>
    </w:p>
    <w:p>
      <w:pPr>
        <w:spacing w:before="0" w:after="160" w:line="269" w:lineRule="auto"/>
        <w:jc w:val="both"/>
      </w:pPr>
      <w:r>
        <w:rPr>
          <w:rFonts w:ascii="Calibri" w:hAnsi="Calibri" w:eastAsia="Calibri"/>
          <w:b w:val="0"/>
          <w:i w:val="0"/>
          <w:color w:val="1A1A1A"/>
          <w:sz w:val="22"/>
        </w:rPr>
        <w:t>NDC quantity and HCPCS units measure different things. HCPCS units follow the code descriptor. NDC quantity follows the package measure, which for these liquid vials is milliliters.</w:t>
      </w:r>
    </w:p>
    <w:tbl>
      <w:tblPr>
        <w:tblStyle w:val="TableGrid"/>
        <w:tblW w:type="dxa" w:w="10080"/>
        <w:jc w:val="center"/>
        <w:tblLayout w:type="fixed"/>
        <w:tblLook w:firstColumn="1" w:firstRow="1" w:lastColumn="0" w:lastRow="0" w:noHBand="0" w:noVBand="1" w:val="04A0"/>
      </w:tblPr>
      <w:tblGrid>
        <w:gridCol w:w="1800"/>
        <w:gridCol w:w="4200"/>
        <w:gridCol w:w="4080"/>
      </w:tblGrid>
      <w:tr>
        <w:trPr>
          <w:cantSplit/>
        </w:trPr>
        <w:tc>
          <w:tcPr>
            <w:tcW w:type="dxa" w:w="1800"/>
            <w:shd w:val="clear" w:color="auto" w:fill="1B3A4B"/>
            <w:tcBorders>
              <w:top w:val="single" w:sz="4" w:space="0" w:color="1B3A4B"/>
              <w:left w:val="single" w:sz="4" w:space="0" w:color="1B3A4B"/>
              <w:bottom w:val="single" w:sz="4" w:space="0" w:color="1B3A4B"/>
              <w:right w:val="single" w:sz="4" w:space="0" w:color="1B3A4B"/>
            </w:tcBorders>
            <w:tcMar>
              <w:top w:w="50" w:type="dxa"/>
              <w:left w:w="60" w:type="dxa"/>
              <w:bottom w:w="50" w:type="dxa"/>
              <w:right w:w="60" w:type="dxa"/>
            </w:tcMar>
          </w:tcPr>
          <w:p>
            <w:pPr>
              <w:spacing w:after="0"/>
            </w:pPr>
            <w:r/>
            <w:r>
              <w:rPr>
                <w:rFonts w:ascii="Calibri" w:hAnsi="Calibri" w:eastAsia="Calibri"/>
                <w:b/>
                <w:i w:val="0"/>
                <w:color w:val="FFFFFF"/>
                <w:sz w:val="18"/>
              </w:rPr>
              <w:t>Calculation</w:t>
            </w:r>
          </w:p>
        </w:tc>
        <w:tc>
          <w:tcPr>
            <w:tcW w:type="dxa" w:w="4200"/>
            <w:shd w:val="clear" w:color="auto" w:fill="1B3A4B"/>
            <w:tcBorders>
              <w:top w:val="single" w:sz="4" w:space="0" w:color="1B3A4B"/>
              <w:left w:val="single" w:sz="4" w:space="0" w:color="1B3A4B"/>
              <w:bottom w:val="single" w:sz="4" w:space="0" w:color="1B3A4B"/>
              <w:right w:val="single" w:sz="4" w:space="0" w:color="1B3A4B"/>
            </w:tcBorders>
            <w:tcMar>
              <w:top w:w="50" w:type="dxa"/>
              <w:left w:w="60" w:type="dxa"/>
              <w:bottom w:w="50" w:type="dxa"/>
              <w:right w:w="60" w:type="dxa"/>
            </w:tcMar>
          </w:tcPr>
          <w:p>
            <w:pPr>
              <w:spacing w:after="0"/>
            </w:pPr>
            <w:r/>
            <w:r>
              <w:rPr>
                <w:rFonts w:ascii="Calibri" w:hAnsi="Calibri" w:eastAsia="Calibri"/>
                <w:b/>
                <w:i w:val="0"/>
                <w:color w:val="FFFFFF"/>
                <w:sz w:val="18"/>
              </w:rPr>
              <w:t>Formula used in this assignment</w:t>
            </w:r>
          </w:p>
        </w:tc>
        <w:tc>
          <w:tcPr>
            <w:tcW w:type="dxa" w:w="4080"/>
            <w:shd w:val="clear" w:color="auto" w:fill="1B3A4B"/>
            <w:tcBorders>
              <w:top w:val="single" w:sz="4" w:space="0" w:color="1B3A4B"/>
              <w:left w:val="single" w:sz="4" w:space="0" w:color="1B3A4B"/>
              <w:bottom w:val="single" w:sz="4" w:space="0" w:color="1B3A4B"/>
              <w:right w:val="single" w:sz="4" w:space="0" w:color="1B3A4B"/>
            </w:tcBorders>
            <w:tcMar>
              <w:top w:w="50" w:type="dxa"/>
              <w:left w:w="60" w:type="dxa"/>
              <w:bottom w:w="50" w:type="dxa"/>
              <w:right w:w="60" w:type="dxa"/>
            </w:tcMar>
          </w:tcPr>
          <w:p>
            <w:pPr>
              <w:spacing w:after="0"/>
            </w:pPr>
            <w:r/>
            <w:r>
              <w:rPr>
                <w:rFonts w:ascii="Calibri" w:hAnsi="Calibri" w:eastAsia="Calibri"/>
                <w:b/>
                <w:i w:val="0"/>
                <w:color w:val="FFFFFF"/>
                <w:sz w:val="18"/>
              </w:rPr>
              <w:t>Result for this drug</w:t>
            </w:r>
          </w:p>
        </w:tc>
      </w:tr>
      <w:tr>
        <w:trPr>
          <w:cantSplit/>
        </w:trPr>
        <w:tc>
          <w:tcPr>
            <w:tcW w:type="dxa" w:w="180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8"/>
              </w:rPr>
              <w:t>HCPCS units</w:t>
            </w:r>
          </w:p>
        </w:tc>
        <w:tc>
          <w:tcPr>
            <w:tcW w:type="dxa" w:w="420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8"/>
              </w:rPr>
              <w:t>Milligrams given ÷ 1 mg (the J1100 descriptor)</w:t>
            </w:r>
          </w:p>
        </w:tc>
        <w:tc>
          <w:tcPr>
            <w:tcW w:type="dxa" w:w="408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8"/>
              </w:rPr>
              <w:t>4 mg given = 4 units. 10 mg given = 10 units. 2 mg given = 2 units.</w:t>
            </w:r>
          </w:p>
        </w:tc>
      </w:tr>
      <w:tr>
        <w:trPr>
          <w:cantSplit/>
        </w:trPr>
        <w:tc>
          <w:tcPr>
            <w:tcW w:type="dxa" w:w="180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8"/>
              </w:rPr>
              <w:t>NDC quantity</w:t>
            </w:r>
          </w:p>
        </w:tc>
        <w:tc>
          <w:tcPr>
            <w:tcW w:type="dxa" w:w="420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8"/>
              </w:rPr>
              <w:t>Milligrams on that claim line ÷ 4 mg per mL</w:t>
            </w:r>
          </w:p>
        </w:tc>
        <w:tc>
          <w:tcPr>
            <w:tcW w:type="dxa" w:w="408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8"/>
              </w:rPr>
              <w:t>4 mg = 1 mL. 10 mg = 2.5 mL. 2 mg = 0.5 mL.</w:t>
            </w:r>
          </w:p>
        </w:tc>
      </w:tr>
      <w:tr>
        <w:trPr>
          <w:cantSplit/>
        </w:trPr>
        <w:tc>
          <w:tcPr>
            <w:tcW w:type="dxa" w:w="180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8"/>
              </w:rPr>
              <w:t>11-digit NDC</w:t>
            </w:r>
          </w:p>
        </w:tc>
        <w:tc>
          <w:tcPr>
            <w:tcW w:type="dxa" w:w="420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8"/>
              </w:rPr>
              <w:t>The label is 5-3-2. Add one zero at the start of the middle segment.</w:t>
            </w:r>
          </w:p>
        </w:tc>
        <w:tc>
          <w:tcPr>
            <w:tcW w:type="dxa" w:w="408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8"/>
              </w:rPr>
              <w:t>63323-165-02 becomes 63323-0165-02. 63323-165-03 becomes 63323-0165-03.</w:t>
            </w:r>
          </w:p>
        </w:tc>
      </w:tr>
    </w:tbl>
    <w:p>
      <w:pPr>
        <w:spacing w:before="40" w:after="120"/>
      </w:pPr>
    </w:p>
    <w:p>
      <w:pPr>
        <w:spacing w:before="0" w:after="160" w:line="269" w:lineRule="auto"/>
        <w:jc w:val="both"/>
      </w:pPr>
      <w:r>
        <w:rPr>
          <w:rFonts w:ascii="Calibri" w:hAnsi="Calibri" w:eastAsia="Calibri"/>
          <w:b w:val="0"/>
          <w:i w:val="0"/>
          <w:color w:val="1A1A1A"/>
          <w:sz w:val="22"/>
        </w:rPr>
        <w:t>On a paper CMS-1500, the NDC is written in the shaded area above the drug line in Item 24A, in this order: the qualifier N4, the 11-digit NDC with no hyphens, the unit of measure, and the quantity.</w:t>
      </w:r>
    </w:p>
    <w:p>
      <w:pPr>
        <w:spacing w:before="20" w:after="60" w:line="264" w:lineRule="auto"/>
        <w:ind w:left="567" w:hanging="227"/>
      </w:pPr>
      <w:r>
        <w:rPr>
          <w:rFonts w:ascii="Calibri" w:hAnsi="Calibri" w:eastAsia="Calibri"/>
          <w:b/>
          <w:i w:val="0"/>
          <w:color w:val="0F5E56"/>
          <w:sz w:val="22"/>
        </w:rPr>
        <w:t xml:space="preserve">•  </w:t>
      </w:r>
      <w:r>
        <w:rPr>
          <w:rFonts w:ascii="Calibri" w:hAnsi="Calibri" w:eastAsia="Calibri"/>
          <w:b/>
          <w:i w:val="0"/>
          <w:color w:val="1A1A1A"/>
          <w:sz w:val="22"/>
        </w:rPr>
        <w:t xml:space="preserve">Full vial. </w:t>
      </w:r>
      <w:r>
        <w:rPr>
          <w:rFonts w:ascii="Calibri" w:hAnsi="Calibri" w:eastAsia="Calibri"/>
          <w:b w:val="0"/>
          <w:i w:val="0"/>
          <w:color w:val="1A1A1A"/>
          <w:sz w:val="22"/>
        </w:rPr>
        <w:t>N463323016502 ML1.000 means NDC 63323-0165-02, quantity 1 mL.</w:t>
      </w:r>
    </w:p>
    <w:p>
      <w:pPr>
        <w:spacing w:before="20" w:after="60" w:line="264" w:lineRule="auto"/>
        <w:ind w:left="567" w:hanging="227"/>
      </w:pPr>
      <w:r>
        <w:rPr>
          <w:rFonts w:ascii="Calibri" w:hAnsi="Calibri" w:eastAsia="Calibri"/>
          <w:b/>
          <w:i w:val="0"/>
          <w:color w:val="0F5E56"/>
          <w:sz w:val="22"/>
        </w:rPr>
        <w:t xml:space="preserve">•  </w:t>
      </w:r>
      <w:r>
        <w:rPr>
          <w:rFonts w:ascii="Calibri" w:hAnsi="Calibri" w:eastAsia="Calibri"/>
          <w:b/>
          <w:i w:val="0"/>
          <w:color w:val="1A1A1A"/>
          <w:sz w:val="22"/>
        </w:rPr>
        <w:t xml:space="preserve">Half of the multi-dose vial. </w:t>
      </w:r>
      <w:r>
        <w:rPr>
          <w:rFonts w:ascii="Calibri" w:hAnsi="Calibri" w:eastAsia="Calibri"/>
          <w:b w:val="0"/>
          <w:i w:val="0"/>
          <w:color w:val="1A1A1A"/>
          <w:sz w:val="22"/>
        </w:rPr>
        <w:t>N463323016503 ML2.500 means NDC 63323-0165-03, quantity 2.5 mL.</w:t>
      </w:r>
    </w:p>
    <w:p>
      <w:pPr>
        <w:spacing w:before="20" w:after="60" w:line="264" w:lineRule="auto"/>
        <w:ind w:left="567" w:hanging="227"/>
      </w:pPr>
      <w:r>
        <w:rPr>
          <w:rFonts w:ascii="Calibri" w:hAnsi="Calibri" w:eastAsia="Calibri"/>
          <w:b/>
          <w:i w:val="0"/>
          <w:color w:val="0F5E56"/>
          <w:sz w:val="22"/>
        </w:rPr>
        <w:t xml:space="preserve">•  </w:t>
      </w:r>
      <w:r>
        <w:rPr>
          <w:rFonts w:ascii="Calibri" w:hAnsi="Calibri" w:eastAsia="Calibri"/>
          <w:b/>
          <w:i w:val="0"/>
          <w:color w:val="1A1A1A"/>
          <w:sz w:val="22"/>
        </w:rPr>
        <w:t xml:space="preserve">Half of the single-dose vial. </w:t>
      </w:r>
      <w:r>
        <w:rPr>
          <w:rFonts w:ascii="Calibri" w:hAnsi="Calibri" w:eastAsia="Calibri"/>
          <w:b w:val="0"/>
          <w:i w:val="0"/>
          <w:color w:val="1A1A1A"/>
          <w:sz w:val="22"/>
        </w:rPr>
        <w:t>N463323016502 ML0.500 means NDC 63323-0165-02, quantity 0.5 mL.</w:t>
      </w:r>
    </w:p>
    <w:p>
      <w:pPr>
        <w:spacing w:before="0" w:after="160" w:line="269" w:lineRule="auto"/>
        <w:jc w:val="both"/>
      </w:pPr>
      <w:r>
        <w:rPr>
          <w:rFonts w:ascii="Calibri" w:hAnsi="Calibri" w:eastAsia="Calibri"/>
          <w:b w:val="0"/>
          <w:i w:val="0"/>
          <w:color w:val="1A1A1A"/>
          <w:sz w:val="22"/>
        </w:rPr>
        <w:t>The quantity is written with three decimal places because that is the format most claim systems and Medicaid NDC edits expect. 1 mL, 2.5 mL, and 0.5 mL are the same amounts as 1.000, 2.500, and 0.500. There is a space between the NDC and the unit of measure.</w:t>
      </w:r>
    </w:p>
    <w:p>
      <w:pPr>
        <w:spacing w:before="0" w:after="160" w:line="269" w:lineRule="auto"/>
        <w:jc w:val="both"/>
      </w:pPr>
      <w:r>
        <w:rPr>
          <w:rFonts w:ascii="Calibri" w:hAnsi="Calibri" w:eastAsia="Calibri"/>
          <w:b w:val="0"/>
          <w:i w:val="0"/>
          <w:color w:val="1A1A1A"/>
          <w:sz w:val="22"/>
        </w:rPr>
        <w:t>On an electronic 837P claim, the same facts are reported in Loop 2410: LIN02 is N4, LIN03 is the 11-digit NDC, CTP04 is the quantity, and CTP05 is ML. HCPCS units stay in Loop 2400, SV104. They are not replaced by the NDC quantity.</w:t>
      </w:r>
    </w:p>
    <w:tbl>
      <w:tblPr>
        <w:tblW w:type="dxa" w:w="10080"/>
        <w:jc w:val="center"/>
        <w:tblLayout w:type="fixed"/>
        <w:tblLook w:firstColumn="1" w:firstRow="1" w:lastColumn="0" w:lastRow="0" w:noHBand="0" w:noVBand="1" w:val="04A0"/>
      </w:tblPr>
      <w:tblGrid>
        <w:gridCol w:w="10080"/>
      </w:tblGrid>
      <w:tr>
        <w:tc>
          <w:tcPr>
            <w:tcW w:type="dxa" w:w="10080"/>
            <w:shd w:val="clear" w:color="auto" w:fill="E6F3F1"/>
            <w:tcBorders>
              <w:top w:val="single" w:sz="4" w:space="0" w:color="0F5E56"/>
              <w:left w:val="single" w:sz="4" w:space="0" w:color="0F5E56"/>
              <w:bottom w:val="single" w:sz="4" w:space="0" w:color="0F5E56"/>
              <w:right w:val="single" w:sz="4" w:space="0" w:color="0F5E56"/>
            </w:tcBorders>
            <w:tcMar>
              <w:top w:w="80" w:type="dxa"/>
              <w:left w:w="120" w:type="dxa"/>
              <w:bottom w:w="80" w:type="dxa"/>
              <w:right w:w="120" w:type="dxa"/>
            </w:tcMar>
          </w:tcPr>
          <w:p>
            <w:pPr>
              <w:spacing w:after="40"/>
            </w:pPr>
            <w:r/>
            <w:r>
              <w:rPr>
                <w:rFonts w:ascii="Calibri" w:hAnsi="Calibri" w:eastAsia="Calibri"/>
                <w:b/>
                <w:i w:val="0"/>
                <w:color w:val="1B3A4B"/>
                <w:sz w:val="22"/>
              </w:rPr>
              <w:t>Rules that decide which scenario applies</w:t>
            </w:r>
          </w:p>
          <w:p>
            <w:pPr>
              <w:spacing w:after="0" w:line="264" w:lineRule="auto"/>
            </w:pPr>
            <w:r>
              <w:rPr>
                <w:rFonts w:ascii="Calibri" w:hAnsi="Calibri" w:eastAsia="Calibri"/>
                <w:b w:val="0"/>
                <w:i w:val="0"/>
                <w:color w:val="1A1A1A"/>
                <w:sz w:val="21"/>
              </w:rPr>
              <w:t>JW and JZ are used only when the drug is taken from a single-dose or single-use container and the drug is separately payable. They are not used for a multiple-dose vial. The discarded amount is the labeled amount minus the dose administered. Drug left in the vial as overfill, above the amount printed on the label, is not billed. HCPCS units on these examples are whole numbers. CMS does not use a fractional billing unit, and JW is not reported when the amount involved is smaller than one billing unit.</w:t>
            </w:r>
          </w:p>
        </w:tc>
      </w:tr>
    </w:tbl>
    <w:p>
      <w:pPr>
        <w:spacing w:before="0" w:after="120"/>
      </w:pPr>
    </w:p>
    <w:p>
      <w:pPr>
        <w:keepNext/>
        <w:spacing w:before="320" w:after="120" w:line="252" w:lineRule="auto"/>
        <w:pBdr>
          <w:bottom w:val="single" w:sz="10" w:space="1" w:color="0F5E56"/>
        </w:pBdr>
      </w:pPr>
      <w:r>
        <w:rPr>
          <w:rFonts w:ascii="Calibri" w:hAnsi="Calibri" w:eastAsia="Calibri"/>
          <w:b/>
          <w:i w:val="0"/>
          <w:color w:val="1B3A4B"/>
          <w:sz w:val="32"/>
        </w:rPr>
        <w:t>4. Scenario 1 — the full quantity and all units are used</w:t>
      </w:r>
    </w:p>
    <w:p>
      <w:pPr>
        <w:spacing w:before="0" w:after="160" w:line="269" w:lineRule="auto"/>
        <w:jc w:val="both"/>
      </w:pPr>
      <w:r>
        <w:rPr>
          <w:rFonts w:ascii="Calibri" w:hAnsi="Calibri" w:eastAsia="Calibri"/>
          <w:b w:val="0"/>
          <w:i w:val="0"/>
          <w:color w:val="1A1A1A"/>
          <w:sz w:val="22"/>
        </w:rPr>
        <w:t>The order is dexamethasone 4 mg by IV push. The practice opens one single-dose vial that contains 4 mg in 1 mL. The entire labeled contents are drawn up and administered. Nothing is discarded, and nothing is saved.</w:t>
      </w:r>
    </w:p>
    <w:tbl>
      <w:tblPr>
        <w:tblW w:type="dxa" w:w="10080"/>
        <w:jc w:val="center"/>
        <w:tblLayout w:type="fixed"/>
        <w:tblLook w:firstColumn="1" w:firstRow="1" w:lastColumn="0" w:lastRow="0" w:noHBand="0" w:noVBand="1" w:val="04A0"/>
      </w:tblPr>
      <w:tblGrid>
        <w:gridCol w:w="10080"/>
      </w:tblGrid>
      <w:tr>
        <w:trPr>
          <w:cantSplit/>
        </w:trPr>
        <w:tc>
          <w:tcPr>
            <w:tcW w:type="dxa" w:w="10080"/>
            <w:shd w:val="clear" w:color="auto" w:fill="0F5E56"/>
            <w:tcBorders>
              <w:top w:val="single" w:sz="4" w:space="0" w:color="1B3A4B"/>
              <w:left w:val="single" w:sz="4" w:space="0" w:color="1B3A4B"/>
              <w:bottom w:val="single" w:sz="4" w:space="0" w:color="1B3A4B"/>
              <w:right w:val="single" w:sz="4" w:space="0" w:color="1B3A4B"/>
            </w:tcBorders>
            <w:tcMar>
              <w:top w:w="80" w:type="dxa"/>
              <w:left w:w="80" w:type="dxa"/>
              <w:bottom w:w="80" w:type="dxa"/>
              <w:right w:w="80" w:type="dxa"/>
            </w:tcMar>
          </w:tcPr>
          <w:p>
            <w:pPr>
              <w:spacing w:before="0" w:after="0"/>
              <w:jc w:val="center"/>
            </w:pPr>
            <w:r/>
            <w:r>
              <w:rPr>
                <w:rFonts w:ascii="Calibri" w:hAnsi="Calibri" w:eastAsia="Calibri"/>
                <w:b/>
                <w:i w:val="0"/>
                <w:color w:val="FFFFFF"/>
                <w:sz w:val="18"/>
              </w:rPr>
              <w:t>Entire labeled contents administered: 4 mg = 1 mL = 4 units of J1100</w:t>
            </w:r>
          </w:p>
        </w:tc>
      </w:tr>
    </w:tbl>
    <w:p>
      <w:pPr>
        <w:spacing w:before="20" w:after="120"/>
      </w:pPr>
    </w:p>
    <w:tbl>
      <w:tblPr>
        <w:tblStyle w:val="TableGrid"/>
        <w:tblW w:type="dxa" w:w="10080"/>
        <w:jc w:val="center"/>
        <w:tblLayout w:type="fixed"/>
        <w:tblLook w:firstColumn="1" w:firstRow="1" w:lastColumn="0" w:lastRow="0" w:noHBand="0" w:noVBand="1" w:val="04A0"/>
      </w:tblPr>
      <w:tblGrid>
        <w:gridCol w:w="2600"/>
        <w:gridCol w:w="7480"/>
      </w:tblGrid>
      <w:tr>
        <w:trPr>
          <w:cantSplit/>
        </w:trPr>
        <w:tc>
          <w:tcPr>
            <w:tcW w:type="dxa" w:w="2600"/>
            <w:shd w:val="clear" w:color="auto" w:fill="1B3A4B"/>
            <w:tcBorders>
              <w:top w:val="single" w:sz="4" w:space="0" w:color="1B3A4B"/>
              <w:left w:val="single" w:sz="4" w:space="0" w:color="1B3A4B"/>
              <w:bottom w:val="single" w:sz="4" w:space="0" w:color="1B3A4B"/>
              <w:right w:val="single" w:sz="4" w:space="0" w:color="1B3A4B"/>
            </w:tcBorders>
            <w:tcMar>
              <w:top w:w="50" w:type="dxa"/>
              <w:left w:w="60" w:type="dxa"/>
              <w:bottom w:w="50" w:type="dxa"/>
              <w:right w:w="60" w:type="dxa"/>
            </w:tcMar>
          </w:tcPr>
          <w:p>
            <w:pPr>
              <w:spacing w:after="0"/>
            </w:pPr>
            <w:r/>
            <w:r>
              <w:rPr>
                <w:rFonts w:ascii="Calibri" w:hAnsi="Calibri" w:eastAsia="Calibri"/>
                <w:b/>
                <w:i w:val="0"/>
                <w:color w:val="FFFFFF"/>
                <w:sz w:val="19"/>
              </w:rPr>
              <w:t>Fact</w:t>
            </w:r>
          </w:p>
        </w:tc>
        <w:tc>
          <w:tcPr>
            <w:tcW w:type="dxa" w:w="7480"/>
            <w:shd w:val="clear" w:color="auto" w:fill="1B3A4B"/>
            <w:tcBorders>
              <w:top w:val="single" w:sz="4" w:space="0" w:color="1B3A4B"/>
              <w:left w:val="single" w:sz="4" w:space="0" w:color="1B3A4B"/>
              <w:bottom w:val="single" w:sz="4" w:space="0" w:color="1B3A4B"/>
              <w:right w:val="single" w:sz="4" w:space="0" w:color="1B3A4B"/>
            </w:tcBorders>
            <w:tcMar>
              <w:top w:w="50" w:type="dxa"/>
              <w:left w:w="60" w:type="dxa"/>
              <w:bottom w:w="50" w:type="dxa"/>
              <w:right w:w="60" w:type="dxa"/>
            </w:tcMar>
          </w:tcPr>
          <w:p>
            <w:pPr>
              <w:spacing w:after="0"/>
            </w:pPr>
            <w:r/>
            <w:r>
              <w:rPr>
                <w:rFonts w:ascii="Calibri" w:hAnsi="Calibri" w:eastAsia="Calibri"/>
                <w:b/>
                <w:i w:val="0"/>
                <w:color w:val="FFFFFF"/>
                <w:sz w:val="19"/>
              </w:rPr>
              <w:t>Value</w:t>
            </w:r>
          </w:p>
        </w:tc>
      </w:tr>
      <w:tr>
        <w:trPr>
          <w:cantSplit/>
        </w:trPr>
        <w:tc>
          <w:tcPr>
            <w:tcW w:type="dxa" w:w="260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9"/>
              </w:rPr>
              <w:t>Container</w:t>
            </w:r>
          </w:p>
        </w:tc>
        <w:tc>
          <w:tcPr>
            <w:tcW w:type="dxa" w:w="748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9"/>
              </w:rPr>
              <w:t>Single-dose vial, 4 mg per mL, 1 mL fill (the glass vial is a 2 mL vial; the labeled drug volume is 1 mL)</w:t>
            </w:r>
          </w:p>
        </w:tc>
      </w:tr>
      <w:tr>
        <w:trPr>
          <w:cantSplit/>
        </w:trPr>
        <w:tc>
          <w:tcPr>
            <w:tcW w:type="dxa" w:w="260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9"/>
              </w:rPr>
              <w:t>Correct NDC</w:t>
            </w:r>
          </w:p>
        </w:tc>
        <w:tc>
          <w:tcPr>
            <w:tcW w:type="dxa" w:w="748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9"/>
              </w:rPr>
              <w:t>63323-0165-02</w:t>
            </w:r>
          </w:p>
        </w:tc>
      </w:tr>
      <w:tr>
        <w:trPr>
          <w:cantSplit/>
        </w:trPr>
        <w:tc>
          <w:tcPr>
            <w:tcW w:type="dxa" w:w="260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9"/>
              </w:rPr>
              <w:t>Dose administered</w:t>
            </w:r>
          </w:p>
        </w:tc>
        <w:tc>
          <w:tcPr>
            <w:tcW w:type="dxa" w:w="748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9"/>
              </w:rPr>
              <w:t>4 mg, which is 1 mL</w:t>
            </w:r>
          </w:p>
        </w:tc>
      </w:tr>
      <w:tr>
        <w:trPr>
          <w:cantSplit/>
        </w:trPr>
        <w:tc>
          <w:tcPr>
            <w:tcW w:type="dxa" w:w="260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9"/>
              </w:rPr>
              <w:t>Amount discarded</w:t>
            </w:r>
          </w:p>
        </w:tc>
        <w:tc>
          <w:tcPr>
            <w:tcW w:type="dxa" w:w="748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9"/>
              </w:rPr>
              <w:t>0 mg</w:t>
            </w:r>
          </w:p>
        </w:tc>
      </w:tr>
      <w:tr>
        <w:trPr>
          <w:cantSplit/>
        </w:trPr>
        <w:tc>
          <w:tcPr>
            <w:tcW w:type="dxa" w:w="260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9"/>
              </w:rPr>
              <w:t>Amount saved</w:t>
            </w:r>
          </w:p>
        </w:tc>
        <w:tc>
          <w:tcPr>
            <w:tcW w:type="dxa" w:w="748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9"/>
              </w:rPr>
              <w:t>0 mg. A single-dose vial is not kept for another patient.</w:t>
            </w:r>
          </w:p>
        </w:tc>
      </w:tr>
      <w:tr>
        <w:trPr>
          <w:cantSplit/>
        </w:trPr>
        <w:tc>
          <w:tcPr>
            <w:tcW w:type="dxa" w:w="260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9"/>
              </w:rPr>
              <w:t>J1100 units</w:t>
            </w:r>
          </w:p>
        </w:tc>
        <w:tc>
          <w:tcPr>
            <w:tcW w:type="dxa" w:w="748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9"/>
              </w:rPr>
              <w:t>4 mg ÷ 1 mg = 4 units</w:t>
            </w:r>
          </w:p>
        </w:tc>
      </w:tr>
      <w:tr>
        <w:trPr>
          <w:cantSplit/>
        </w:trPr>
        <w:tc>
          <w:tcPr>
            <w:tcW w:type="dxa" w:w="260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9"/>
              </w:rPr>
              <w:t>NDC quantity</w:t>
            </w:r>
          </w:p>
        </w:tc>
        <w:tc>
          <w:tcPr>
            <w:tcW w:type="dxa" w:w="748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9"/>
              </w:rPr>
              <w:t>1 mL</w:t>
            </w:r>
          </w:p>
        </w:tc>
      </w:tr>
      <w:tr>
        <w:trPr>
          <w:cantSplit/>
        </w:trPr>
        <w:tc>
          <w:tcPr>
            <w:tcW w:type="dxa" w:w="260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9"/>
              </w:rPr>
              <w:t>Drug modifier</w:t>
            </w:r>
          </w:p>
        </w:tc>
        <w:tc>
          <w:tcPr>
            <w:tcW w:type="dxa" w:w="748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9"/>
              </w:rPr>
              <w:t>JZ, because this is a single-dose container and discarded drug is zero</w:t>
            </w:r>
          </w:p>
        </w:tc>
      </w:tr>
      <w:tr>
        <w:trPr>
          <w:cantSplit/>
        </w:trPr>
        <w:tc>
          <w:tcPr>
            <w:tcW w:type="dxa" w:w="260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9"/>
              </w:rPr>
              <w:t>Administration</w:t>
            </w:r>
          </w:p>
        </w:tc>
        <w:tc>
          <w:tcPr>
            <w:tcW w:type="dxa" w:w="748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9"/>
              </w:rPr>
              <w:t>CPT 96374 × 1 unit</w:t>
            </w:r>
          </w:p>
        </w:tc>
      </w:tr>
    </w:tbl>
    <w:p>
      <w:pPr>
        <w:spacing w:before="40" w:after="120"/>
      </w:pPr>
    </w:p>
    <w:p>
      <w:pPr>
        <w:spacing w:before="80" w:after="80" w:line="269" w:lineRule="auto"/>
        <w:jc w:val="left"/>
      </w:pPr>
      <w:r>
        <w:rPr>
          <w:rFonts w:ascii="Calibri" w:hAnsi="Calibri" w:eastAsia="Calibri"/>
          <w:b/>
          <w:i w:val="0"/>
          <w:color w:val="1B3A4B"/>
          <w:sz w:val="24"/>
        </w:rPr>
        <w:t>Claim lines</w:t>
      </w:r>
    </w:p>
    <w:tbl>
      <w:tblPr>
        <w:tblStyle w:val="TableGrid"/>
        <w:tblW w:type="dxa" w:w="10080"/>
        <w:jc w:val="center"/>
        <w:tblLayout w:type="fixed"/>
        <w:tblLook w:firstColumn="1" w:firstRow="1" w:lastColumn="0" w:lastRow="0" w:noHBand="0" w:noVBand="1" w:val="04A0"/>
      </w:tblPr>
      <w:tblGrid>
        <w:gridCol w:w="700"/>
        <w:gridCol w:w="1400"/>
        <w:gridCol w:w="1200"/>
        <w:gridCol w:w="1000"/>
        <w:gridCol w:w="2980"/>
        <w:gridCol w:w="2800"/>
      </w:tblGrid>
      <w:tr>
        <w:trPr>
          <w:cantSplit/>
        </w:trPr>
        <w:tc>
          <w:tcPr>
            <w:tcW w:type="dxa" w:w="700"/>
            <w:shd w:val="clear" w:color="auto" w:fill="1B3A4B"/>
            <w:tcBorders>
              <w:top w:val="single" w:sz="4" w:space="0" w:color="1B3A4B"/>
              <w:left w:val="single" w:sz="4" w:space="0" w:color="1B3A4B"/>
              <w:bottom w:val="single" w:sz="4" w:space="0" w:color="1B3A4B"/>
              <w:right w:val="single" w:sz="4" w:space="0" w:color="1B3A4B"/>
            </w:tcBorders>
            <w:tcMar>
              <w:top w:w="50" w:type="dxa"/>
              <w:left w:w="60" w:type="dxa"/>
              <w:bottom w:w="50" w:type="dxa"/>
              <w:right w:w="60" w:type="dxa"/>
            </w:tcMar>
          </w:tcPr>
          <w:p>
            <w:pPr>
              <w:spacing w:after="0"/>
            </w:pPr>
            <w:r/>
            <w:r>
              <w:rPr>
                <w:rFonts w:ascii="Calibri" w:hAnsi="Calibri" w:eastAsia="Calibri"/>
                <w:b/>
                <w:i w:val="0"/>
                <w:color w:val="FFFFFF"/>
                <w:sz w:val="17"/>
              </w:rPr>
              <w:t>Line</w:t>
            </w:r>
          </w:p>
        </w:tc>
        <w:tc>
          <w:tcPr>
            <w:tcW w:type="dxa" w:w="1400"/>
            <w:shd w:val="clear" w:color="auto" w:fill="1B3A4B"/>
            <w:tcBorders>
              <w:top w:val="single" w:sz="4" w:space="0" w:color="1B3A4B"/>
              <w:left w:val="single" w:sz="4" w:space="0" w:color="1B3A4B"/>
              <w:bottom w:val="single" w:sz="4" w:space="0" w:color="1B3A4B"/>
              <w:right w:val="single" w:sz="4" w:space="0" w:color="1B3A4B"/>
            </w:tcBorders>
            <w:tcMar>
              <w:top w:w="50" w:type="dxa"/>
              <w:left w:w="60" w:type="dxa"/>
              <w:bottom w:w="50" w:type="dxa"/>
              <w:right w:w="60" w:type="dxa"/>
            </w:tcMar>
          </w:tcPr>
          <w:p>
            <w:pPr>
              <w:spacing w:after="0"/>
            </w:pPr>
            <w:r/>
            <w:r>
              <w:rPr>
                <w:rFonts w:ascii="Calibri" w:hAnsi="Calibri" w:eastAsia="Calibri"/>
                <w:b/>
                <w:i w:val="0"/>
                <w:color w:val="FFFFFF"/>
                <w:sz w:val="17"/>
              </w:rPr>
              <w:t>Item 24D</w:t>
            </w:r>
          </w:p>
        </w:tc>
        <w:tc>
          <w:tcPr>
            <w:tcW w:type="dxa" w:w="1200"/>
            <w:shd w:val="clear" w:color="auto" w:fill="1B3A4B"/>
            <w:tcBorders>
              <w:top w:val="single" w:sz="4" w:space="0" w:color="1B3A4B"/>
              <w:left w:val="single" w:sz="4" w:space="0" w:color="1B3A4B"/>
              <w:bottom w:val="single" w:sz="4" w:space="0" w:color="1B3A4B"/>
              <w:right w:val="single" w:sz="4" w:space="0" w:color="1B3A4B"/>
            </w:tcBorders>
            <w:tcMar>
              <w:top w:w="50" w:type="dxa"/>
              <w:left w:w="60" w:type="dxa"/>
              <w:bottom w:w="50" w:type="dxa"/>
              <w:right w:w="60" w:type="dxa"/>
            </w:tcMar>
          </w:tcPr>
          <w:p>
            <w:pPr>
              <w:spacing w:after="0"/>
            </w:pPr>
            <w:r/>
            <w:r>
              <w:rPr>
                <w:rFonts w:ascii="Calibri" w:hAnsi="Calibri" w:eastAsia="Calibri"/>
                <w:b/>
                <w:i w:val="0"/>
                <w:color w:val="FFFFFF"/>
                <w:sz w:val="17"/>
              </w:rPr>
              <w:t>Modifier</w:t>
            </w:r>
          </w:p>
        </w:tc>
        <w:tc>
          <w:tcPr>
            <w:tcW w:type="dxa" w:w="1000"/>
            <w:shd w:val="clear" w:color="auto" w:fill="1B3A4B"/>
            <w:tcBorders>
              <w:top w:val="single" w:sz="4" w:space="0" w:color="1B3A4B"/>
              <w:left w:val="single" w:sz="4" w:space="0" w:color="1B3A4B"/>
              <w:bottom w:val="single" w:sz="4" w:space="0" w:color="1B3A4B"/>
              <w:right w:val="single" w:sz="4" w:space="0" w:color="1B3A4B"/>
            </w:tcBorders>
            <w:tcMar>
              <w:top w:w="50" w:type="dxa"/>
              <w:left w:w="60" w:type="dxa"/>
              <w:bottom w:w="50" w:type="dxa"/>
              <w:right w:w="60" w:type="dxa"/>
            </w:tcMar>
          </w:tcPr>
          <w:p>
            <w:pPr>
              <w:spacing w:after="0"/>
            </w:pPr>
            <w:r/>
            <w:r>
              <w:rPr>
                <w:rFonts w:ascii="Calibri" w:hAnsi="Calibri" w:eastAsia="Calibri"/>
                <w:b/>
                <w:i w:val="0"/>
                <w:color w:val="FFFFFF"/>
                <w:sz w:val="17"/>
              </w:rPr>
              <w:t>Units</w:t>
            </w:r>
          </w:p>
        </w:tc>
        <w:tc>
          <w:tcPr>
            <w:tcW w:type="dxa" w:w="2980"/>
            <w:shd w:val="clear" w:color="auto" w:fill="1B3A4B"/>
            <w:tcBorders>
              <w:top w:val="single" w:sz="4" w:space="0" w:color="1B3A4B"/>
              <w:left w:val="single" w:sz="4" w:space="0" w:color="1B3A4B"/>
              <w:bottom w:val="single" w:sz="4" w:space="0" w:color="1B3A4B"/>
              <w:right w:val="single" w:sz="4" w:space="0" w:color="1B3A4B"/>
            </w:tcBorders>
            <w:tcMar>
              <w:top w:w="50" w:type="dxa"/>
              <w:left w:w="60" w:type="dxa"/>
              <w:bottom w:w="50" w:type="dxa"/>
              <w:right w:w="60" w:type="dxa"/>
            </w:tcMar>
          </w:tcPr>
          <w:p>
            <w:pPr>
              <w:spacing w:after="0"/>
            </w:pPr>
            <w:r/>
            <w:r>
              <w:rPr>
                <w:rFonts w:ascii="Calibri" w:hAnsi="Calibri" w:eastAsia="Calibri"/>
                <w:b/>
                <w:i w:val="0"/>
                <w:color w:val="FFFFFF"/>
                <w:sz w:val="17"/>
              </w:rPr>
              <w:t>NDC in the shaded area</w:t>
            </w:r>
          </w:p>
        </w:tc>
        <w:tc>
          <w:tcPr>
            <w:tcW w:type="dxa" w:w="2800"/>
            <w:shd w:val="clear" w:color="auto" w:fill="1B3A4B"/>
            <w:tcBorders>
              <w:top w:val="single" w:sz="4" w:space="0" w:color="1B3A4B"/>
              <w:left w:val="single" w:sz="4" w:space="0" w:color="1B3A4B"/>
              <w:bottom w:val="single" w:sz="4" w:space="0" w:color="1B3A4B"/>
              <w:right w:val="single" w:sz="4" w:space="0" w:color="1B3A4B"/>
            </w:tcBorders>
            <w:tcMar>
              <w:top w:w="50" w:type="dxa"/>
              <w:left w:w="60" w:type="dxa"/>
              <w:bottom w:w="50" w:type="dxa"/>
              <w:right w:w="60" w:type="dxa"/>
            </w:tcMar>
          </w:tcPr>
          <w:p>
            <w:pPr>
              <w:spacing w:after="0"/>
            </w:pPr>
            <w:r/>
            <w:r>
              <w:rPr>
                <w:rFonts w:ascii="Calibri" w:hAnsi="Calibri" w:eastAsia="Calibri"/>
                <w:b/>
                <w:i w:val="0"/>
                <w:color w:val="FFFFFF"/>
                <w:sz w:val="17"/>
              </w:rPr>
              <w:t>Represents</w:t>
            </w:r>
          </w:p>
        </w:tc>
      </w:tr>
      <w:tr>
        <w:trPr>
          <w:cantSplit/>
        </w:trPr>
        <w:tc>
          <w:tcPr>
            <w:tcW w:type="dxa" w:w="70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7"/>
              </w:rPr>
              <w:t>1</w:t>
            </w:r>
          </w:p>
        </w:tc>
        <w:tc>
          <w:tcPr>
            <w:tcW w:type="dxa" w:w="140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7"/>
              </w:rPr>
              <w:t>96374</w:t>
            </w:r>
          </w:p>
        </w:tc>
        <w:tc>
          <w:tcPr>
            <w:tcW w:type="dxa" w:w="120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7"/>
              </w:rPr>
              <w:t>—</w:t>
            </w:r>
          </w:p>
        </w:tc>
        <w:tc>
          <w:tcPr>
            <w:tcW w:type="dxa" w:w="100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7"/>
              </w:rPr>
              <w:t>1</w:t>
            </w:r>
          </w:p>
        </w:tc>
        <w:tc>
          <w:tcPr>
            <w:tcW w:type="dxa" w:w="298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7"/>
              </w:rPr>
              <w:t>Not reported. This line is the injection service.</w:t>
            </w:r>
          </w:p>
        </w:tc>
        <w:tc>
          <w:tcPr>
            <w:tcW w:type="dxa" w:w="280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7"/>
              </w:rPr>
              <w:t>IV push administration</w:t>
            </w:r>
          </w:p>
        </w:tc>
      </w:tr>
      <w:tr>
        <w:trPr>
          <w:cantSplit/>
        </w:trPr>
        <w:tc>
          <w:tcPr>
            <w:tcW w:type="dxa" w:w="70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7"/>
              </w:rPr>
              <w:t>2</w:t>
            </w:r>
          </w:p>
        </w:tc>
        <w:tc>
          <w:tcPr>
            <w:tcW w:type="dxa" w:w="140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7"/>
              </w:rPr>
              <w:t>J1100</w:t>
            </w:r>
          </w:p>
        </w:tc>
        <w:tc>
          <w:tcPr>
            <w:tcW w:type="dxa" w:w="120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7"/>
              </w:rPr>
              <w:t>JZ</w:t>
            </w:r>
          </w:p>
        </w:tc>
        <w:tc>
          <w:tcPr>
            <w:tcW w:type="dxa" w:w="100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7"/>
              </w:rPr>
              <w:t>4</w:t>
            </w:r>
          </w:p>
        </w:tc>
        <w:tc>
          <w:tcPr>
            <w:tcW w:type="dxa" w:w="298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7"/>
              </w:rPr>
              <w:t>N463323016502 ML1.000</w:t>
            </w:r>
          </w:p>
        </w:tc>
        <w:tc>
          <w:tcPr>
            <w:tcW w:type="dxa" w:w="280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7"/>
              </w:rPr>
              <w:t>All 4 mg in the vial</w:t>
            </w:r>
          </w:p>
        </w:tc>
      </w:tr>
    </w:tbl>
    <w:p>
      <w:pPr>
        <w:spacing w:before="40" w:after="120"/>
      </w:pPr>
    </w:p>
    <w:p>
      <w:pPr>
        <w:spacing w:before="0" w:after="160" w:line="269" w:lineRule="auto"/>
        <w:jc w:val="both"/>
      </w:pPr>
      <w:r>
        <w:rPr>
          <w:rFonts w:ascii="Calibri" w:hAnsi="Calibri" w:eastAsia="Calibri"/>
          <w:b w:val="0"/>
          <w:i w:val="0"/>
          <w:color w:val="1A1A1A"/>
          <w:sz w:val="22"/>
        </w:rPr>
        <w:t>The NDC quantity and the HCPCS units describe the same full vial in two measures: 1 mL of product, and 4 units of J1100. Both are reported. Billing 1 NDC unit and also billing only 1 HCPCS unit would understate the dose, because one J1100 unit is 1 mg, not one vial.</w:t>
      </w:r>
    </w:p>
    <w:p>
      <w:pPr>
        <w:spacing w:before="0" w:after="160" w:line="269" w:lineRule="auto"/>
        <w:jc w:val="both"/>
      </w:pPr>
      <w:r>
        <w:rPr>
          <w:rFonts w:ascii="Calibri" w:hAnsi="Calibri" w:eastAsia="Calibri"/>
          <w:b w:val="0"/>
          <w:i w:val="0"/>
          <w:color w:val="1A1A1A"/>
          <w:sz w:val="22"/>
        </w:rPr>
        <w:t>JZ goes on the drug line only. It is not added to CPT 96374. There is no second drug line, because there is no discarded amount to report with JW. JW and JZ are not placed on the same line.</w:t>
      </w:r>
    </w:p>
    <w:p>
      <w:pPr>
        <w:keepNext/>
        <w:spacing w:before="320" w:after="120" w:line="252" w:lineRule="auto"/>
        <w:pBdr>
          <w:bottom w:val="single" w:sz="10" w:space="1" w:color="0F5E56"/>
        </w:pBdr>
      </w:pPr>
      <w:r>
        <w:rPr>
          <w:rFonts w:ascii="Calibri" w:hAnsi="Calibri" w:eastAsia="Calibri"/>
          <w:b/>
          <w:i w:val="0"/>
          <w:color w:val="1B3A4B"/>
          <w:sz w:val="32"/>
        </w:rPr>
        <w:t>5. Scenario 2 — half is used and half is kept for another patient</w:t>
      </w:r>
    </w:p>
    <w:p>
      <w:pPr>
        <w:spacing w:before="0" w:after="160" w:line="269" w:lineRule="auto"/>
        <w:jc w:val="both"/>
      </w:pPr>
      <w:r>
        <w:rPr>
          <w:rFonts w:ascii="Calibri" w:hAnsi="Calibri" w:eastAsia="Calibri"/>
          <w:b w:val="0"/>
          <w:i w:val="0"/>
          <w:color w:val="1A1A1A"/>
          <w:sz w:val="22"/>
        </w:rPr>
        <w:t>The order for Patient A is dexamethasone 10 mg by IV push. The practice uses a multiple-dose vial that contains 20 mg in 5 mL (4 mg per mL). Patient A receives 10 mg, which is 2.5 mL, exactly half of the labeled contents. The other 10 mg remains in the vial, is stored under the practice’s infection-control policy, and will be given to Patient B at a later visit.</w:t>
      </w:r>
    </w:p>
    <w:tbl>
      <w:tblPr>
        <w:tblW w:type="dxa" w:w="10080"/>
        <w:jc w:val="center"/>
        <w:tblLayout w:type="fixed"/>
        <w:tblLook w:firstColumn="1" w:firstRow="1" w:lastColumn="0" w:lastRow="0" w:noHBand="0" w:noVBand="1" w:val="04A0"/>
      </w:tblPr>
      <w:tblGrid>
        <w:gridCol w:w="5040"/>
        <w:gridCol w:w="5040"/>
      </w:tblGrid>
      <w:tr>
        <w:trPr>
          <w:cantSplit/>
        </w:trPr>
        <w:tc>
          <w:tcPr>
            <w:tcW w:type="dxa" w:w="5040"/>
            <w:shd w:val="clear" w:color="auto" w:fill="0F5E56"/>
            <w:tcBorders>
              <w:top w:val="single" w:sz="4" w:space="0" w:color="1B3A4B"/>
              <w:left w:val="single" w:sz="4" w:space="0" w:color="1B3A4B"/>
              <w:bottom w:val="single" w:sz="4" w:space="0" w:color="1B3A4B"/>
              <w:right w:val="single" w:sz="4" w:space="0" w:color="1B3A4B"/>
            </w:tcBorders>
            <w:tcMar>
              <w:top w:w="80" w:type="dxa"/>
              <w:left w:w="80" w:type="dxa"/>
              <w:bottom w:w="80" w:type="dxa"/>
              <w:right w:w="80" w:type="dxa"/>
            </w:tcMar>
          </w:tcPr>
          <w:p>
            <w:pPr>
              <w:spacing w:before="0" w:after="0"/>
              <w:jc w:val="center"/>
            </w:pPr>
            <w:r/>
            <w:r>
              <w:rPr>
                <w:rFonts w:ascii="Calibri" w:hAnsi="Calibri" w:eastAsia="Calibri"/>
                <w:b/>
                <w:i w:val="0"/>
                <w:color w:val="FFFFFF"/>
                <w:sz w:val="18"/>
              </w:rPr>
              <w:t>Patient A now</w:t>
            </w:r>
          </w:p>
          <w:p>
            <w:pPr>
              <w:spacing w:before="0" w:after="0"/>
              <w:jc w:val="center"/>
            </w:pPr>
            <w:r>
              <w:rPr>
                <w:rFonts w:ascii="Calibri" w:hAnsi="Calibri" w:eastAsia="Calibri"/>
                <w:b/>
                <w:i w:val="0"/>
                <w:color w:val="FFFFFF"/>
                <w:sz w:val="18"/>
              </w:rPr>
              <w:t>10 mg = 2.5 mL</w:t>
            </w:r>
          </w:p>
          <w:p>
            <w:pPr>
              <w:spacing w:before="0" w:after="0"/>
              <w:jc w:val="center"/>
            </w:pPr>
            <w:r>
              <w:rPr>
                <w:rFonts w:ascii="Calibri" w:hAnsi="Calibri" w:eastAsia="Calibri"/>
                <w:b/>
                <w:i w:val="0"/>
                <w:color w:val="FFFFFF"/>
                <w:sz w:val="18"/>
              </w:rPr>
              <w:t>Bill 10 units</w:t>
            </w:r>
          </w:p>
        </w:tc>
        <w:tc>
          <w:tcPr>
            <w:tcW w:type="dxa" w:w="5040"/>
            <w:shd w:val="clear" w:color="auto" w:fill="8A5A00"/>
            <w:tcBorders>
              <w:top w:val="single" w:sz="4" w:space="0" w:color="1B3A4B"/>
              <w:left w:val="single" w:sz="4" w:space="0" w:color="1B3A4B"/>
              <w:bottom w:val="single" w:sz="4" w:space="0" w:color="1B3A4B"/>
              <w:right w:val="single" w:sz="4" w:space="0" w:color="1B3A4B"/>
            </w:tcBorders>
            <w:tcMar>
              <w:top w:w="80" w:type="dxa"/>
              <w:left w:w="80" w:type="dxa"/>
              <w:bottom w:w="80" w:type="dxa"/>
              <w:right w:w="80" w:type="dxa"/>
            </w:tcMar>
          </w:tcPr>
          <w:p>
            <w:pPr>
              <w:spacing w:before="0" w:after="0"/>
              <w:jc w:val="center"/>
            </w:pPr>
            <w:r/>
            <w:r>
              <w:rPr>
                <w:rFonts w:ascii="Calibri" w:hAnsi="Calibri" w:eastAsia="Calibri"/>
                <w:b/>
                <w:i w:val="0"/>
                <w:color w:val="FFFFFF"/>
                <w:sz w:val="18"/>
              </w:rPr>
              <w:t>Kept in the vial</w:t>
            </w:r>
          </w:p>
          <w:p>
            <w:pPr>
              <w:spacing w:before="0" w:after="0"/>
              <w:jc w:val="center"/>
            </w:pPr>
            <w:r>
              <w:rPr>
                <w:rFonts w:ascii="Calibri" w:hAnsi="Calibri" w:eastAsia="Calibri"/>
                <w:b/>
                <w:i w:val="0"/>
                <w:color w:val="FFFFFF"/>
                <w:sz w:val="18"/>
              </w:rPr>
              <w:t>10 mg = 2.5 mL</w:t>
            </w:r>
          </w:p>
          <w:p>
            <w:pPr>
              <w:spacing w:before="0" w:after="0"/>
              <w:jc w:val="center"/>
            </w:pPr>
            <w:r>
              <w:rPr>
                <w:rFonts w:ascii="Calibri" w:hAnsi="Calibri" w:eastAsia="Calibri"/>
                <w:b/>
                <w:i w:val="0"/>
                <w:color w:val="FFFFFF"/>
                <w:sz w:val="18"/>
              </w:rPr>
              <w:t>Do not bill yet</w:t>
            </w:r>
          </w:p>
        </w:tc>
      </w:tr>
    </w:tbl>
    <w:p>
      <w:pPr>
        <w:spacing w:before="20" w:after="120"/>
      </w:pPr>
    </w:p>
    <w:p>
      <w:pPr>
        <w:spacing w:before="0" w:after="160" w:line="269" w:lineRule="auto"/>
        <w:jc w:val="both"/>
      </w:pPr>
      <w:r>
        <w:rPr>
          <w:rFonts w:ascii="Calibri" w:hAnsi="Calibri" w:eastAsia="Calibri"/>
          <w:b w:val="0"/>
          <w:i w:val="0"/>
          <w:color w:val="1A1A1A"/>
          <w:sz w:val="22"/>
        </w:rPr>
        <w:t>This handling is allowed only because the container is labeled multiple-dose. Half of a single-dose vial cannot be saved for another patient. If the remainder of a single-dose vial is not given, it is discarded, and Scenario 3 is the correct billing pattern.</w:t>
      </w:r>
    </w:p>
    <w:tbl>
      <w:tblPr>
        <w:tblStyle w:val="TableGrid"/>
        <w:tblW w:type="dxa" w:w="10080"/>
        <w:jc w:val="center"/>
        <w:tblLayout w:type="fixed"/>
        <w:tblLook w:firstColumn="1" w:firstRow="1" w:lastColumn="0" w:lastRow="0" w:noHBand="0" w:noVBand="1" w:val="04A0"/>
      </w:tblPr>
      <w:tblGrid>
        <w:gridCol w:w="2200"/>
        <w:gridCol w:w="3940"/>
        <w:gridCol w:w="3940"/>
      </w:tblGrid>
      <w:tr>
        <w:trPr>
          <w:cantSplit/>
        </w:trPr>
        <w:tc>
          <w:tcPr>
            <w:tcW w:type="dxa" w:w="2200"/>
            <w:shd w:val="clear" w:color="auto" w:fill="1B3A4B"/>
            <w:tcBorders>
              <w:top w:val="single" w:sz="4" w:space="0" w:color="1B3A4B"/>
              <w:left w:val="single" w:sz="4" w:space="0" w:color="1B3A4B"/>
              <w:bottom w:val="single" w:sz="4" w:space="0" w:color="1B3A4B"/>
              <w:right w:val="single" w:sz="4" w:space="0" w:color="1B3A4B"/>
            </w:tcBorders>
            <w:tcMar>
              <w:top w:w="50" w:type="dxa"/>
              <w:left w:w="60" w:type="dxa"/>
              <w:bottom w:w="50" w:type="dxa"/>
              <w:right w:w="60" w:type="dxa"/>
            </w:tcMar>
          </w:tcPr>
          <w:p>
            <w:pPr>
              <w:spacing w:after="0"/>
            </w:pPr>
            <w:r/>
            <w:r>
              <w:rPr>
                <w:rFonts w:ascii="Calibri" w:hAnsi="Calibri" w:eastAsia="Calibri"/>
                <w:b/>
                <w:i w:val="0"/>
                <w:color w:val="FFFFFF"/>
                <w:sz w:val="17"/>
              </w:rPr>
              <w:t>Fact</w:t>
            </w:r>
          </w:p>
        </w:tc>
        <w:tc>
          <w:tcPr>
            <w:tcW w:type="dxa" w:w="3940"/>
            <w:shd w:val="clear" w:color="auto" w:fill="1B3A4B"/>
            <w:tcBorders>
              <w:top w:val="single" w:sz="4" w:space="0" w:color="1B3A4B"/>
              <w:left w:val="single" w:sz="4" w:space="0" w:color="1B3A4B"/>
              <w:bottom w:val="single" w:sz="4" w:space="0" w:color="1B3A4B"/>
              <w:right w:val="single" w:sz="4" w:space="0" w:color="1B3A4B"/>
            </w:tcBorders>
            <w:tcMar>
              <w:top w:w="50" w:type="dxa"/>
              <w:left w:w="60" w:type="dxa"/>
              <w:bottom w:w="50" w:type="dxa"/>
              <w:right w:w="60" w:type="dxa"/>
            </w:tcMar>
          </w:tcPr>
          <w:p>
            <w:pPr>
              <w:spacing w:after="0"/>
            </w:pPr>
            <w:r/>
            <w:r>
              <w:rPr>
                <w:rFonts w:ascii="Calibri" w:hAnsi="Calibri" w:eastAsia="Calibri"/>
                <w:b/>
                <w:i w:val="0"/>
                <w:color w:val="FFFFFF"/>
                <w:sz w:val="17"/>
              </w:rPr>
              <w:t>Patient A, this claim</w:t>
            </w:r>
          </w:p>
        </w:tc>
        <w:tc>
          <w:tcPr>
            <w:tcW w:type="dxa" w:w="3940"/>
            <w:shd w:val="clear" w:color="auto" w:fill="1B3A4B"/>
            <w:tcBorders>
              <w:top w:val="single" w:sz="4" w:space="0" w:color="1B3A4B"/>
              <w:left w:val="single" w:sz="4" w:space="0" w:color="1B3A4B"/>
              <w:bottom w:val="single" w:sz="4" w:space="0" w:color="1B3A4B"/>
              <w:right w:val="single" w:sz="4" w:space="0" w:color="1B3A4B"/>
            </w:tcBorders>
            <w:tcMar>
              <w:top w:w="50" w:type="dxa"/>
              <w:left w:w="60" w:type="dxa"/>
              <w:bottom w:w="50" w:type="dxa"/>
              <w:right w:w="60" w:type="dxa"/>
            </w:tcMar>
          </w:tcPr>
          <w:p>
            <w:pPr>
              <w:spacing w:after="0"/>
            </w:pPr>
            <w:r/>
            <w:r>
              <w:rPr>
                <w:rFonts w:ascii="Calibri" w:hAnsi="Calibri" w:eastAsia="Calibri"/>
                <w:b/>
                <w:i w:val="0"/>
                <w:color w:val="FFFFFF"/>
                <w:sz w:val="17"/>
              </w:rPr>
              <w:t>Patient B, later claim</w:t>
            </w:r>
          </w:p>
        </w:tc>
      </w:tr>
      <w:tr>
        <w:trPr>
          <w:cantSplit/>
        </w:trPr>
        <w:tc>
          <w:tcPr>
            <w:tcW w:type="dxa" w:w="220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7"/>
              </w:rPr>
              <w:t>Container</w:t>
            </w:r>
          </w:p>
        </w:tc>
        <w:tc>
          <w:tcPr>
            <w:tcW w:type="dxa" w:w="394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7"/>
              </w:rPr>
              <w:t>Multiple-dose vial, 20 mg per 5 mL</w:t>
            </w:r>
          </w:p>
        </w:tc>
        <w:tc>
          <w:tcPr>
            <w:tcW w:type="dxa" w:w="394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7"/>
              </w:rPr>
              <w:t>Same vial, if still within dating</w:t>
            </w:r>
          </w:p>
        </w:tc>
      </w:tr>
      <w:tr>
        <w:trPr>
          <w:cantSplit/>
        </w:trPr>
        <w:tc>
          <w:tcPr>
            <w:tcW w:type="dxa" w:w="220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7"/>
              </w:rPr>
              <w:t>NDC</w:t>
            </w:r>
          </w:p>
        </w:tc>
        <w:tc>
          <w:tcPr>
            <w:tcW w:type="dxa" w:w="394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7"/>
              </w:rPr>
              <w:t>63323-0165-03</w:t>
            </w:r>
          </w:p>
        </w:tc>
        <w:tc>
          <w:tcPr>
            <w:tcW w:type="dxa" w:w="394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7"/>
              </w:rPr>
              <w:t>63323-0165-03</w:t>
            </w:r>
          </w:p>
        </w:tc>
      </w:tr>
      <w:tr>
        <w:trPr>
          <w:cantSplit/>
        </w:trPr>
        <w:tc>
          <w:tcPr>
            <w:tcW w:type="dxa" w:w="220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7"/>
              </w:rPr>
              <w:t>Amount from the vial</w:t>
            </w:r>
          </w:p>
        </w:tc>
        <w:tc>
          <w:tcPr>
            <w:tcW w:type="dxa" w:w="394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7"/>
              </w:rPr>
              <w:t>10 mg administered (2.5 mL)</w:t>
            </w:r>
          </w:p>
        </w:tc>
        <w:tc>
          <w:tcPr>
            <w:tcW w:type="dxa" w:w="394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7"/>
              </w:rPr>
              <w:t>10 mg administered (2.5 mL)</w:t>
            </w:r>
          </w:p>
        </w:tc>
      </w:tr>
      <w:tr>
        <w:trPr>
          <w:cantSplit/>
        </w:trPr>
        <w:tc>
          <w:tcPr>
            <w:tcW w:type="dxa" w:w="220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7"/>
              </w:rPr>
              <w:t>J1100 units</w:t>
            </w:r>
          </w:p>
        </w:tc>
        <w:tc>
          <w:tcPr>
            <w:tcW w:type="dxa" w:w="394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7"/>
              </w:rPr>
              <w:t>10</w:t>
            </w:r>
          </w:p>
        </w:tc>
        <w:tc>
          <w:tcPr>
            <w:tcW w:type="dxa" w:w="394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7"/>
              </w:rPr>
              <w:t>10</w:t>
            </w:r>
          </w:p>
        </w:tc>
      </w:tr>
      <w:tr>
        <w:trPr>
          <w:cantSplit/>
        </w:trPr>
        <w:tc>
          <w:tcPr>
            <w:tcW w:type="dxa" w:w="220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7"/>
              </w:rPr>
              <w:t>NDC quantity</w:t>
            </w:r>
          </w:p>
        </w:tc>
        <w:tc>
          <w:tcPr>
            <w:tcW w:type="dxa" w:w="394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7"/>
              </w:rPr>
              <w:t>2.5 mL</w:t>
            </w:r>
          </w:p>
        </w:tc>
        <w:tc>
          <w:tcPr>
            <w:tcW w:type="dxa" w:w="394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7"/>
              </w:rPr>
              <w:t>2.5 mL</w:t>
            </w:r>
          </w:p>
        </w:tc>
      </w:tr>
      <w:tr>
        <w:trPr>
          <w:cantSplit/>
        </w:trPr>
        <w:tc>
          <w:tcPr>
            <w:tcW w:type="dxa" w:w="220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7"/>
              </w:rPr>
              <w:t>JW or JZ</w:t>
            </w:r>
          </w:p>
        </w:tc>
        <w:tc>
          <w:tcPr>
            <w:tcW w:type="dxa" w:w="394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7"/>
              </w:rPr>
              <w:t>Neither. Multi-dose vials do not use these modifiers.</w:t>
            </w:r>
          </w:p>
        </w:tc>
        <w:tc>
          <w:tcPr>
            <w:tcW w:type="dxa" w:w="394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7"/>
              </w:rPr>
              <w:t>Neither</w:t>
            </w:r>
          </w:p>
        </w:tc>
      </w:tr>
      <w:tr>
        <w:trPr>
          <w:cantSplit/>
        </w:trPr>
        <w:tc>
          <w:tcPr>
            <w:tcW w:type="dxa" w:w="220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7"/>
              </w:rPr>
              <w:t>CPT</w:t>
            </w:r>
          </w:p>
        </w:tc>
        <w:tc>
          <w:tcPr>
            <w:tcW w:type="dxa" w:w="394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7"/>
              </w:rPr>
              <w:t>96374 × 1</w:t>
            </w:r>
          </w:p>
        </w:tc>
        <w:tc>
          <w:tcPr>
            <w:tcW w:type="dxa" w:w="394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7"/>
              </w:rPr>
              <w:t>96374 × 1 on Patient B’s own claim</w:t>
            </w:r>
          </w:p>
        </w:tc>
      </w:tr>
      <w:tr>
        <w:trPr>
          <w:cantSplit/>
        </w:trPr>
        <w:tc>
          <w:tcPr>
            <w:tcW w:type="dxa" w:w="220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7"/>
              </w:rPr>
              <w:t>What is not billed</w:t>
            </w:r>
          </w:p>
        </w:tc>
        <w:tc>
          <w:tcPr>
            <w:tcW w:type="dxa" w:w="394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7"/>
              </w:rPr>
              <w:t>The 10 mg still in the vial</w:t>
            </w:r>
          </w:p>
        </w:tc>
        <w:tc>
          <w:tcPr>
            <w:tcW w:type="dxa" w:w="394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7"/>
              </w:rPr>
              <w:t>Nothing from Patient A’s visit</w:t>
            </w:r>
          </w:p>
        </w:tc>
      </w:tr>
    </w:tbl>
    <w:p>
      <w:pPr>
        <w:spacing w:before="40" w:after="120"/>
      </w:pPr>
    </w:p>
    <w:p>
      <w:pPr>
        <w:spacing w:before="40" w:after="80" w:line="269" w:lineRule="auto"/>
        <w:jc w:val="left"/>
      </w:pPr>
      <w:r>
        <w:rPr>
          <w:rFonts w:ascii="Calibri" w:hAnsi="Calibri" w:eastAsia="Calibri"/>
          <w:b/>
          <w:i w:val="0"/>
          <w:color w:val="1B3A4B"/>
          <w:sz w:val="24"/>
        </w:rPr>
        <w:t>Patient A claim lines</w:t>
      </w:r>
    </w:p>
    <w:tbl>
      <w:tblPr>
        <w:tblStyle w:val="TableGrid"/>
        <w:tblW w:type="dxa" w:w="10080"/>
        <w:jc w:val="center"/>
        <w:tblLayout w:type="fixed"/>
        <w:tblLook w:firstColumn="1" w:firstRow="1" w:lastColumn="0" w:lastRow="0" w:noHBand="0" w:noVBand="1" w:val="04A0"/>
      </w:tblPr>
      <w:tblGrid>
        <w:gridCol w:w="700"/>
        <w:gridCol w:w="1400"/>
        <w:gridCol w:w="1200"/>
        <w:gridCol w:w="1000"/>
        <w:gridCol w:w="3180"/>
        <w:gridCol w:w="2600"/>
      </w:tblGrid>
      <w:tr>
        <w:trPr>
          <w:cantSplit/>
        </w:trPr>
        <w:tc>
          <w:tcPr>
            <w:tcW w:type="dxa" w:w="700"/>
            <w:shd w:val="clear" w:color="auto" w:fill="1B3A4B"/>
            <w:tcBorders>
              <w:top w:val="single" w:sz="4" w:space="0" w:color="1B3A4B"/>
              <w:left w:val="single" w:sz="4" w:space="0" w:color="1B3A4B"/>
              <w:bottom w:val="single" w:sz="4" w:space="0" w:color="1B3A4B"/>
              <w:right w:val="single" w:sz="4" w:space="0" w:color="1B3A4B"/>
            </w:tcBorders>
            <w:tcMar>
              <w:top w:w="50" w:type="dxa"/>
              <w:left w:w="60" w:type="dxa"/>
              <w:bottom w:w="50" w:type="dxa"/>
              <w:right w:w="60" w:type="dxa"/>
            </w:tcMar>
          </w:tcPr>
          <w:p>
            <w:pPr>
              <w:spacing w:after="0"/>
            </w:pPr>
            <w:r/>
            <w:r>
              <w:rPr>
                <w:rFonts w:ascii="Calibri" w:hAnsi="Calibri" w:eastAsia="Calibri"/>
                <w:b/>
                <w:i w:val="0"/>
                <w:color w:val="FFFFFF"/>
                <w:sz w:val="17"/>
              </w:rPr>
              <w:t>Line</w:t>
            </w:r>
          </w:p>
        </w:tc>
        <w:tc>
          <w:tcPr>
            <w:tcW w:type="dxa" w:w="1400"/>
            <w:shd w:val="clear" w:color="auto" w:fill="1B3A4B"/>
            <w:tcBorders>
              <w:top w:val="single" w:sz="4" w:space="0" w:color="1B3A4B"/>
              <w:left w:val="single" w:sz="4" w:space="0" w:color="1B3A4B"/>
              <w:bottom w:val="single" w:sz="4" w:space="0" w:color="1B3A4B"/>
              <w:right w:val="single" w:sz="4" w:space="0" w:color="1B3A4B"/>
            </w:tcBorders>
            <w:tcMar>
              <w:top w:w="50" w:type="dxa"/>
              <w:left w:w="60" w:type="dxa"/>
              <w:bottom w:w="50" w:type="dxa"/>
              <w:right w:w="60" w:type="dxa"/>
            </w:tcMar>
          </w:tcPr>
          <w:p>
            <w:pPr>
              <w:spacing w:after="0"/>
            </w:pPr>
            <w:r/>
            <w:r>
              <w:rPr>
                <w:rFonts w:ascii="Calibri" w:hAnsi="Calibri" w:eastAsia="Calibri"/>
                <w:b/>
                <w:i w:val="0"/>
                <w:color w:val="FFFFFF"/>
                <w:sz w:val="17"/>
              </w:rPr>
              <w:t>Item 24D</w:t>
            </w:r>
          </w:p>
        </w:tc>
        <w:tc>
          <w:tcPr>
            <w:tcW w:type="dxa" w:w="1200"/>
            <w:shd w:val="clear" w:color="auto" w:fill="1B3A4B"/>
            <w:tcBorders>
              <w:top w:val="single" w:sz="4" w:space="0" w:color="1B3A4B"/>
              <w:left w:val="single" w:sz="4" w:space="0" w:color="1B3A4B"/>
              <w:bottom w:val="single" w:sz="4" w:space="0" w:color="1B3A4B"/>
              <w:right w:val="single" w:sz="4" w:space="0" w:color="1B3A4B"/>
            </w:tcBorders>
            <w:tcMar>
              <w:top w:w="50" w:type="dxa"/>
              <w:left w:w="60" w:type="dxa"/>
              <w:bottom w:w="50" w:type="dxa"/>
              <w:right w:w="60" w:type="dxa"/>
            </w:tcMar>
          </w:tcPr>
          <w:p>
            <w:pPr>
              <w:spacing w:after="0"/>
            </w:pPr>
            <w:r/>
            <w:r>
              <w:rPr>
                <w:rFonts w:ascii="Calibri" w:hAnsi="Calibri" w:eastAsia="Calibri"/>
                <w:b/>
                <w:i w:val="0"/>
                <w:color w:val="FFFFFF"/>
                <w:sz w:val="17"/>
              </w:rPr>
              <w:t>Modifier</w:t>
            </w:r>
          </w:p>
        </w:tc>
        <w:tc>
          <w:tcPr>
            <w:tcW w:type="dxa" w:w="1000"/>
            <w:shd w:val="clear" w:color="auto" w:fill="1B3A4B"/>
            <w:tcBorders>
              <w:top w:val="single" w:sz="4" w:space="0" w:color="1B3A4B"/>
              <w:left w:val="single" w:sz="4" w:space="0" w:color="1B3A4B"/>
              <w:bottom w:val="single" w:sz="4" w:space="0" w:color="1B3A4B"/>
              <w:right w:val="single" w:sz="4" w:space="0" w:color="1B3A4B"/>
            </w:tcBorders>
            <w:tcMar>
              <w:top w:w="50" w:type="dxa"/>
              <w:left w:w="60" w:type="dxa"/>
              <w:bottom w:w="50" w:type="dxa"/>
              <w:right w:w="60" w:type="dxa"/>
            </w:tcMar>
          </w:tcPr>
          <w:p>
            <w:pPr>
              <w:spacing w:after="0"/>
            </w:pPr>
            <w:r/>
            <w:r>
              <w:rPr>
                <w:rFonts w:ascii="Calibri" w:hAnsi="Calibri" w:eastAsia="Calibri"/>
                <w:b/>
                <w:i w:val="0"/>
                <w:color w:val="FFFFFF"/>
                <w:sz w:val="17"/>
              </w:rPr>
              <w:t>Units</w:t>
            </w:r>
          </w:p>
        </w:tc>
        <w:tc>
          <w:tcPr>
            <w:tcW w:type="dxa" w:w="3180"/>
            <w:shd w:val="clear" w:color="auto" w:fill="1B3A4B"/>
            <w:tcBorders>
              <w:top w:val="single" w:sz="4" w:space="0" w:color="1B3A4B"/>
              <w:left w:val="single" w:sz="4" w:space="0" w:color="1B3A4B"/>
              <w:bottom w:val="single" w:sz="4" w:space="0" w:color="1B3A4B"/>
              <w:right w:val="single" w:sz="4" w:space="0" w:color="1B3A4B"/>
            </w:tcBorders>
            <w:tcMar>
              <w:top w:w="50" w:type="dxa"/>
              <w:left w:w="60" w:type="dxa"/>
              <w:bottom w:w="50" w:type="dxa"/>
              <w:right w:w="60" w:type="dxa"/>
            </w:tcMar>
          </w:tcPr>
          <w:p>
            <w:pPr>
              <w:spacing w:after="0"/>
            </w:pPr>
            <w:r/>
            <w:r>
              <w:rPr>
                <w:rFonts w:ascii="Calibri" w:hAnsi="Calibri" w:eastAsia="Calibri"/>
                <w:b/>
                <w:i w:val="0"/>
                <w:color w:val="FFFFFF"/>
                <w:sz w:val="17"/>
              </w:rPr>
              <w:t>NDC in the shaded area</w:t>
            </w:r>
          </w:p>
        </w:tc>
        <w:tc>
          <w:tcPr>
            <w:tcW w:type="dxa" w:w="2600"/>
            <w:shd w:val="clear" w:color="auto" w:fill="1B3A4B"/>
            <w:tcBorders>
              <w:top w:val="single" w:sz="4" w:space="0" w:color="1B3A4B"/>
              <w:left w:val="single" w:sz="4" w:space="0" w:color="1B3A4B"/>
              <w:bottom w:val="single" w:sz="4" w:space="0" w:color="1B3A4B"/>
              <w:right w:val="single" w:sz="4" w:space="0" w:color="1B3A4B"/>
            </w:tcBorders>
            <w:tcMar>
              <w:top w:w="50" w:type="dxa"/>
              <w:left w:w="60" w:type="dxa"/>
              <w:bottom w:w="50" w:type="dxa"/>
              <w:right w:w="60" w:type="dxa"/>
            </w:tcMar>
          </w:tcPr>
          <w:p>
            <w:pPr>
              <w:spacing w:after="0"/>
            </w:pPr>
            <w:r/>
            <w:r>
              <w:rPr>
                <w:rFonts w:ascii="Calibri" w:hAnsi="Calibri" w:eastAsia="Calibri"/>
                <w:b/>
                <w:i w:val="0"/>
                <w:color w:val="FFFFFF"/>
                <w:sz w:val="17"/>
              </w:rPr>
              <w:t>Represents</w:t>
            </w:r>
          </w:p>
        </w:tc>
      </w:tr>
      <w:tr>
        <w:trPr>
          <w:cantSplit/>
        </w:trPr>
        <w:tc>
          <w:tcPr>
            <w:tcW w:type="dxa" w:w="70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7"/>
              </w:rPr>
              <w:t>1</w:t>
            </w:r>
          </w:p>
        </w:tc>
        <w:tc>
          <w:tcPr>
            <w:tcW w:type="dxa" w:w="140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7"/>
              </w:rPr>
              <w:t>96374</w:t>
            </w:r>
          </w:p>
        </w:tc>
        <w:tc>
          <w:tcPr>
            <w:tcW w:type="dxa" w:w="120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7"/>
              </w:rPr>
              <w:t>—</w:t>
            </w:r>
          </w:p>
        </w:tc>
        <w:tc>
          <w:tcPr>
            <w:tcW w:type="dxa" w:w="100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7"/>
              </w:rPr>
              <w:t>1</w:t>
            </w:r>
          </w:p>
        </w:tc>
        <w:tc>
          <w:tcPr>
            <w:tcW w:type="dxa" w:w="318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7"/>
              </w:rPr>
              <w:t>Not reported</w:t>
            </w:r>
          </w:p>
        </w:tc>
        <w:tc>
          <w:tcPr>
            <w:tcW w:type="dxa" w:w="260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7"/>
              </w:rPr>
              <w:t>IV push for Patient A</w:t>
            </w:r>
          </w:p>
        </w:tc>
      </w:tr>
      <w:tr>
        <w:trPr>
          <w:cantSplit/>
        </w:trPr>
        <w:tc>
          <w:tcPr>
            <w:tcW w:type="dxa" w:w="70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7"/>
              </w:rPr>
              <w:t>2</w:t>
            </w:r>
          </w:p>
        </w:tc>
        <w:tc>
          <w:tcPr>
            <w:tcW w:type="dxa" w:w="140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7"/>
              </w:rPr>
              <w:t>J1100</w:t>
            </w:r>
          </w:p>
        </w:tc>
        <w:tc>
          <w:tcPr>
            <w:tcW w:type="dxa" w:w="120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7"/>
              </w:rPr>
              <w:t>None</w:t>
            </w:r>
          </w:p>
        </w:tc>
        <w:tc>
          <w:tcPr>
            <w:tcW w:type="dxa" w:w="100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7"/>
              </w:rPr>
              <w:t>10</w:t>
            </w:r>
          </w:p>
        </w:tc>
        <w:tc>
          <w:tcPr>
            <w:tcW w:type="dxa" w:w="318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7"/>
              </w:rPr>
              <w:t>N463323016503 ML2.500</w:t>
            </w:r>
          </w:p>
        </w:tc>
        <w:tc>
          <w:tcPr>
            <w:tcW w:type="dxa" w:w="260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7"/>
              </w:rPr>
              <w:t>Only the 10 mg drawn for Patient A</w:t>
            </w:r>
          </w:p>
        </w:tc>
      </w:tr>
    </w:tbl>
    <w:p>
      <w:pPr>
        <w:spacing w:before="40" w:after="120"/>
      </w:pPr>
    </w:p>
    <w:p>
      <w:pPr>
        <w:spacing w:before="40" w:after="80" w:line="269" w:lineRule="auto"/>
        <w:jc w:val="left"/>
      </w:pPr>
      <w:r>
        <w:rPr>
          <w:rFonts w:ascii="Calibri" w:hAnsi="Calibri" w:eastAsia="Calibri"/>
          <w:b/>
          <w:i w:val="0"/>
          <w:color w:val="1B3A4B"/>
          <w:sz w:val="24"/>
        </w:rPr>
        <w:t>Why the kept half is left off this claim</w:t>
      </w:r>
    </w:p>
    <w:p>
      <w:pPr>
        <w:spacing w:before="20" w:after="60" w:line="264" w:lineRule="auto"/>
        <w:ind w:left="567" w:hanging="227"/>
      </w:pPr>
      <w:r>
        <w:rPr>
          <w:rFonts w:ascii="Calibri" w:hAnsi="Calibri" w:eastAsia="Calibri"/>
          <w:b/>
          <w:i w:val="0"/>
          <w:color w:val="0F5E56"/>
          <w:sz w:val="22"/>
        </w:rPr>
        <w:t xml:space="preserve">•  </w:t>
      </w:r>
      <w:r>
        <w:rPr>
          <w:rFonts w:ascii="Calibri" w:hAnsi="Calibri" w:eastAsia="Calibri"/>
          <w:b w:val="0"/>
          <w:i w:val="0"/>
          <w:color w:val="1A1A1A"/>
          <w:sz w:val="22"/>
        </w:rPr>
        <w:t>It has not been administered. A drug line reports the amount given to that patient, not the amount purchased.</w:t>
      </w:r>
    </w:p>
    <w:p>
      <w:pPr>
        <w:spacing w:before="20" w:after="60" w:line="264" w:lineRule="auto"/>
        <w:ind w:left="567" w:hanging="227"/>
      </w:pPr>
      <w:r>
        <w:rPr>
          <w:rFonts w:ascii="Calibri" w:hAnsi="Calibri" w:eastAsia="Calibri"/>
          <w:b/>
          <w:i w:val="0"/>
          <w:color w:val="0F5E56"/>
          <w:sz w:val="22"/>
        </w:rPr>
        <w:t xml:space="preserve">•  </w:t>
      </w:r>
      <w:r>
        <w:rPr>
          <w:rFonts w:ascii="Calibri" w:hAnsi="Calibri" w:eastAsia="Calibri"/>
          <w:b w:val="0"/>
          <w:i w:val="0"/>
          <w:color w:val="1A1A1A"/>
          <w:sz w:val="22"/>
        </w:rPr>
        <w:t>It is not discarded, so JW would be the wrong modifier. JZ would also be wrong, because JZ belongs on single-dose containers.</w:t>
      </w:r>
    </w:p>
    <w:p>
      <w:pPr>
        <w:spacing w:before="20" w:after="60" w:line="264" w:lineRule="auto"/>
        <w:ind w:left="567" w:hanging="227"/>
      </w:pPr>
      <w:r>
        <w:rPr>
          <w:rFonts w:ascii="Calibri" w:hAnsi="Calibri" w:eastAsia="Calibri"/>
          <w:b/>
          <w:i w:val="0"/>
          <w:color w:val="0F5E56"/>
          <w:sz w:val="22"/>
        </w:rPr>
        <w:t xml:space="preserve">•  </w:t>
      </w:r>
      <w:r>
        <w:rPr>
          <w:rFonts w:ascii="Calibri" w:hAnsi="Calibri" w:eastAsia="Calibri"/>
          <w:b w:val="0"/>
          <w:i w:val="0"/>
          <w:color w:val="1A1A1A"/>
          <w:sz w:val="22"/>
        </w:rPr>
        <w:t>Billing all 20 units on Patient A would report a 20 mg dose that the patient did not receive and would leave no units for Patient B.</w:t>
      </w:r>
    </w:p>
    <w:p>
      <w:pPr>
        <w:spacing w:before="20" w:after="60" w:line="264" w:lineRule="auto"/>
        <w:ind w:left="567" w:hanging="227"/>
      </w:pPr>
      <w:r>
        <w:rPr>
          <w:rFonts w:ascii="Calibri" w:hAnsi="Calibri" w:eastAsia="Calibri"/>
          <w:b/>
          <w:i w:val="0"/>
          <w:color w:val="0F5E56"/>
          <w:sz w:val="22"/>
        </w:rPr>
        <w:t xml:space="preserve">•  </w:t>
      </w:r>
      <w:r>
        <w:rPr>
          <w:rFonts w:ascii="Calibri" w:hAnsi="Calibri" w:eastAsia="Calibri"/>
          <w:b w:val="0"/>
          <w:i w:val="0"/>
          <w:color w:val="1A1A1A"/>
          <w:sz w:val="22"/>
        </w:rPr>
        <w:t>Patient B is billed only when the remaining 10 mg is actually administered. That is a new claim, a new date of service, and Patient B’s own administration CPT.</w:t>
      </w:r>
    </w:p>
    <w:p>
      <w:pPr>
        <w:spacing w:before="20" w:after="60" w:line="264" w:lineRule="auto"/>
        <w:ind w:left="567" w:hanging="227"/>
      </w:pPr>
      <w:r>
        <w:rPr>
          <w:rFonts w:ascii="Calibri" w:hAnsi="Calibri" w:eastAsia="Calibri"/>
          <w:b/>
          <w:i w:val="0"/>
          <w:color w:val="0F5E56"/>
          <w:sz w:val="22"/>
        </w:rPr>
        <w:t xml:space="preserve">•  </w:t>
      </w:r>
      <w:r>
        <w:rPr>
          <w:rFonts w:ascii="Calibri" w:hAnsi="Calibri" w:eastAsia="Calibri"/>
          <w:b w:val="0"/>
          <w:i w:val="0"/>
          <w:color w:val="1A1A1A"/>
          <w:sz w:val="22"/>
        </w:rPr>
        <w:t>The chart for Patient A records the NDC, lot, expiration or beyond-use date, 10 mg given, and 10 mg remaining. The remaining drug is not marked as waste.</w:t>
      </w:r>
    </w:p>
    <w:tbl>
      <w:tblPr>
        <w:tblW w:type="dxa" w:w="10080"/>
        <w:jc w:val="center"/>
        <w:tblLayout w:type="fixed"/>
        <w:tblLook w:firstColumn="1" w:firstRow="1" w:lastColumn="0" w:lastRow="0" w:noHBand="0" w:noVBand="1" w:val="04A0"/>
      </w:tblPr>
      <w:tblGrid>
        <w:gridCol w:w="10080"/>
      </w:tblGrid>
      <w:tr>
        <w:tc>
          <w:tcPr>
            <w:tcW w:type="dxa" w:w="10080"/>
            <w:shd w:val="clear" w:color="auto" w:fill="FBF4E8"/>
            <w:tcBorders>
              <w:top w:val="single" w:sz="4" w:space="0" w:color="C4A15A"/>
              <w:left w:val="single" w:sz="4" w:space="0" w:color="C4A15A"/>
              <w:bottom w:val="single" w:sz="4" w:space="0" w:color="C4A15A"/>
              <w:right w:val="single" w:sz="4" w:space="0" w:color="C4A15A"/>
            </w:tcBorders>
            <w:tcMar>
              <w:top w:w="80" w:type="dxa"/>
              <w:left w:w="120" w:type="dxa"/>
              <w:bottom w:w="80" w:type="dxa"/>
              <w:right w:w="120" w:type="dxa"/>
            </w:tcMar>
          </w:tcPr>
          <w:p>
            <w:pPr>
              <w:spacing w:after="40"/>
            </w:pPr>
            <w:r/>
            <w:r>
              <w:rPr>
                <w:rFonts w:ascii="Calibri" w:hAnsi="Calibri" w:eastAsia="Calibri"/>
                <w:b/>
                <w:i w:val="0"/>
                <w:color w:val="1B3A4B"/>
                <w:sz w:val="22"/>
              </w:rPr>
              <w:t>NDC quantity on this claim is 2.5 mL, not 5 mL</w:t>
            </w:r>
          </w:p>
          <w:p>
            <w:pPr>
              <w:spacing w:after="0" w:line="264" w:lineRule="auto"/>
            </w:pPr>
            <w:r>
              <w:rPr>
                <w:rFonts w:ascii="Calibri" w:hAnsi="Calibri" w:eastAsia="Calibri"/>
                <w:b w:val="0"/>
                <w:i w:val="0"/>
                <w:color w:val="1A1A1A"/>
                <w:sz w:val="21"/>
              </w:rPr>
              <w:t>The NDC identifies the package that was punctured. The quantity is the volume taken out for this patient. Reporting ML5 would tell the payer that the whole 20 mg vial was used for Patient A. Reporting ML2.5 matches the 10 HCPCS units, because 10 mg ÷ 4 mg per mL = 2.5 mL, and 10 mg ÷ 1 mg = 10 units of J1100.</w:t>
            </w:r>
          </w:p>
        </w:tc>
      </w:tr>
    </w:tbl>
    <w:p>
      <w:pPr>
        <w:spacing w:before="0" w:after="120"/>
      </w:pPr>
    </w:p>
    <w:p>
      <w:pPr>
        <w:keepNext/>
        <w:spacing w:before="320" w:after="120" w:line="252" w:lineRule="auto"/>
        <w:pBdr>
          <w:bottom w:val="single" w:sz="10" w:space="1" w:color="0F5E56"/>
        </w:pBdr>
      </w:pPr>
      <w:r>
        <w:rPr>
          <w:rFonts w:ascii="Calibri" w:hAnsi="Calibri" w:eastAsia="Calibri"/>
          <w:b/>
          <w:i w:val="0"/>
          <w:color w:val="1B3A4B"/>
          <w:sz w:val="32"/>
        </w:rPr>
        <w:t>6. Scenario 3 — appropriate NDC and CPT, half used and half discarded</w:t>
      </w:r>
    </w:p>
    <w:p>
      <w:pPr>
        <w:spacing w:before="0" w:after="160" w:line="269" w:lineRule="auto"/>
        <w:jc w:val="both"/>
      </w:pPr>
      <w:r>
        <w:rPr>
          <w:rFonts w:ascii="Calibri" w:hAnsi="Calibri" w:eastAsia="Calibri"/>
          <w:b w:val="0"/>
          <w:i w:val="0"/>
          <w:color w:val="1A1A1A"/>
          <w:sz w:val="22"/>
        </w:rPr>
        <w:t>The order is dexamethasone 2 mg by IV push. The container opened is the single-dose vial of 4 mg in 1 mL, NDC 63323-0165-02. The patient receives 2 mg (0.5 mL). The other 2 mg (0.5 mL) cannot be stored for another patient and is discarded.</w:t>
      </w:r>
    </w:p>
    <w:p>
      <w:pPr>
        <w:spacing w:before="0" w:after="160" w:line="269" w:lineRule="auto"/>
        <w:jc w:val="both"/>
      </w:pPr>
      <w:r>
        <w:rPr>
          <w:rFonts w:ascii="Calibri" w:hAnsi="Calibri" w:eastAsia="Calibri"/>
          <w:b w:val="0"/>
          <w:i w:val="0"/>
          <w:color w:val="1A1A1A"/>
          <w:sz w:val="22"/>
        </w:rPr>
        <w:t>The appropriate NDC is the single-dose NDC, 63323-0165-02. The multiple-dose NDC from Scenario 2, 63323-0165-03, must not be reported, because that vial was not used and because a multiple-dose remainder is not billed with JW. The appropriate drug code remains J1100, because 1 unit still equals 1 mg. CPT 96374 is billed once for the injection.</w:t>
      </w:r>
    </w:p>
    <w:tbl>
      <w:tblPr>
        <w:tblW w:type="dxa" w:w="10080"/>
        <w:jc w:val="center"/>
        <w:tblLayout w:type="fixed"/>
        <w:tblLook w:firstColumn="1" w:firstRow="1" w:lastColumn="0" w:lastRow="0" w:noHBand="0" w:noVBand="1" w:val="04A0"/>
      </w:tblPr>
      <w:tblGrid>
        <w:gridCol w:w="5040"/>
        <w:gridCol w:w="5040"/>
      </w:tblGrid>
      <w:tr>
        <w:trPr>
          <w:cantSplit/>
        </w:trPr>
        <w:tc>
          <w:tcPr>
            <w:tcW w:type="dxa" w:w="5040"/>
            <w:shd w:val="clear" w:color="auto" w:fill="0F5E56"/>
            <w:tcBorders>
              <w:top w:val="single" w:sz="4" w:space="0" w:color="1B3A4B"/>
              <w:left w:val="single" w:sz="4" w:space="0" w:color="1B3A4B"/>
              <w:bottom w:val="single" w:sz="4" w:space="0" w:color="1B3A4B"/>
              <w:right w:val="single" w:sz="4" w:space="0" w:color="1B3A4B"/>
            </w:tcBorders>
            <w:tcMar>
              <w:top w:w="80" w:type="dxa"/>
              <w:left w:w="80" w:type="dxa"/>
              <w:bottom w:w="80" w:type="dxa"/>
              <w:right w:w="80" w:type="dxa"/>
            </w:tcMar>
          </w:tcPr>
          <w:p>
            <w:pPr>
              <w:spacing w:before="0" w:after="0"/>
              <w:jc w:val="center"/>
            </w:pPr>
            <w:r/>
            <w:r>
              <w:rPr>
                <w:rFonts w:ascii="Calibri" w:hAnsi="Calibri" w:eastAsia="Calibri"/>
                <w:b/>
                <w:i w:val="0"/>
                <w:color w:val="FFFFFF"/>
                <w:sz w:val="18"/>
              </w:rPr>
              <w:t>Administered</w:t>
            </w:r>
          </w:p>
          <w:p>
            <w:pPr>
              <w:spacing w:before="0" w:after="0"/>
              <w:jc w:val="center"/>
            </w:pPr>
            <w:r>
              <w:rPr>
                <w:rFonts w:ascii="Calibri" w:hAnsi="Calibri" w:eastAsia="Calibri"/>
                <w:b/>
                <w:i w:val="0"/>
                <w:color w:val="FFFFFF"/>
                <w:sz w:val="18"/>
              </w:rPr>
              <w:t>2 mg = 0.5 mL</w:t>
            </w:r>
          </w:p>
          <w:p>
            <w:pPr>
              <w:spacing w:before="0" w:after="0"/>
              <w:jc w:val="center"/>
            </w:pPr>
            <w:r>
              <w:rPr>
                <w:rFonts w:ascii="Calibri" w:hAnsi="Calibri" w:eastAsia="Calibri"/>
                <w:b/>
                <w:i w:val="0"/>
                <w:color w:val="FFFFFF"/>
                <w:sz w:val="18"/>
              </w:rPr>
              <w:t>J1100 × 2</w:t>
            </w:r>
          </w:p>
        </w:tc>
        <w:tc>
          <w:tcPr>
            <w:tcW w:type="dxa" w:w="5040"/>
            <w:shd w:val="clear" w:color="auto" w:fill="8C3A3A"/>
            <w:tcBorders>
              <w:top w:val="single" w:sz="4" w:space="0" w:color="1B3A4B"/>
              <w:left w:val="single" w:sz="4" w:space="0" w:color="1B3A4B"/>
              <w:bottom w:val="single" w:sz="4" w:space="0" w:color="1B3A4B"/>
              <w:right w:val="single" w:sz="4" w:space="0" w:color="1B3A4B"/>
            </w:tcBorders>
            <w:tcMar>
              <w:top w:w="80" w:type="dxa"/>
              <w:left w:w="80" w:type="dxa"/>
              <w:bottom w:w="80" w:type="dxa"/>
              <w:right w:w="80" w:type="dxa"/>
            </w:tcMar>
          </w:tcPr>
          <w:p>
            <w:pPr>
              <w:spacing w:before="0" w:after="0"/>
              <w:jc w:val="center"/>
            </w:pPr>
            <w:r/>
            <w:r>
              <w:rPr>
                <w:rFonts w:ascii="Calibri" w:hAnsi="Calibri" w:eastAsia="Calibri"/>
                <w:b/>
                <w:i w:val="0"/>
                <w:color w:val="FFFFFF"/>
                <w:sz w:val="18"/>
              </w:rPr>
              <w:t>Discarded</w:t>
            </w:r>
          </w:p>
          <w:p>
            <w:pPr>
              <w:spacing w:before="0" w:after="0"/>
              <w:jc w:val="center"/>
            </w:pPr>
            <w:r>
              <w:rPr>
                <w:rFonts w:ascii="Calibri" w:hAnsi="Calibri" w:eastAsia="Calibri"/>
                <w:b/>
                <w:i w:val="0"/>
                <w:color w:val="FFFFFF"/>
                <w:sz w:val="18"/>
              </w:rPr>
              <w:t>2 mg = 0.5 mL</w:t>
            </w:r>
          </w:p>
          <w:p>
            <w:pPr>
              <w:spacing w:before="0" w:after="0"/>
              <w:jc w:val="center"/>
            </w:pPr>
            <w:r>
              <w:rPr>
                <w:rFonts w:ascii="Calibri" w:hAnsi="Calibri" w:eastAsia="Calibri"/>
                <w:b/>
                <w:i w:val="0"/>
                <w:color w:val="FFFFFF"/>
                <w:sz w:val="18"/>
              </w:rPr>
              <w:t>J1100-JW × 2</w:t>
            </w:r>
          </w:p>
        </w:tc>
      </w:tr>
    </w:tbl>
    <w:p>
      <w:pPr>
        <w:spacing w:before="20" w:after="120"/>
      </w:pPr>
    </w:p>
    <w:tbl>
      <w:tblPr>
        <w:tblStyle w:val="TableGrid"/>
        <w:tblW w:type="dxa" w:w="10080"/>
        <w:jc w:val="center"/>
        <w:tblLayout w:type="fixed"/>
        <w:tblLook w:firstColumn="1" w:firstRow="1" w:lastColumn="0" w:lastRow="0" w:noHBand="0" w:noVBand="1" w:val="04A0"/>
      </w:tblPr>
      <w:tblGrid>
        <w:gridCol w:w="3200"/>
        <w:gridCol w:w="6880"/>
      </w:tblGrid>
      <w:tr>
        <w:trPr>
          <w:cantSplit/>
        </w:trPr>
        <w:tc>
          <w:tcPr>
            <w:tcW w:type="dxa" w:w="3200"/>
            <w:shd w:val="clear" w:color="auto" w:fill="1B3A4B"/>
            <w:tcBorders>
              <w:top w:val="single" w:sz="4" w:space="0" w:color="1B3A4B"/>
              <w:left w:val="single" w:sz="4" w:space="0" w:color="1B3A4B"/>
              <w:bottom w:val="single" w:sz="4" w:space="0" w:color="1B3A4B"/>
              <w:right w:val="single" w:sz="4" w:space="0" w:color="1B3A4B"/>
            </w:tcBorders>
            <w:tcMar>
              <w:top w:w="50" w:type="dxa"/>
              <w:left w:w="60" w:type="dxa"/>
              <w:bottom w:w="50" w:type="dxa"/>
              <w:right w:w="60" w:type="dxa"/>
            </w:tcMar>
          </w:tcPr>
          <w:p>
            <w:pPr>
              <w:spacing w:after="0"/>
            </w:pPr>
            <w:r/>
            <w:r>
              <w:rPr>
                <w:rFonts w:ascii="Calibri" w:hAnsi="Calibri" w:eastAsia="Calibri"/>
                <w:b/>
                <w:i w:val="0"/>
                <w:color w:val="FFFFFF"/>
                <w:sz w:val="19"/>
              </w:rPr>
              <w:t>Fact</w:t>
            </w:r>
          </w:p>
        </w:tc>
        <w:tc>
          <w:tcPr>
            <w:tcW w:type="dxa" w:w="6880"/>
            <w:shd w:val="clear" w:color="auto" w:fill="1B3A4B"/>
            <w:tcBorders>
              <w:top w:val="single" w:sz="4" w:space="0" w:color="1B3A4B"/>
              <w:left w:val="single" w:sz="4" w:space="0" w:color="1B3A4B"/>
              <w:bottom w:val="single" w:sz="4" w:space="0" w:color="1B3A4B"/>
              <w:right w:val="single" w:sz="4" w:space="0" w:color="1B3A4B"/>
            </w:tcBorders>
            <w:tcMar>
              <w:top w:w="50" w:type="dxa"/>
              <w:left w:w="60" w:type="dxa"/>
              <w:bottom w:w="50" w:type="dxa"/>
              <w:right w:w="60" w:type="dxa"/>
            </w:tcMar>
          </w:tcPr>
          <w:p>
            <w:pPr>
              <w:spacing w:after="0"/>
            </w:pPr>
            <w:r/>
            <w:r>
              <w:rPr>
                <w:rFonts w:ascii="Calibri" w:hAnsi="Calibri" w:eastAsia="Calibri"/>
                <w:b/>
                <w:i w:val="0"/>
                <w:color w:val="FFFFFF"/>
                <w:sz w:val="19"/>
              </w:rPr>
              <w:t>Value</w:t>
            </w:r>
          </w:p>
        </w:tc>
      </w:tr>
      <w:tr>
        <w:trPr>
          <w:cantSplit/>
        </w:trPr>
        <w:tc>
          <w:tcPr>
            <w:tcW w:type="dxa" w:w="320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9"/>
              </w:rPr>
              <w:t>Labeled contents</w:t>
            </w:r>
          </w:p>
        </w:tc>
        <w:tc>
          <w:tcPr>
            <w:tcW w:type="dxa" w:w="688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9"/>
              </w:rPr>
              <w:t>4 mg in 1 mL</w:t>
            </w:r>
          </w:p>
        </w:tc>
      </w:tr>
      <w:tr>
        <w:trPr>
          <w:cantSplit/>
        </w:trPr>
        <w:tc>
          <w:tcPr>
            <w:tcW w:type="dxa" w:w="320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9"/>
              </w:rPr>
              <w:t>Administered</w:t>
            </w:r>
          </w:p>
        </w:tc>
        <w:tc>
          <w:tcPr>
            <w:tcW w:type="dxa" w:w="688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9"/>
              </w:rPr>
              <w:t>2 mg = 0.5 mL = 2 units of J1100</w:t>
            </w:r>
          </w:p>
        </w:tc>
      </w:tr>
      <w:tr>
        <w:trPr>
          <w:cantSplit/>
        </w:trPr>
        <w:tc>
          <w:tcPr>
            <w:tcW w:type="dxa" w:w="320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9"/>
              </w:rPr>
              <w:t>Discarded</w:t>
            </w:r>
          </w:p>
        </w:tc>
        <w:tc>
          <w:tcPr>
            <w:tcW w:type="dxa" w:w="688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9"/>
              </w:rPr>
              <w:t>Labeled 4 mg − administered 2 mg = 2 mg = 0.5 mL = 2 units</w:t>
            </w:r>
          </w:p>
        </w:tc>
      </w:tr>
      <w:tr>
        <w:trPr>
          <w:cantSplit/>
        </w:trPr>
        <w:tc>
          <w:tcPr>
            <w:tcW w:type="dxa" w:w="320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9"/>
              </w:rPr>
              <w:t>NDC on both drug lines</w:t>
            </w:r>
          </w:p>
        </w:tc>
        <w:tc>
          <w:tcPr>
            <w:tcW w:type="dxa" w:w="688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9"/>
              </w:rPr>
              <w:t>63323-0165-02</w:t>
            </w:r>
          </w:p>
        </w:tc>
      </w:tr>
      <w:tr>
        <w:trPr>
          <w:cantSplit/>
        </w:trPr>
        <w:tc>
          <w:tcPr>
            <w:tcW w:type="dxa" w:w="320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9"/>
              </w:rPr>
              <w:t>NDC quantity, administered line</w:t>
            </w:r>
          </w:p>
        </w:tc>
        <w:tc>
          <w:tcPr>
            <w:tcW w:type="dxa" w:w="688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9"/>
              </w:rPr>
              <w:t>0.5 mL</w:t>
            </w:r>
          </w:p>
        </w:tc>
      </w:tr>
      <w:tr>
        <w:trPr>
          <w:cantSplit/>
        </w:trPr>
        <w:tc>
          <w:tcPr>
            <w:tcW w:type="dxa" w:w="320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9"/>
              </w:rPr>
              <w:t>NDC quantity, discarded line</w:t>
            </w:r>
          </w:p>
        </w:tc>
        <w:tc>
          <w:tcPr>
            <w:tcW w:type="dxa" w:w="688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9"/>
              </w:rPr>
              <w:t>0.5 mL</w:t>
            </w:r>
          </w:p>
        </w:tc>
      </w:tr>
      <w:tr>
        <w:trPr>
          <w:cantSplit/>
        </w:trPr>
        <w:tc>
          <w:tcPr>
            <w:tcW w:type="dxa" w:w="320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9"/>
              </w:rPr>
              <w:t>Check total</w:t>
            </w:r>
          </w:p>
        </w:tc>
        <w:tc>
          <w:tcPr>
            <w:tcW w:type="dxa" w:w="688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9"/>
              </w:rPr>
              <w:t>2 + 2 = 4 units, and 0.5 + 0.5 = 1 mL. The total equals the labeled vial and does not exceed it.</w:t>
            </w:r>
          </w:p>
        </w:tc>
      </w:tr>
    </w:tbl>
    <w:p>
      <w:pPr>
        <w:spacing w:before="40" w:after="120"/>
      </w:pPr>
    </w:p>
    <w:p>
      <w:pPr>
        <w:spacing w:before="40" w:after="80" w:line="269" w:lineRule="auto"/>
        <w:jc w:val="left"/>
      </w:pPr>
      <w:r>
        <w:rPr>
          <w:rFonts w:ascii="Calibri" w:hAnsi="Calibri" w:eastAsia="Calibri"/>
          <w:b/>
          <w:i w:val="0"/>
          <w:color w:val="1B3A4B"/>
          <w:sz w:val="24"/>
        </w:rPr>
        <w:t>Claim lines</w:t>
      </w:r>
    </w:p>
    <w:tbl>
      <w:tblPr>
        <w:tblStyle w:val="TableGrid"/>
        <w:tblW w:type="dxa" w:w="10080"/>
        <w:jc w:val="center"/>
        <w:tblLayout w:type="fixed"/>
        <w:tblLook w:firstColumn="1" w:firstRow="1" w:lastColumn="0" w:lastRow="0" w:noHBand="0" w:noVBand="1" w:val="04A0"/>
      </w:tblPr>
      <w:tblGrid>
        <w:gridCol w:w="700"/>
        <w:gridCol w:w="1300"/>
        <w:gridCol w:w="1200"/>
        <w:gridCol w:w="900"/>
        <w:gridCol w:w="3180"/>
        <w:gridCol w:w="2800"/>
      </w:tblGrid>
      <w:tr>
        <w:trPr>
          <w:cantSplit/>
        </w:trPr>
        <w:tc>
          <w:tcPr>
            <w:tcW w:type="dxa" w:w="700"/>
            <w:shd w:val="clear" w:color="auto" w:fill="1B3A4B"/>
            <w:tcBorders>
              <w:top w:val="single" w:sz="4" w:space="0" w:color="1B3A4B"/>
              <w:left w:val="single" w:sz="4" w:space="0" w:color="1B3A4B"/>
              <w:bottom w:val="single" w:sz="4" w:space="0" w:color="1B3A4B"/>
              <w:right w:val="single" w:sz="4" w:space="0" w:color="1B3A4B"/>
            </w:tcBorders>
            <w:tcMar>
              <w:top w:w="50" w:type="dxa"/>
              <w:left w:w="60" w:type="dxa"/>
              <w:bottom w:w="50" w:type="dxa"/>
              <w:right w:w="60" w:type="dxa"/>
            </w:tcMar>
          </w:tcPr>
          <w:p>
            <w:pPr>
              <w:spacing w:after="0"/>
            </w:pPr>
            <w:r/>
            <w:r>
              <w:rPr>
                <w:rFonts w:ascii="Calibri" w:hAnsi="Calibri" w:eastAsia="Calibri"/>
                <w:b/>
                <w:i w:val="0"/>
                <w:color w:val="FFFFFF"/>
                <w:sz w:val="17"/>
              </w:rPr>
              <w:t>Line</w:t>
            </w:r>
          </w:p>
        </w:tc>
        <w:tc>
          <w:tcPr>
            <w:tcW w:type="dxa" w:w="1300"/>
            <w:shd w:val="clear" w:color="auto" w:fill="1B3A4B"/>
            <w:tcBorders>
              <w:top w:val="single" w:sz="4" w:space="0" w:color="1B3A4B"/>
              <w:left w:val="single" w:sz="4" w:space="0" w:color="1B3A4B"/>
              <w:bottom w:val="single" w:sz="4" w:space="0" w:color="1B3A4B"/>
              <w:right w:val="single" w:sz="4" w:space="0" w:color="1B3A4B"/>
            </w:tcBorders>
            <w:tcMar>
              <w:top w:w="50" w:type="dxa"/>
              <w:left w:w="60" w:type="dxa"/>
              <w:bottom w:w="50" w:type="dxa"/>
              <w:right w:w="60" w:type="dxa"/>
            </w:tcMar>
          </w:tcPr>
          <w:p>
            <w:pPr>
              <w:spacing w:after="0"/>
            </w:pPr>
            <w:r/>
            <w:r>
              <w:rPr>
                <w:rFonts w:ascii="Calibri" w:hAnsi="Calibri" w:eastAsia="Calibri"/>
                <w:b/>
                <w:i w:val="0"/>
                <w:color w:val="FFFFFF"/>
                <w:sz w:val="17"/>
              </w:rPr>
              <w:t>Item 24D</w:t>
            </w:r>
          </w:p>
        </w:tc>
        <w:tc>
          <w:tcPr>
            <w:tcW w:type="dxa" w:w="1200"/>
            <w:shd w:val="clear" w:color="auto" w:fill="1B3A4B"/>
            <w:tcBorders>
              <w:top w:val="single" w:sz="4" w:space="0" w:color="1B3A4B"/>
              <w:left w:val="single" w:sz="4" w:space="0" w:color="1B3A4B"/>
              <w:bottom w:val="single" w:sz="4" w:space="0" w:color="1B3A4B"/>
              <w:right w:val="single" w:sz="4" w:space="0" w:color="1B3A4B"/>
            </w:tcBorders>
            <w:tcMar>
              <w:top w:w="50" w:type="dxa"/>
              <w:left w:w="60" w:type="dxa"/>
              <w:bottom w:w="50" w:type="dxa"/>
              <w:right w:w="60" w:type="dxa"/>
            </w:tcMar>
          </w:tcPr>
          <w:p>
            <w:pPr>
              <w:spacing w:after="0"/>
            </w:pPr>
            <w:r/>
            <w:r>
              <w:rPr>
                <w:rFonts w:ascii="Calibri" w:hAnsi="Calibri" w:eastAsia="Calibri"/>
                <w:b/>
                <w:i w:val="0"/>
                <w:color w:val="FFFFFF"/>
                <w:sz w:val="17"/>
              </w:rPr>
              <w:t>Modifier</w:t>
            </w:r>
          </w:p>
        </w:tc>
        <w:tc>
          <w:tcPr>
            <w:tcW w:type="dxa" w:w="900"/>
            <w:shd w:val="clear" w:color="auto" w:fill="1B3A4B"/>
            <w:tcBorders>
              <w:top w:val="single" w:sz="4" w:space="0" w:color="1B3A4B"/>
              <w:left w:val="single" w:sz="4" w:space="0" w:color="1B3A4B"/>
              <w:bottom w:val="single" w:sz="4" w:space="0" w:color="1B3A4B"/>
              <w:right w:val="single" w:sz="4" w:space="0" w:color="1B3A4B"/>
            </w:tcBorders>
            <w:tcMar>
              <w:top w:w="50" w:type="dxa"/>
              <w:left w:w="60" w:type="dxa"/>
              <w:bottom w:w="50" w:type="dxa"/>
              <w:right w:w="60" w:type="dxa"/>
            </w:tcMar>
          </w:tcPr>
          <w:p>
            <w:pPr>
              <w:spacing w:after="0"/>
            </w:pPr>
            <w:r/>
            <w:r>
              <w:rPr>
                <w:rFonts w:ascii="Calibri" w:hAnsi="Calibri" w:eastAsia="Calibri"/>
                <w:b/>
                <w:i w:val="0"/>
                <w:color w:val="FFFFFF"/>
                <w:sz w:val="17"/>
              </w:rPr>
              <w:t>Units</w:t>
            </w:r>
          </w:p>
        </w:tc>
        <w:tc>
          <w:tcPr>
            <w:tcW w:type="dxa" w:w="3180"/>
            <w:shd w:val="clear" w:color="auto" w:fill="1B3A4B"/>
            <w:tcBorders>
              <w:top w:val="single" w:sz="4" w:space="0" w:color="1B3A4B"/>
              <w:left w:val="single" w:sz="4" w:space="0" w:color="1B3A4B"/>
              <w:bottom w:val="single" w:sz="4" w:space="0" w:color="1B3A4B"/>
              <w:right w:val="single" w:sz="4" w:space="0" w:color="1B3A4B"/>
            </w:tcBorders>
            <w:tcMar>
              <w:top w:w="50" w:type="dxa"/>
              <w:left w:w="60" w:type="dxa"/>
              <w:bottom w:w="50" w:type="dxa"/>
              <w:right w:w="60" w:type="dxa"/>
            </w:tcMar>
          </w:tcPr>
          <w:p>
            <w:pPr>
              <w:spacing w:after="0"/>
            </w:pPr>
            <w:r/>
            <w:r>
              <w:rPr>
                <w:rFonts w:ascii="Calibri" w:hAnsi="Calibri" w:eastAsia="Calibri"/>
                <w:b/>
                <w:i w:val="0"/>
                <w:color w:val="FFFFFF"/>
                <w:sz w:val="17"/>
              </w:rPr>
              <w:t>NDC in the shaded area</w:t>
            </w:r>
          </w:p>
        </w:tc>
        <w:tc>
          <w:tcPr>
            <w:tcW w:type="dxa" w:w="2800"/>
            <w:shd w:val="clear" w:color="auto" w:fill="1B3A4B"/>
            <w:tcBorders>
              <w:top w:val="single" w:sz="4" w:space="0" w:color="1B3A4B"/>
              <w:left w:val="single" w:sz="4" w:space="0" w:color="1B3A4B"/>
              <w:bottom w:val="single" w:sz="4" w:space="0" w:color="1B3A4B"/>
              <w:right w:val="single" w:sz="4" w:space="0" w:color="1B3A4B"/>
            </w:tcBorders>
            <w:tcMar>
              <w:top w:w="50" w:type="dxa"/>
              <w:left w:w="60" w:type="dxa"/>
              <w:bottom w:w="50" w:type="dxa"/>
              <w:right w:w="60" w:type="dxa"/>
            </w:tcMar>
          </w:tcPr>
          <w:p>
            <w:pPr>
              <w:spacing w:after="0"/>
            </w:pPr>
            <w:r/>
            <w:r>
              <w:rPr>
                <w:rFonts w:ascii="Calibri" w:hAnsi="Calibri" w:eastAsia="Calibri"/>
                <w:b/>
                <w:i w:val="0"/>
                <w:color w:val="FFFFFF"/>
                <w:sz w:val="17"/>
              </w:rPr>
              <w:t>Charge basis</w:t>
            </w:r>
          </w:p>
        </w:tc>
      </w:tr>
      <w:tr>
        <w:trPr>
          <w:cantSplit/>
        </w:trPr>
        <w:tc>
          <w:tcPr>
            <w:tcW w:type="dxa" w:w="70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7"/>
              </w:rPr>
              <w:t>1</w:t>
            </w:r>
          </w:p>
        </w:tc>
        <w:tc>
          <w:tcPr>
            <w:tcW w:type="dxa" w:w="130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7"/>
              </w:rPr>
              <w:t>96374</w:t>
            </w:r>
          </w:p>
        </w:tc>
        <w:tc>
          <w:tcPr>
            <w:tcW w:type="dxa" w:w="120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7"/>
              </w:rPr>
              <w:t>—</w:t>
            </w:r>
          </w:p>
        </w:tc>
        <w:tc>
          <w:tcPr>
            <w:tcW w:type="dxa" w:w="90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7"/>
              </w:rPr>
              <w:t>1</w:t>
            </w:r>
          </w:p>
        </w:tc>
        <w:tc>
          <w:tcPr>
            <w:tcW w:type="dxa" w:w="318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7"/>
              </w:rPr>
              <w:t>Not reported</w:t>
            </w:r>
          </w:p>
        </w:tc>
        <w:tc>
          <w:tcPr>
            <w:tcW w:type="dxa" w:w="280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7"/>
              </w:rPr>
              <w:t>One administration, not split</w:t>
            </w:r>
          </w:p>
        </w:tc>
      </w:tr>
      <w:tr>
        <w:trPr>
          <w:cantSplit/>
        </w:trPr>
        <w:tc>
          <w:tcPr>
            <w:tcW w:type="dxa" w:w="70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7"/>
              </w:rPr>
              <w:t>2</w:t>
            </w:r>
          </w:p>
        </w:tc>
        <w:tc>
          <w:tcPr>
            <w:tcW w:type="dxa" w:w="130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7"/>
              </w:rPr>
              <w:t>J1100</w:t>
            </w:r>
          </w:p>
        </w:tc>
        <w:tc>
          <w:tcPr>
            <w:tcW w:type="dxa" w:w="120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7"/>
              </w:rPr>
              <w:t>None</w:t>
            </w:r>
          </w:p>
        </w:tc>
        <w:tc>
          <w:tcPr>
            <w:tcW w:type="dxa" w:w="90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7"/>
              </w:rPr>
              <w:t>2</w:t>
            </w:r>
          </w:p>
        </w:tc>
        <w:tc>
          <w:tcPr>
            <w:tcW w:type="dxa" w:w="318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7"/>
              </w:rPr>
              <w:t>N463323016502 ML0.500</w:t>
            </w:r>
          </w:p>
        </w:tc>
        <w:tc>
          <w:tcPr>
            <w:tcW w:type="dxa" w:w="280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7"/>
              </w:rPr>
              <w:t>Charge for 2 mg given only</w:t>
            </w:r>
          </w:p>
        </w:tc>
      </w:tr>
      <w:tr>
        <w:trPr>
          <w:cantSplit/>
        </w:trPr>
        <w:tc>
          <w:tcPr>
            <w:tcW w:type="dxa" w:w="70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7"/>
              </w:rPr>
              <w:t>3</w:t>
            </w:r>
          </w:p>
        </w:tc>
        <w:tc>
          <w:tcPr>
            <w:tcW w:type="dxa" w:w="130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7"/>
              </w:rPr>
              <w:t>J1100</w:t>
            </w:r>
          </w:p>
        </w:tc>
        <w:tc>
          <w:tcPr>
            <w:tcW w:type="dxa" w:w="120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7"/>
              </w:rPr>
              <w:t>JW</w:t>
            </w:r>
          </w:p>
        </w:tc>
        <w:tc>
          <w:tcPr>
            <w:tcW w:type="dxa" w:w="90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7"/>
              </w:rPr>
              <w:t>2</w:t>
            </w:r>
          </w:p>
        </w:tc>
        <w:tc>
          <w:tcPr>
            <w:tcW w:type="dxa" w:w="318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7"/>
              </w:rPr>
              <w:t>N463323016502 ML0.500</w:t>
            </w:r>
          </w:p>
        </w:tc>
        <w:tc>
          <w:tcPr>
            <w:tcW w:type="dxa" w:w="280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7"/>
              </w:rPr>
              <w:t>Charge for 2 mg discarded only</w:t>
            </w:r>
          </w:p>
        </w:tc>
      </w:tr>
    </w:tbl>
    <w:p>
      <w:pPr>
        <w:spacing w:before="40" w:after="120"/>
      </w:pPr>
    </w:p>
    <w:p>
      <w:pPr>
        <w:spacing w:before="40" w:after="80" w:line="269" w:lineRule="auto"/>
        <w:jc w:val="left"/>
      </w:pPr>
      <w:r>
        <w:rPr>
          <w:rFonts w:ascii="Calibri" w:hAnsi="Calibri" w:eastAsia="Calibri"/>
          <w:b/>
          <w:i w:val="0"/>
          <w:color w:val="1B3A4B"/>
          <w:sz w:val="24"/>
        </w:rPr>
        <w:t>How the two drug lines are built</w:t>
      </w:r>
    </w:p>
    <w:p>
      <w:pPr>
        <w:spacing w:before="20" w:after="60" w:line="264" w:lineRule="auto"/>
        <w:ind w:left="567" w:hanging="227"/>
      </w:pPr>
      <w:r>
        <w:rPr>
          <w:rFonts w:ascii="Calibri" w:hAnsi="Calibri" w:eastAsia="Calibri"/>
          <w:b/>
          <w:i w:val="0"/>
          <w:color w:val="0F5E56"/>
          <w:sz w:val="22"/>
        </w:rPr>
        <w:t xml:space="preserve">•  </w:t>
      </w:r>
      <w:r>
        <w:rPr>
          <w:rFonts w:ascii="Calibri" w:hAnsi="Calibri" w:eastAsia="Calibri"/>
          <w:b/>
          <w:i w:val="0"/>
          <w:color w:val="1A1A1A"/>
          <w:sz w:val="22"/>
        </w:rPr>
        <w:t xml:space="preserve">Administered line. </w:t>
      </w:r>
      <w:r>
        <w:rPr>
          <w:rFonts w:ascii="Calibri" w:hAnsi="Calibri" w:eastAsia="Calibri"/>
          <w:b w:val="0"/>
          <w:i w:val="0"/>
          <w:color w:val="1A1A1A"/>
          <w:sz w:val="22"/>
        </w:rPr>
        <w:t>Line 2 carries the administered units and does not carry JW. The payer reads this line as the dose the patient received.</w:t>
      </w:r>
    </w:p>
    <w:p>
      <w:pPr>
        <w:spacing w:before="20" w:after="60" w:line="264" w:lineRule="auto"/>
        <w:ind w:left="567" w:hanging="227"/>
      </w:pPr>
      <w:r>
        <w:rPr>
          <w:rFonts w:ascii="Calibri" w:hAnsi="Calibri" w:eastAsia="Calibri"/>
          <w:b/>
          <w:i w:val="0"/>
          <w:color w:val="0F5E56"/>
          <w:sz w:val="22"/>
        </w:rPr>
        <w:t xml:space="preserve">•  </w:t>
      </w:r>
      <w:r>
        <w:rPr>
          <w:rFonts w:ascii="Calibri" w:hAnsi="Calibri" w:eastAsia="Calibri"/>
          <w:b/>
          <w:i w:val="0"/>
          <w:color w:val="1A1A1A"/>
          <w:sz w:val="22"/>
        </w:rPr>
        <w:t xml:space="preserve">Discarded line. </w:t>
      </w:r>
      <w:r>
        <w:rPr>
          <w:rFonts w:ascii="Calibri" w:hAnsi="Calibri" w:eastAsia="Calibri"/>
          <w:b w:val="0"/>
          <w:i w:val="0"/>
          <w:color w:val="1A1A1A"/>
          <w:sz w:val="22"/>
        </w:rPr>
        <w:t>Line 3 repeats J1100, adds JW, and carries only the discarded units. The charge on this line is the charge for 2 units, not for the whole vial.</w:t>
      </w:r>
    </w:p>
    <w:p>
      <w:pPr>
        <w:spacing w:before="20" w:after="60" w:line="264" w:lineRule="auto"/>
        <w:ind w:left="567" w:hanging="227"/>
      </w:pPr>
      <w:r>
        <w:rPr>
          <w:rFonts w:ascii="Calibri" w:hAnsi="Calibri" w:eastAsia="Calibri"/>
          <w:b/>
          <w:i w:val="0"/>
          <w:color w:val="0F5E56"/>
          <w:sz w:val="22"/>
        </w:rPr>
        <w:t xml:space="preserve">•  </w:t>
      </w:r>
      <w:r>
        <w:rPr>
          <w:rFonts w:ascii="Calibri" w:hAnsi="Calibri" w:eastAsia="Calibri"/>
          <w:b/>
          <w:i w:val="0"/>
          <w:color w:val="1A1A1A"/>
          <w:sz w:val="22"/>
        </w:rPr>
        <w:t xml:space="preserve">NDC quantity follows the line. </w:t>
      </w:r>
      <w:r>
        <w:rPr>
          <w:rFonts w:ascii="Calibri" w:hAnsi="Calibri" w:eastAsia="Calibri"/>
          <w:b w:val="0"/>
          <w:i w:val="0"/>
          <w:color w:val="1A1A1A"/>
          <w:sz w:val="22"/>
        </w:rPr>
        <w:t>Each drug line has its own NDC quantity. The administered line is 0.5 mL. The discarded line is 0.5 mL. Putting ML1 on both lines would double the vial.</w:t>
      </w:r>
    </w:p>
    <w:p>
      <w:pPr>
        <w:spacing w:before="20" w:after="60" w:line="264" w:lineRule="auto"/>
        <w:ind w:left="567" w:hanging="227"/>
      </w:pPr>
      <w:r>
        <w:rPr>
          <w:rFonts w:ascii="Calibri" w:hAnsi="Calibri" w:eastAsia="Calibri"/>
          <w:b/>
          <w:i w:val="0"/>
          <w:color w:val="0F5E56"/>
          <w:sz w:val="22"/>
        </w:rPr>
        <w:t xml:space="preserve">•  </w:t>
      </w:r>
      <w:r>
        <w:rPr>
          <w:rFonts w:ascii="Calibri" w:hAnsi="Calibri" w:eastAsia="Calibri"/>
          <w:b/>
          <w:i w:val="0"/>
          <w:color w:val="1A1A1A"/>
          <w:sz w:val="22"/>
        </w:rPr>
        <w:t xml:space="preserve">No JZ. </w:t>
      </w:r>
      <w:r>
        <w:rPr>
          <w:rFonts w:ascii="Calibri" w:hAnsi="Calibri" w:eastAsia="Calibri"/>
          <w:b w:val="0"/>
          <w:i w:val="0"/>
          <w:color w:val="1A1A1A"/>
          <w:sz w:val="22"/>
        </w:rPr>
        <w:t>JZ is not used. JZ means no drug was discarded. A claim that has a JW line does not also need JZ.</w:t>
      </w:r>
    </w:p>
    <w:p>
      <w:pPr>
        <w:spacing w:before="20" w:after="60" w:line="264" w:lineRule="auto"/>
        <w:ind w:left="567" w:hanging="227"/>
      </w:pPr>
      <w:r>
        <w:rPr>
          <w:rFonts w:ascii="Calibri" w:hAnsi="Calibri" w:eastAsia="Calibri"/>
          <w:b/>
          <w:i w:val="0"/>
          <w:color w:val="0F5E56"/>
          <w:sz w:val="22"/>
        </w:rPr>
        <w:t xml:space="preserve">•  </w:t>
      </w:r>
      <w:r>
        <w:rPr>
          <w:rFonts w:ascii="Calibri" w:hAnsi="Calibri" w:eastAsia="Calibri"/>
          <w:b/>
          <w:i w:val="0"/>
          <w:color w:val="1A1A1A"/>
          <w:sz w:val="22"/>
        </w:rPr>
        <w:t xml:space="preserve">Documentation. </w:t>
      </w:r>
      <w:r>
        <w:rPr>
          <w:rFonts w:ascii="Calibri" w:hAnsi="Calibri" w:eastAsia="Calibri"/>
          <w:b w:val="0"/>
          <w:i w:val="0"/>
          <w:color w:val="1A1A1A"/>
          <w:sz w:val="22"/>
        </w:rPr>
        <w:t>The record shows the vial size, NDC, lot number, 2 mg administered, and 2 mg discarded. The discarded drug is not described as saved.</w:t>
      </w:r>
    </w:p>
    <w:tbl>
      <w:tblPr>
        <w:tblW w:type="dxa" w:w="10080"/>
        <w:jc w:val="center"/>
        <w:tblLayout w:type="fixed"/>
        <w:tblLook w:firstColumn="1" w:firstRow="1" w:lastColumn="0" w:lastRow="0" w:noHBand="0" w:noVBand="1" w:val="04A0"/>
      </w:tblPr>
      <w:tblGrid>
        <w:gridCol w:w="10080"/>
      </w:tblGrid>
      <w:tr>
        <w:tc>
          <w:tcPr>
            <w:tcW w:type="dxa" w:w="10080"/>
            <w:shd w:val="clear" w:color="auto" w:fill="E6F3F1"/>
            <w:tcBorders>
              <w:top w:val="single" w:sz="4" w:space="0" w:color="0F5E56"/>
              <w:left w:val="single" w:sz="4" w:space="0" w:color="0F5E56"/>
              <w:bottom w:val="single" w:sz="4" w:space="0" w:color="0F5E56"/>
              <w:right w:val="single" w:sz="4" w:space="0" w:color="0F5E56"/>
            </w:tcBorders>
            <w:tcMar>
              <w:top w:w="80" w:type="dxa"/>
              <w:left w:w="120" w:type="dxa"/>
              <w:bottom w:w="80" w:type="dxa"/>
              <w:right w:w="120" w:type="dxa"/>
            </w:tcMar>
          </w:tcPr>
          <w:p>
            <w:pPr>
              <w:spacing w:after="40"/>
            </w:pPr>
            <w:r/>
            <w:r>
              <w:rPr>
                <w:rFonts w:ascii="Calibri" w:hAnsi="Calibri" w:eastAsia="Calibri"/>
                <w:b/>
                <w:i w:val="0"/>
                <w:color w:val="1B3A4B"/>
                <w:sz w:val="22"/>
              </w:rPr>
              <w:t>Why the NDC and the units have to match each other</w:t>
            </w:r>
          </w:p>
          <w:p>
            <w:pPr>
              <w:spacing w:after="0" w:line="264" w:lineRule="auto"/>
            </w:pPr>
            <w:r>
              <w:rPr>
                <w:rFonts w:ascii="Calibri" w:hAnsi="Calibri" w:eastAsia="Calibri"/>
                <w:b w:val="0"/>
                <w:i w:val="0"/>
                <w:color w:val="1A1A1A"/>
                <w:sz w:val="21"/>
              </w:rPr>
              <w:t>J1100 alone does not tell the payer whether the vial was single-dose or multiple-dose. The NDC does. NDC 63323-0165-02 supports a JW line because that package is a single-dose vial. NDC 63323-0165-03 does not support a JW line because that package is multiple-dose. The units must also match the milligrams: 2 mg administered is 2 units, not 0.5 units. The 0.5 belongs in the NDC quantity, because 0.5 is the volume in milliliters.</w:t>
            </w:r>
          </w:p>
        </w:tc>
      </w:tr>
    </w:tbl>
    <w:p>
      <w:pPr>
        <w:spacing w:before="0" w:after="120"/>
      </w:pPr>
    </w:p>
    <w:p>
      <w:pPr>
        <w:keepNext/>
        <w:spacing w:before="320" w:after="120" w:line="252" w:lineRule="auto"/>
        <w:pBdr>
          <w:bottom w:val="single" w:sz="10" w:space="1" w:color="0F5E56"/>
        </w:pBdr>
      </w:pPr>
      <w:r>
        <w:rPr>
          <w:rFonts w:ascii="Calibri" w:hAnsi="Calibri" w:eastAsia="Calibri"/>
          <w:b/>
          <w:i w:val="0"/>
          <w:color w:val="1B3A4B"/>
          <w:sz w:val="32"/>
        </w:rPr>
        <w:t>7. Comparison of the three scenarios</w:t>
      </w:r>
    </w:p>
    <w:tbl>
      <w:tblPr>
        <w:tblStyle w:val="TableGrid"/>
        <w:tblW w:type="dxa" w:w="10080"/>
        <w:jc w:val="center"/>
        <w:tblLayout w:type="fixed"/>
        <w:tblLook w:firstColumn="1" w:firstRow="1" w:lastColumn="0" w:lastRow="0" w:noHBand="0" w:noVBand="1" w:val="04A0"/>
      </w:tblPr>
      <w:tblGrid>
        <w:gridCol w:w="2100"/>
        <w:gridCol w:w="2660"/>
        <w:gridCol w:w="2660"/>
        <w:gridCol w:w="2660"/>
      </w:tblGrid>
      <w:tr>
        <w:trPr>
          <w:cantSplit/>
        </w:trPr>
        <w:tc>
          <w:tcPr>
            <w:tcW w:type="dxa" w:w="2100"/>
            <w:shd w:val="clear" w:color="auto" w:fill="1B3A4B"/>
            <w:tcBorders>
              <w:top w:val="single" w:sz="4" w:space="0" w:color="1B3A4B"/>
              <w:left w:val="single" w:sz="4" w:space="0" w:color="1B3A4B"/>
              <w:bottom w:val="single" w:sz="4" w:space="0" w:color="1B3A4B"/>
              <w:right w:val="single" w:sz="4" w:space="0" w:color="1B3A4B"/>
            </w:tcBorders>
            <w:tcMar>
              <w:top w:w="50" w:type="dxa"/>
              <w:left w:w="60" w:type="dxa"/>
              <w:bottom w:w="50" w:type="dxa"/>
              <w:right w:w="60" w:type="dxa"/>
            </w:tcMar>
          </w:tcPr>
          <w:p>
            <w:pPr>
              <w:spacing w:after="0"/>
            </w:pPr>
            <w:r/>
            <w:r>
              <w:rPr>
                <w:rFonts w:ascii="Calibri" w:hAnsi="Calibri" w:eastAsia="Calibri"/>
                <w:b/>
                <w:i w:val="0"/>
                <w:color w:val="FFFFFF"/>
                <w:sz w:val="16"/>
              </w:rPr>
            </w:r>
          </w:p>
        </w:tc>
        <w:tc>
          <w:tcPr>
            <w:tcW w:type="dxa" w:w="2660"/>
            <w:shd w:val="clear" w:color="auto" w:fill="1B3A4B"/>
            <w:tcBorders>
              <w:top w:val="single" w:sz="4" w:space="0" w:color="1B3A4B"/>
              <w:left w:val="single" w:sz="4" w:space="0" w:color="1B3A4B"/>
              <w:bottom w:val="single" w:sz="4" w:space="0" w:color="1B3A4B"/>
              <w:right w:val="single" w:sz="4" w:space="0" w:color="1B3A4B"/>
            </w:tcBorders>
            <w:tcMar>
              <w:top w:w="50" w:type="dxa"/>
              <w:left w:w="60" w:type="dxa"/>
              <w:bottom w:w="50" w:type="dxa"/>
              <w:right w:w="60" w:type="dxa"/>
            </w:tcMar>
          </w:tcPr>
          <w:p>
            <w:pPr>
              <w:spacing w:after="0"/>
            </w:pPr>
            <w:r/>
            <w:r>
              <w:rPr>
                <w:rFonts w:ascii="Calibri" w:hAnsi="Calibri" w:eastAsia="Calibri"/>
                <w:b/>
                <w:i w:val="0"/>
                <w:color w:val="FFFFFF"/>
                <w:sz w:val="16"/>
              </w:rPr>
              <w:t>Scenario 1</w:t>
              <w:br/>
              <w:t>Full vial used</w:t>
            </w:r>
          </w:p>
        </w:tc>
        <w:tc>
          <w:tcPr>
            <w:tcW w:type="dxa" w:w="2660"/>
            <w:shd w:val="clear" w:color="auto" w:fill="1B3A4B"/>
            <w:tcBorders>
              <w:top w:val="single" w:sz="4" w:space="0" w:color="1B3A4B"/>
              <w:left w:val="single" w:sz="4" w:space="0" w:color="1B3A4B"/>
              <w:bottom w:val="single" w:sz="4" w:space="0" w:color="1B3A4B"/>
              <w:right w:val="single" w:sz="4" w:space="0" w:color="1B3A4B"/>
            </w:tcBorders>
            <w:tcMar>
              <w:top w:w="50" w:type="dxa"/>
              <w:left w:w="60" w:type="dxa"/>
              <w:bottom w:w="50" w:type="dxa"/>
              <w:right w:w="60" w:type="dxa"/>
            </w:tcMar>
          </w:tcPr>
          <w:p>
            <w:pPr>
              <w:spacing w:after="0"/>
            </w:pPr>
            <w:r/>
            <w:r>
              <w:rPr>
                <w:rFonts w:ascii="Calibri" w:hAnsi="Calibri" w:eastAsia="Calibri"/>
                <w:b/>
                <w:i w:val="0"/>
                <w:color w:val="FFFFFF"/>
                <w:sz w:val="16"/>
              </w:rPr>
              <w:t>Scenario 2</w:t>
              <w:br/>
              <w:t>Half kept</w:t>
            </w:r>
          </w:p>
        </w:tc>
        <w:tc>
          <w:tcPr>
            <w:tcW w:type="dxa" w:w="2660"/>
            <w:shd w:val="clear" w:color="auto" w:fill="1B3A4B"/>
            <w:tcBorders>
              <w:top w:val="single" w:sz="4" w:space="0" w:color="1B3A4B"/>
              <w:left w:val="single" w:sz="4" w:space="0" w:color="1B3A4B"/>
              <w:bottom w:val="single" w:sz="4" w:space="0" w:color="1B3A4B"/>
              <w:right w:val="single" w:sz="4" w:space="0" w:color="1B3A4B"/>
            </w:tcBorders>
            <w:tcMar>
              <w:top w:w="50" w:type="dxa"/>
              <w:left w:w="60" w:type="dxa"/>
              <w:bottom w:w="50" w:type="dxa"/>
              <w:right w:w="60" w:type="dxa"/>
            </w:tcMar>
          </w:tcPr>
          <w:p>
            <w:pPr>
              <w:spacing w:after="0"/>
            </w:pPr>
            <w:r/>
            <w:r>
              <w:rPr>
                <w:rFonts w:ascii="Calibri" w:hAnsi="Calibri" w:eastAsia="Calibri"/>
                <w:b/>
                <w:i w:val="0"/>
                <w:color w:val="FFFFFF"/>
                <w:sz w:val="16"/>
              </w:rPr>
              <w:t>Scenario 3</w:t>
              <w:br/>
              <w:t>Half discarded</w:t>
            </w:r>
          </w:p>
        </w:tc>
      </w:tr>
      <w:tr>
        <w:trPr>
          <w:cantSplit/>
        </w:trPr>
        <w:tc>
          <w:tcPr>
            <w:tcW w:type="dxa" w:w="210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6"/>
              </w:rPr>
              <w:t>Container</w:t>
            </w:r>
          </w:p>
        </w:tc>
        <w:tc>
          <w:tcPr>
            <w:tcW w:type="dxa" w:w="266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6"/>
              </w:rPr>
              <w:t>Single-dose</w:t>
              <w:br/>
              <w:t>4 mg / 1 mL</w:t>
            </w:r>
          </w:p>
        </w:tc>
        <w:tc>
          <w:tcPr>
            <w:tcW w:type="dxa" w:w="266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6"/>
              </w:rPr>
              <w:t>Multiple-dose</w:t>
              <w:br/>
              <w:t>20 mg / 5 mL</w:t>
            </w:r>
          </w:p>
        </w:tc>
        <w:tc>
          <w:tcPr>
            <w:tcW w:type="dxa" w:w="266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6"/>
              </w:rPr>
              <w:t>Single-dose</w:t>
              <w:br/>
              <w:t>4 mg / 1 mL</w:t>
            </w:r>
          </w:p>
        </w:tc>
      </w:tr>
      <w:tr>
        <w:trPr>
          <w:cantSplit/>
        </w:trPr>
        <w:tc>
          <w:tcPr>
            <w:tcW w:type="dxa" w:w="210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6"/>
              </w:rPr>
              <w:t>11-digit NDC</w:t>
            </w:r>
          </w:p>
        </w:tc>
        <w:tc>
          <w:tcPr>
            <w:tcW w:type="dxa" w:w="266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6"/>
              </w:rPr>
              <w:t>63323-0165-02</w:t>
            </w:r>
          </w:p>
        </w:tc>
        <w:tc>
          <w:tcPr>
            <w:tcW w:type="dxa" w:w="266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6"/>
              </w:rPr>
              <w:t>63323-0165-03</w:t>
            </w:r>
          </w:p>
        </w:tc>
        <w:tc>
          <w:tcPr>
            <w:tcW w:type="dxa" w:w="266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6"/>
              </w:rPr>
              <w:t>63323-0165-02</w:t>
            </w:r>
          </w:p>
        </w:tc>
      </w:tr>
      <w:tr>
        <w:trPr>
          <w:cantSplit/>
        </w:trPr>
        <w:tc>
          <w:tcPr>
            <w:tcW w:type="dxa" w:w="210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6"/>
              </w:rPr>
              <w:t>Given</w:t>
            </w:r>
          </w:p>
        </w:tc>
        <w:tc>
          <w:tcPr>
            <w:tcW w:type="dxa" w:w="266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6"/>
              </w:rPr>
              <w:t>4 mg (1 mL)</w:t>
            </w:r>
          </w:p>
        </w:tc>
        <w:tc>
          <w:tcPr>
            <w:tcW w:type="dxa" w:w="266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6"/>
              </w:rPr>
              <w:t>10 mg (2.5 mL)</w:t>
            </w:r>
          </w:p>
        </w:tc>
        <w:tc>
          <w:tcPr>
            <w:tcW w:type="dxa" w:w="266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6"/>
              </w:rPr>
              <w:t>2 mg (0.5 mL)</w:t>
            </w:r>
          </w:p>
        </w:tc>
      </w:tr>
      <w:tr>
        <w:trPr>
          <w:cantSplit/>
        </w:trPr>
        <w:tc>
          <w:tcPr>
            <w:tcW w:type="dxa" w:w="210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6"/>
              </w:rPr>
              <w:t>Not given</w:t>
            </w:r>
          </w:p>
        </w:tc>
        <w:tc>
          <w:tcPr>
            <w:tcW w:type="dxa" w:w="266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6"/>
              </w:rPr>
              <w:t>Nothing</w:t>
            </w:r>
          </w:p>
        </w:tc>
        <w:tc>
          <w:tcPr>
            <w:tcW w:type="dxa" w:w="266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6"/>
              </w:rPr>
              <w:t>10 mg kept for another patient</w:t>
            </w:r>
          </w:p>
        </w:tc>
        <w:tc>
          <w:tcPr>
            <w:tcW w:type="dxa" w:w="266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6"/>
              </w:rPr>
              <w:t>2 mg discarded</w:t>
            </w:r>
          </w:p>
        </w:tc>
      </w:tr>
      <w:tr>
        <w:trPr>
          <w:cantSplit/>
        </w:trPr>
        <w:tc>
          <w:tcPr>
            <w:tcW w:type="dxa" w:w="210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6"/>
              </w:rPr>
              <w:t>J1100 units on this claim</w:t>
            </w:r>
          </w:p>
        </w:tc>
        <w:tc>
          <w:tcPr>
            <w:tcW w:type="dxa" w:w="266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6"/>
              </w:rPr>
              <w:t>4</w:t>
            </w:r>
          </w:p>
        </w:tc>
        <w:tc>
          <w:tcPr>
            <w:tcW w:type="dxa" w:w="266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6"/>
              </w:rPr>
              <w:t>10</w:t>
            </w:r>
          </w:p>
        </w:tc>
        <w:tc>
          <w:tcPr>
            <w:tcW w:type="dxa" w:w="266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6"/>
              </w:rPr>
              <w:t>2 given + 2 with JW</w:t>
            </w:r>
          </w:p>
        </w:tc>
      </w:tr>
      <w:tr>
        <w:trPr>
          <w:cantSplit/>
        </w:trPr>
        <w:tc>
          <w:tcPr>
            <w:tcW w:type="dxa" w:w="210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6"/>
              </w:rPr>
              <w:t>NDC quantity on this claim</w:t>
            </w:r>
          </w:p>
        </w:tc>
        <w:tc>
          <w:tcPr>
            <w:tcW w:type="dxa" w:w="266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6"/>
              </w:rPr>
              <w:t>1 mL</w:t>
            </w:r>
          </w:p>
        </w:tc>
        <w:tc>
          <w:tcPr>
            <w:tcW w:type="dxa" w:w="266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6"/>
              </w:rPr>
              <w:t>2.5 mL</w:t>
            </w:r>
          </w:p>
        </w:tc>
        <w:tc>
          <w:tcPr>
            <w:tcW w:type="dxa" w:w="266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6"/>
              </w:rPr>
              <w:t>0.5 mL and 0.5 mL</w:t>
            </w:r>
          </w:p>
        </w:tc>
      </w:tr>
      <w:tr>
        <w:trPr>
          <w:cantSplit/>
        </w:trPr>
        <w:tc>
          <w:tcPr>
            <w:tcW w:type="dxa" w:w="210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6"/>
              </w:rPr>
              <w:t>Modifier</w:t>
            </w:r>
          </w:p>
        </w:tc>
        <w:tc>
          <w:tcPr>
            <w:tcW w:type="dxa" w:w="266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6"/>
              </w:rPr>
              <w:t>JZ</w:t>
            </w:r>
          </w:p>
        </w:tc>
        <w:tc>
          <w:tcPr>
            <w:tcW w:type="dxa" w:w="266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6"/>
              </w:rPr>
              <w:t>None</w:t>
            </w:r>
          </w:p>
        </w:tc>
        <w:tc>
          <w:tcPr>
            <w:tcW w:type="dxa" w:w="266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6"/>
              </w:rPr>
              <w:t>JW on the discarded line only</w:t>
            </w:r>
          </w:p>
        </w:tc>
      </w:tr>
      <w:tr>
        <w:trPr>
          <w:cantSplit/>
        </w:trPr>
        <w:tc>
          <w:tcPr>
            <w:tcW w:type="dxa" w:w="210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6"/>
              </w:rPr>
              <w:t>CPT 96374</w:t>
            </w:r>
          </w:p>
        </w:tc>
        <w:tc>
          <w:tcPr>
            <w:tcW w:type="dxa" w:w="266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6"/>
              </w:rPr>
              <w:t>1 unit</w:t>
            </w:r>
          </w:p>
        </w:tc>
        <w:tc>
          <w:tcPr>
            <w:tcW w:type="dxa" w:w="266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6"/>
              </w:rPr>
              <w:t>1 unit for this patient</w:t>
            </w:r>
          </w:p>
        </w:tc>
        <w:tc>
          <w:tcPr>
            <w:tcW w:type="dxa" w:w="2660"/>
            <w:shd w:val="clear" w:color="auto" w:fill="F4F7F8"/>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6"/>
              </w:rPr>
              <w:t>1 unit</w:t>
            </w:r>
          </w:p>
        </w:tc>
      </w:tr>
      <w:tr>
        <w:trPr>
          <w:cantSplit/>
        </w:trPr>
        <w:tc>
          <w:tcPr>
            <w:tcW w:type="dxa" w:w="210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6"/>
              </w:rPr>
              <w:t>May the rest be billed now?</w:t>
            </w:r>
          </w:p>
        </w:tc>
        <w:tc>
          <w:tcPr>
            <w:tcW w:type="dxa" w:w="266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6"/>
              </w:rPr>
              <w:t>There is no rest</w:t>
            </w:r>
          </w:p>
        </w:tc>
        <w:tc>
          <w:tcPr>
            <w:tcW w:type="dxa" w:w="266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6"/>
              </w:rPr>
              <w:t>No. Bill it when the next patient receives it.</w:t>
            </w:r>
          </w:p>
        </w:tc>
        <w:tc>
          <w:tcPr>
            <w:tcW w:type="dxa" w:w="2660"/>
            <w:shd w:val="clear" w:color="auto" w:fill="FFFFFF"/>
            <w:tcBorders>
              <w:top w:val="single" w:sz="4" w:space="0" w:color="D5DDE2"/>
              <w:left w:val="single" w:sz="4" w:space="0" w:color="D5DDE2"/>
              <w:bottom w:val="single" w:sz="4" w:space="0" w:color="D5DDE2"/>
              <w:right w:val="single" w:sz="4" w:space="0" w:color="D5DDE2"/>
            </w:tcBorders>
            <w:tcMar>
              <w:top w:w="46" w:type="dxa"/>
              <w:left w:w="60" w:type="dxa"/>
              <w:bottom w:w="46" w:type="dxa"/>
              <w:right w:w="60" w:type="dxa"/>
            </w:tcMar>
          </w:tcPr>
          <w:p>
            <w:pPr>
              <w:spacing w:after="0" w:line="252" w:lineRule="auto"/>
            </w:pPr>
            <w:r/>
            <w:r>
              <w:rPr>
                <w:rFonts w:ascii="Calibri" w:hAnsi="Calibri" w:eastAsia="Calibri"/>
                <w:b w:val="0"/>
                <w:i w:val="0"/>
                <w:color w:val="1A1A1A"/>
                <w:sz w:val="16"/>
              </w:rPr>
              <w:t>Yes. Bill it on the JW line of this claim.</w:t>
            </w:r>
          </w:p>
        </w:tc>
      </w:tr>
    </w:tbl>
    <w:p>
      <w:pPr>
        <w:spacing w:before="40" w:after="120"/>
      </w:pPr>
    </w:p>
    <w:p>
      <w:pPr>
        <w:keepNext/>
        <w:spacing w:before="320" w:after="120" w:line="252" w:lineRule="auto"/>
        <w:pBdr>
          <w:bottom w:val="single" w:sz="10" w:space="1" w:color="0F5E56"/>
        </w:pBdr>
      </w:pPr>
      <w:r>
        <w:rPr>
          <w:rFonts w:ascii="Calibri" w:hAnsi="Calibri" w:eastAsia="Calibri"/>
          <w:b/>
          <w:i w:val="0"/>
          <w:color w:val="1B3A4B"/>
          <w:sz w:val="32"/>
        </w:rPr>
        <w:t>8. Errors that would make these claims wrong</w:t>
      </w:r>
    </w:p>
    <w:p>
      <w:pPr>
        <w:spacing w:before="20" w:after="60" w:line="264" w:lineRule="auto"/>
        <w:ind w:left="567" w:hanging="227"/>
      </w:pPr>
      <w:r>
        <w:rPr>
          <w:rFonts w:ascii="Calibri" w:hAnsi="Calibri" w:eastAsia="Calibri"/>
          <w:b/>
          <w:i w:val="0"/>
          <w:color w:val="0F5E56"/>
          <w:sz w:val="22"/>
        </w:rPr>
        <w:t xml:space="preserve">•  </w:t>
      </w:r>
      <w:r>
        <w:rPr>
          <w:rFonts w:ascii="Calibri" w:hAnsi="Calibri" w:eastAsia="Calibri"/>
          <w:b/>
          <w:i w:val="0"/>
          <w:color w:val="1A1A1A"/>
          <w:sz w:val="22"/>
        </w:rPr>
        <w:t xml:space="preserve">Confusing one vial with one HCPCS unit. </w:t>
      </w:r>
      <w:r>
        <w:rPr>
          <w:rFonts w:ascii="Calibri" w:hAnsi="Calibri" w:eastAsia="Calibri"/>
          <w:b w:val="0"/>
          <w:i w:val="0"/>
          <w:color w:val="1A1A1A"/>
          <w:sz w:val="22"/>
        </w:rPr>
        <w:t>Scenario 1 billed as J1100 × 1 because the NDC quantity is 1 mL. The descriptor is 1 mg, so 4 mg is 4 units. The NDC quantity remains 1 mL.</w:t>
      </w:r>
    </w:p>
    <w:p>
      <w:pPr>
        <w:spacing w:before="20" w:after="60" w:line="264" w:lineRule="auto"/>
        <w:ind w:left="567" w:hanging="227"/>
      </w:pPr>
      <w:r>
        <w:rPr>
          <w:rFonts w:ascii="Calibri" w:hAnsi="Calibri" w:eastAsia="Calibri"/>
          <w:b/>
          <w:i w:val="0"/>
          <w:color w:val="0F5E56"/>
          <w:sz w:val="22"/>
        </w:rPr>
        <w:t xml:space="preserve">•  </w:t>
      </w:r>
      <w:r>
        <w:rPr>
          <w:rFonts w:ascii="Calibri" w:hAnsi="Calibri" w:eastAsia="Calibri"/>
          <w:b/>
          <w:i w:val="0"/>
          <w:color w:val="1A1A1A"/>
          <w:sz w:val="22"/>
        </w:rPr>
        <w:t xml:space="preserve">Adding a waste line when nothing was wasted. </w:t>
      </w:r>
      <w:r>
        <w:rPr>
          <w:rFonts w:ascii="Calibri" w:hAnsi="Calibri" w:eastAsia="Calibri"/>
          <w:b w:val="0"/>
          <w:i w:val="0"/>
          <w:color w:val="1A1A1A"/>
          <w:sz w:val="22"/>
        </w:rPr>
        <w:t>Scenario 1 reported with JW and JZ together, or with a second line of zero units. JZ alone is the correct no-waste report.</w:t>
      </w:r>
    </w:p>
    <w:p>
      <w:pPr>
        <w:spacing w:before="20" w:after="60" w:line="264" w:lineRule="auto"/>
        <w:ind w:left="567" w:hanging="227"/>
      </w:pPr>
      <w:r>
        <w:rPr>
          <w:rFonts w:ascii="Calibri" w:hAnsi="Calibri" w:eastAsia="Calibri"/>
          <w:b/>
          <w:i w:val="0"/>
          <w:color w:val="0F5E56"/>
          <w:sz w:val="22"/>
        </w:rPr>
        <w:t xml:space="preserve">•  </w:t>
      </w:r>
      <w:r>
        <w:rPr>
          <w:rFonts w:ascii="Calibri" w:hAnsi="Calibri" w:eastAsia="Calibri"/>
          <w:b/>
          <w:i w:val="0"/>
          <w:color w:val="1A1A1A"/>
          <w:sz w:val="22"/>
        </w:rPr>
        <w:t xml:space="preserve">Billing the saved half. </w:t>
      </w:r>
      <w:r>
        <w:rPr>
          <w:rFonts w:ascii="Calibri" w:hAnsi="Calibri" w:eastAsia="Calibri"/>
          <w:b w:val="0"/>
          <w:i w:val="0"/>
          <w:color w:val="1A1A1A"/>
          <w:sz w:val="22"/>
        </w:rPr>
        <w:t>Scenario 2 billed as J1100 × 20, or billed with JW on the unused 10 mg. The kept drug was not administered and was not discarded.</w:t>
      </w:r>
    </w:p>
    <w:p>
      <w:pPr>
        <w:spacing w:before="20" w:after="60" w:line="264" w:lineRule="auto"/>
        <w:ind w:left="567" w:hanging="227"/>
      </w:pPr>
      <w:r>
        <w:rPr>
          <w:rFonts w:ascii="Calibri" w:hAnsi="Calibri" w:eastAsia="Calibri"/>
          <w:b/>
          <w:i w:val="0"/>
          <w:color w:val="0F5E56"/>
          <w:sz w:val="22"/>
        </w:rPr>
        <w:t xml:space="preserve">•  </w:t>
      </w:r>
      <w:r>
        <w:rPr>
          <w:rFonts w:ascii="Calibri" w:hAnsi="Calibri" w:eastAsia="Calibri"/>
          <w:b/>
          <w:i w:val="0"/>
          <w:color w:val="1A1A1A"/>
          <w:sz w:val="22"/>
        </w:rPr>
        <w:t xml:space="preserve">Using the other vial’s NDC. </w:t>
      </w:r>
      <w:r>
        <w:rPr>
          <w:rFonts w:ascii="Calibri" w:hAnsi="Calibri" w:eastAsia="Calibri"/>
          <w:b w:val="0"/>
          <w:i w:val="0"/>
          <w:color w:val="1A1A1A"/>
          <w:sz w:val="22"/>
        </w:rPr>
        <w:t>Scenario 2 reported with NDC 63323-0165-02. That NDC is the single-dose vial and does not match the container that was punctured.</w:t>
      </w:r>
    </w:p>
    <w:p>
      <w:pPr>
        <w:spacing w:before="20" w:after="60" w:line="264" w:lineRule="auto"/>
        <w:ind w:left="567" w:hanging="227"/>
      </w:pPr>
      <w:r>
        <w:rPr>
          <w:rFonts w:ascii="Calibri" w:hAnsi="Calibri" w:eastAsia="Calibri"/>
          <w:b/>
          <w:i w:val="0"/>
          <w:color w:val="0F5E56"/>
          <w:sz w:val="22"/>
        </w:rPr>
        <w:t xml:space="preserve">•  </w:t>
      </w:r>
      <w:r>
        <w:rPr>
          <w:rFonts w:ascii="Calibri" w:hAnsi="Calibri" w:eastAsia="Calibri"/>
          <w:b/>
          <w:i w:val="0"/>
          <w:color w:val="1A1A1A"/>
          <w:sz w:val="22"/>
        </w:rPr>
        <w:t xml:space="preserve">Putting the whole vial on the JW line. </w:t>
      </w:r>
      <w:r>
        <w:rPr>
          <w:rFonts w:ascii="Calibri" w:hAnsi="Calibri" w:eastAsia="Calibri"/>
          <w:b w:val="0"/>
          <w:i w:val="0"/>
          <w:color w:val="1A1A1A"/>
          <w:sz w:val="22"/>
        </w:rPr>
        <w:t>Scenario 3 reported as one line of J1100 × 4 with JW. JW on a line that includes the administered dose does not separate the waste. The administered 2 units and the discarded 2 units need two lines.</w:t>
      </w:r>
    </w:p>
    <w:p>
      <w:pPr>
        <w:spacing w:before="20" w:after="60" w:line="264" w:lineRule="auto"/>
        <w:ind w:left="567" w:hanging="227"/>
      </w:pPr>
      <w:r>
        <w:rPr>
          <w:rFonts w:ascii="Calibri" w:hAnsi="Calibri" w:eastAsia="Calibri"/>
          <w:b/>
          <w:i w:val="0"/>
          <w:color w:val="0F5E56"/>
          <w:sz w:val="22"/>
        </w:rPr>
        <w:t xml:space="preserve">•  </w:t>
      </w:r>
      <w:r>
        <w:rPr>
          <w:rFonts w:ascii="Calibri" w:hAnsi="Calibri" w:eastAsia="Calibri"/>
          <w:b/>
          <w:i w:val="0"/>
          <w:color w:val="1A1A1A"/>
          <w:sz w:val="22"/>
        </w:rPr>
        <w:t xml:space="preserve">Discarding from the wrong package type. </w:t>
      </w:r>
      <w:r>
        <w:rPr>
          <w:rFonts w:ascii="Calibri" w:hAnsi="Calibri" w:eastAsia="Calibri"/>
          <w:b w:val="0"/>
          <w:i w:val="0"/>
          <w:color w:val="1A1A1A"/>
          <w:sz w:val="22"/>
        </w:rPr>
        <w:t>Scenario 3 reported with the multiple-dose NDC and modifier JW. JW does not apply to a multiple-dose container.</w:t>
      </w:r>
    </w:p>
    <w:p>
      <w:pPr>
        <w:spacing w:before="20" w:after="60" w:line="264" w:lineRule="auto"/>
        <w:ind w:left="567" w:hanging="227"/>
      </w:pPr>
      <w:r>
        <w:rPr>
          <w:rFonts w:ascii="Calibri" w:hAnsi="Calibri" w:eastAsia="Calibri"/>
          <w:b/>
          <w:i w:val="0"/>
          <w:color w:val="0F5E56"/>
          <w:sz w:val="22"/>
        </w:rPr>
        <w:t xml:space="preserve">•  </w:t>
      </w:r>
      <w:r>
        <w:rPr>
          <w:rFonts w:ascii="Calibri" w:hAnsi="Calibri" w:eastAsia="Calibri"/>
          <w:b/>
          <w:i w:val="0"/>
          <w:color w:val="1A1A1A"/>
          <w:sz w:val="22"/>
        </w:rPr>
        <w:t xml:space="preserve">Billing overfill. </w:t>
      </w:r>
      <w:r>
        <w:rPr>
          <w:rFonts w:ascii="Calibri" w:hAnsi="Calibri" w:eastAsia="Calibri"/>
          <w:b w:val="0"/>
          <w:i w:val="0"/>
          <w:color w:val="1A1A1A"/>
          <w:sz w:val="22"/>
        </w:rPr>
        <w:t>Any amount greater than the labeled 4 mg or 20 mg, including extra volume from overfill. The discard calculation starts from the labeled amount.</w:t>
      </w:r>
    </w:p>
    <w:p>
      <w:pPr>
        <w:spacing w:before="20" w:after="60" w:line="264" w:lineRule="auto"/>
        <w:ind w:left="567" w:hanging="227"/>
      </w:pPr>
      <w:r>
        <w:rPr>
          <w:rFonts w:ascii="Calibri" w:hAnsi="Calibri" w:eastAsia="Calibri"/>
          <w:b/>
          <w:i w:val="0"/>
          <w:color w:val="0F5E56"/>
          <w:sz w:val="22"/>
        </w:rPr>
        <w:t xml:space="preserve">•  </w:t>
      </w:r>
      <w:r>
        <w:rPr>
          <w:rFonts w:ascii="Calibri" w:hAnsi="Calibri" w:eastAsia="Calibri"/>
          <w:b/>
          <w:i w:val="0"/>
          <w:color w:val="1A1A1A"/>
          <w:sz w:val="22"/>
        </w:rPr>
        <w:t xml:space="preserve">Splitting the administration code. </w:t>
      </w:r>
      <w:r>
        <w:rPr>
          <w:rFonts w:ascii="Calibri" w:hAnsi="Calibri" w:eastAsia="Calibri"/>
          <w:b w:val="0"/>
          <w:i w:val="0"/>
          <w:color w:val="1A1A1A"/>
          <w:sz w:val="22"/>
        </w:rPr>
        <w:t>CPT 96374 reported twice because the drug was split into two lines. Administration is one service. Only the drug units are split.</w:t>
      </w:r>
    </w:p>
    <w:p>
      <w:pPr>
        <w:keepNext/>
        <w:spacing w:before="320" w:after="120" w:line="252" w:lineRule="auto"/>
        <w:pBdr>
          <w:bottom w:val="single" w:sz="10" w:space="1" w:color="0F5E56"/>
        </w:pBdr>
      </w:pPr>
      <w:r>
        <w:rPr>
          <w:rFonts w:ascii="Calibri" w:hAnsi="Calibri" w:eastAsia="Calibri"/>
          <w:b/>
          <w:i w:val="0"/>
          <w:color w:val="1B3A4B"/>
          <w:sz w:val="32"/>
        </w:rPr>
        <w:t>9. Conclusion</w:t>
      </w:r>
    </w:p>
    <w:p>
      <w:pPr>
        <w:spacing w:before="0" w:after="160" w:line="269" w:lineRule="auto"/>
        <w:jc w:val="both"/>
      </w:pPr>
      <w:r>
        <w:rPr>
          <w:rFonts w:ascii="Calibri" w:hAnsi="Calibri" w:eastAsia="Calibri"/>
          <w:b w:val="0"/>
          <w:i w:val="0"/>
          <w:color w:val="1A1A1A"/>
          <w:sz w:val="22"/>
        </w:rPr>
        <w:t>The full vial, the saved half, and the discarded half are three different billing facts. In Scenario 1 the single-dose NDC 63323-0165-02 is reported with quantity 1 mL, J1100 is reported with 4 units, and JZ states that nothing was discarded. In Scenario 2 the multiple-dose NDC 63323-0165-03 is reported with quantity 2.5 mL and J1100 with 10 units. The other 10 mg is not on that claim; it is billed to the next patient only when it is given. In Scenario 3 the same single-dose NDC is used, J1100 is split into 2 units administered and 2 units with JW, and each line carries 0.5 mL. CPT 96374 is one unit in every scenario.</w:t>
      </w:r>
    </w:p>
    <w:p>
      <w:pPr>
        <w:spacing w:before="0" w:after="160" w:line="269" w:lineRule="auto"/>
        <w:jc w:val="both"/>
      </w:pPr>
      <w:r>
        <w:rPr>
          <w:rFonts w:ascii="Calibri" w:hAnsi="Calibri" w:eastAsia="Calibri"/>
          <w:b w:val="0"/>
          <w:i w:val="0"/>
          <w:color w:val="1A1A1A"/>
          <w:sz w:val="22"/>
        </w:rPr>
        <w:t>The NDC selects the container. The NDC quantity states the milliliters that belong on that line. The HCPCS units state the milligrams, using 1 mg as one unit of J1100. The modifier states whether a single-dose remainder was discarded. Using the quantity from one of these fields in place of another is what makes the claim wrong.</w:t>
      </w:r>
    </w:p>
    <w:p>
      <w:pPr>
        <w:keepNext/>
        <w:spacing w:before="320" w:after="120" w:line="252" w:lineRule="auto"/>
        <w:pBdr>
          <w:bottom w:val="single" w:sz="10" w:space="1" w:color="0F5E56"/>
        </w:pBdr>
      </w:pPr>
      <w:r>
        <w:rPr>
          <w:rFonts w:ascii="Calibri" w:hAnsi="Calibri" w:eastAsia="Calibri"/>
          <w:b/>
          <w:i w:val="0"/>
          <w:color w:val="1B3A4B"/>
          <w:sz w:val="32"/>
        </w:rPr>
        <w:t>References</w:t>
      </w:r>
    </w:p>
    <w:p>
      <w:pPr>
        <w:spacing w:after="120" w:line="264" w:lineRule="auto"/>
        <w:ind w:left="425" w:hanging="425"/>
      </w:pPr>
      <w:r>
        <w:rPr>
          <w:rFonts w:ascii="Calibri" w:hAnsi="Calibri" w:eastAsia="Calibri"/>
          <w:b w:val="0"/>
          <w:i w:val="0"/>
          <w:color w:val="1A1A1A"/>
          <w:sz w:val="20"/>
        </w:rPr>
        <w:t>1.  Centers for Medicare &amp; Medicaid Services. Medicare Program Discarded Drugs and Biologicals – JW Modifier and JZ Modifier Policy, Frequently Asked Questions. JW reports discarded drug from a single-dose container on a separate claim line. JZ reports that no amount was discarded. Neither modifier is used for a multiple-dose container. https://www.cms.gov/Medicare/Medicare-Fee-for-Service-Payment/HospitalOutpatientPPS/Downloads/JW-Modifier-FAQs.pdf</w:t>
      </w:r>
    </w:p>
    <w:p>
      <w:pPr>
        <w:spacing w:after="120" w:line="264" w:lineRule="auto"/>
        <w:ind w:left="425" w:hanging="425"/>
      </w:pPr>
      <w:r>
        <w:rPr>
          <w:rFonts w:ascii="Calibri" w:hAnsi="Calibri" w:eastAsia="Calibri"/>
          <w:b w:val="0"/>
          <w:i w:val="0"/>
          <w:color w:val="1A1A1A"/>
          <w:sz w:val="20"/>
        </w:rPr>
        <w:t>2.  DailyMed. Dexamethasone Sodium Phosphate injection, solution, Fresenius Kabi USA. Single-dose vial NDC 63323-165-02 is 4 mg per mL, 1 mL fill. Multiple-dose vial NDC 63323-165-03 is 20 mg per 5 mL (4 mg per mL). https://dailymed.nlm.nih.gov/dailymed/drugInfo.cfm?setid=2b626a48-c7aa-4443-9164-a08ff069ccd1</w:t>
      </w:r>
    </w:p>
    <w:p>
      <w:pPr>
        <w:spacing w:after="120" w:line="264" w:lineRule="auto"/>
        <w:ind w:left="425" w:hanging="425"/>
      </w:pPr>
      <w:r>
        <w:rPr>
          <w:rFonts w:ascii="Calibri" w:hAnsi="Calibri" w:eastAsia="Calibri"/>
          <w:b w:val="0"/>
          <w:i w:val="0"/>
          <w:color w:val="1A1A1A"/>
          <w:sz w:val="20"/>
        </w:rPr>
        <w:t>3.  HCPCS J1100. Injection, dexamethasone sodium phosphate, 1 mg. The billing unit is 1 mg.</w:t>
      </w:r>
    </w:p>
    <w:p>
      <w:pPr>
        <w:spacing w:after="120" w:line="264" w:lineRule="auto"/>
        <w:ind w:left="425" w:hanging="425"/>
      </w:pPr>
      <w:r>
        <w:rPr>
          <w:rFonts w:ascii="Calibri" w:hAnsi="Calibri" w:eastAsia="Calibri"/>
          <w:b w:val="0"/>
          <w:i w:val="0"/>
          <w:color w:val="1A1A1A"/>
          <w:sz w:val="20"/>
        </w:rPr>
        <w:t>4.  CPT 96374. Intravenous push of a single or initial therapeutic, prophylactic, or diagnostic drug. CPT 96372 is the intramuscular or subcutaneous alternative. The CPT code set is maintained by the American Medical Association.</w:t>
      </w:r>
    </w:p>
    <w:p>
      <w:pPr>
        <w:spacing w:after="120" w:line="264" w:lineRule="auto"/>
        <w:ind w:left="425" w:hanging="425"/>
      </w:pPr>
      <w:r>
        <w:rPr>
          <w:rFonts w:ascii="Calibri" w:hAnsi="Calibri" w:eastAsia="Calibri"/>
          <w:b w:val="0"/>
          <w:i w:val="0"/>
          <w:color w:val="1A1A1A"/>
          <w:sz w:val="20"/>
        </w:rPr>
        <w:t>5.  National Uniform Claim Committee. CMS-1500 Item 24 shaded area: qualifier N4, the 11-digit NDC, the unit of measure (ML for these vials), and the numeric quantity. Electronic claims report the same data in 837P Loop 2410.</w:t>
      </w:r>
    </w:p>
    <w:p>
      <w:pPr>
        <w:spacing w:before="0" w:after="40" w:line="269" w:lineRule="auto"/>
        <w:jc w:val="left"/>
      </w:pPr>
    </w:p>
    <w:p>
      <w:pPr>
        <w:spacing w:before="160" w:after="160" w:line="269" w:lineRule="auto"/>
        <w:jc w:val="center"/>
      </w:pPr>
      <w:r>
        <w:rPr>
          <w:rFonts w:ascii="Calibri" w:hAnsi="Calibri" w:eastAsia="Calibri"/>
          <w:b w:val="0"/>
          <w:i/>
          <w:color w:val="4A555A"/>
          <w:sz w:val="20"/>
        </w:rPr>
        <w:t>End of assignment</w:t>
      </w:r>
    </w:p>
    <w:sectPr w:rsidR="00FC693F" w:rsidRPr="0006063C" w:rsidSect="00034616">
      <w:headerReference w:type="default" r:id="rId9"/>
      <w:footerReference w:type="default" r:id="rId10"/>
      <w:pgSz w:w="12240" w:h="15840"/>
      <w:pgMar w:top="1224" w:right="1080" w:bottom="1080" w:left="108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Calibri" w:hAnsi="Calibri" w:eastAsia="Calibri"/>
        <w:b w:val="0"/>
        <w:i w:val="0"/>
        <w:color w:val="4A555A"/>
        <w:sz w:val="18"/>
      </w:rPr>
      <w:t xml:space="preserve">Page </w:t>
    </w:r>
    <w:r>
      <w:rPr>
        <w:rFonts w:ascii="Calibri" w:hAnsi="Calibri" w:eastAsia="Calibri"/>
        <w:b w:val="0"/>
        <w:i w:val="0"/>
        <w:color w:val="4A555A"/>
        <w:sz w:val="18"/>
      </w:rPr>
      <w:fldChar w:fldCharType="begin"/>
      <w:instrText xml:space="preserve"> PAGE </w:instrText>
      <w:fldChar w:fldCharType="end"/>
    </w:r>
    <w:r>
      <w:rPr>
        <w:rFonts w:ascii="Calibri" w:hAnsi="Calibri" w:eastAsia="Calibri"/>
        <w:b w:val="0"/>
        <w:i w:val="0"/>
        <w:color w:val="4A555A"/>
        <w:sz w:val="18"/>
      </w:rPr>
      <w:t xml:space="preserve"> of </w:t>
    </w:r>
    <w:r>
      <w:rPr>
        <w:rFonts w:ascii="Calibri" w:hAnsi="Calibri" w:eastAsia="Calibri"/>
        <w:b w:val="0"/>
        <w:i w:val="0"/>
        <w:color w:val="4A555A"/>
        <w:sz w:val="18"/>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8" w:space="1" w:color="0F5E56"/>
      </w:pBdr>
    </w:pPr>
    <w:r>
      <w:rPr>
        <w:rFonts w:ascii="Calibri" w:hAnsi="Calibri" w:eastAsia="Calibri"/>
        <w:b w:val="0"/>
        <w:i w:val="0"/>
        <w:color w:val="4A555A"/>
        <w:sz w:val="18"/>
      </w:rPr>
      <w:t>Medical Billing Assignment  ·  NDC and Drug Units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