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D4D5" w14:textId="77777777" w:rsidR="009B0AB1" w:rsidRDefault="00000000">
      <w:pPr>
        <w:spacing w:after="100"/>
      </w:pPr>
      <w:r>
        <w:rPr>
          <w:b/>
          <w:bCs/>
          <w:color w:val="0F6E56"/>
          <w:sz w:val="40"/>
          <w:szCs w:val="40"/>
        </w:rPr>
        <w:t>Onboarding Notes — Extended Summary</w:t>
      </w:r>
    </w:p>
    <w:p w14:paraId="7399D414" w14:textId="77777777" w:rsidR="009B0AB1" w:rsidRDefault="00000000">
      <w:pPr>
        <w:spacing w:after="400"/>
      </w:pPr>
      <w:r>
        <w:rPr>
          <w:i/>
          <w:iCs/>
          <w:color w:val="5F5E5A"/>
          <w:sz w:val="22"/>
          <w:szCs w:val="22"/>
        </w:rPr>
        <w:t>Hamideh Baggali — Junior Open Data Engineer, VLIZ / EMO-BON</w:t>
      </w:r>
    </w:p>
    <w:p w14:paraId="6F6A0843" w14:textId="77777777" w:rsidR="009B0AB1" w:rsidRDefault="00000000">
      <w:pPr>
        <w:pStyle w:val="Heading1"/>
        <w:spacing w:before="300" w:after="150"/>
      </w:pPr>
      <w:r>
        <w:t xml:space="preserve">Part 1 — Repository: </w:t>
      </w:r>
      <w:proofErr w:type="spellStart"/>
      <w:r>
        <w:t>vliz</w:t>
      </w:r>
      <w:proofErr w:type="spellEnd"/>
      <w:r>
        <w:t>-onboarding-notes</w:t>
      </w:r>
    </w:p>
    <w:p w14:paraId="51CBDC10" w14:textId="77777777" w:rsidR="009B0AB1" w:rsidRDefault="00000000">
      <w:pPr>
        <w:spacing w:after="100"/>
      </w:pPr>
      <w:r>
        <w:t>Organized reference notes built during onboarding, covering the semantic web / linked data foundations behind the EMO-BON pipeline, and the team's working conventions.</w:t>
      </w:r>
    </w:p>
    <w:p w14:paraId="14C6370B" w14:textId="77777777" w:rsidR="009B0AB1" w:rsidRDefault="00000000">
      <w:pPr>
        <w:pBdr>
          <w:bottom w:val="single" w:sz="6" w:space="4" w:color="9FE1CB"/>
        </w:pBdr>
        <w:spacing w:before="280" w:after="90"/>
      </w:pPr>
      <w:r>
        <w:rPr>
          <w:b/>
          <w:bCs/>
          <w:color w:val="0F6E56"/>
          <w:sz w:val="26"/>
          <w:szCs w:val="26"/>
        </w:rPr>
        <w:t>2. RDF, RDFS, SOSA</w:t>
      </w:r>
    </w:p>
    <w:p w14:paraId="133A63AF" w14:textId="77777777" w:rsidR="009B0AB1" w:rsidRDefault="00000000">
      <w:pPr>
        <w:spacing w:after="100"/>
      </w:pPr>
      <w:r>
        <w:t>Covers the core RDF idea that every statement is a triple — subject → predicate → object (e.g. a water sample's collection date). Subjects and predicates must be unique web URIs, which is what makes them globally unambiguous without needing a central registry. Literals (raw values like "7.19") are plain strings with no URI — a dead end in the graph — while an object can also be another URI pointing to a further subject, which is what makes RDF a graph rather than a flat list. Also covers the RDFS and SOSA ontologies, and Turtle (.</w:t>
      </w:r>
      <w:proofErr w:type="spellStart"/>
      <w:r>
        <w:t>ttl</w:t>
      </w:r>
      <w:proofErr w:type="spellEnd"/>
      <w:r>
        <w:t>) syntax, including @prefix declarations that let full URIs be abbreviated.</w:t>
      </w:r>
    </w:p>
    <w:p w14:paraId="420EFD60" w14:textId="77777777" w:rsidR="009B0AB1" w:rsidRDefault="00000000">
      <w:pPr>
        <w:pBdr>
          <w:bottom w:val="single" w:sz="6" w:space="4" w:color="9FE1CB"/>
        </w:pBdr>
        <w:spacing w:before="280" w:after="90"/>
      </w:pPr>
      <w:r>
        <w:rPr>
          <w:b/>
          <w:bCs/>
          <w:color w:val="0F6E56"/>
          <w:sz w:val="26"/>
          <w:szCs w:val="26"/>
        </w:rPr>
        <w:t>3. Semantic mapping</w:t>
      </w:r>
    </w:p>
    <w:p w14:paraId="541B2CAE" w14:textId="77777777" w:rsidR="009B0AB1" w:rsidRDefault="00000000">
      <w:pPr>
        <w:spacing w:after="100"/>
      </w:pPr>
      <w:r>
        <w:t xml:space="preserve">Explains why and how tabular </w:t>
      </w:r>
      <w:proofErr w:type="spellStart"/>
      <w:r>
        <w:t>logsheet</w:t>
      </w:r>
      <w:proofErr w:type="spellEnd"/>
      <w:r>
        <w:t xml:space="preserve"> data (CSV columns) gets translated into RDF triples during the semantic-uplifting phase of the pipeline. Each column is mapped to a predicate drawn from an appropriate vocabulary, and each row becomes a set of triples describing one subject — a unique, dereferenceable sample URI.</w:t>
      </w:r>
    </w:p>
    <w:p w14:paraId="318E0320" w14:textId="77777777" w:rsidR="009B0AB1" w:rsidRDefault="00000000">
      <w:pPr>
        <w:pBdr>
          <w:bottom w:val="single" w:sz="6" w:space="4" w:color="9FE1CB"/>
        </w:pBdr>
        <w:spacing w:before="280" w:after="90"/>
      </w:pPr>
      <w:r>
        <w:rPr>
          <w:b/>
          <w:bCs/>
          <w:color w:val="0F6E56"/>
          <w:sz w:val="26"/>
          <w:szCs w:val="26"/>
        </w:rPr>
        <w:t>4. Data pipeline stages</w:t>
      </w:r>
    </w:p>
    <w:p w14:paraId="301ABC64" w14:textId="77777777" w:rsidR="009B0AB1" w:rsidRDefault="00000000">
      <w:pPr>
        <w:spacing w:after="100"/>
      </w:pPr>
      <w:r>
        <w:t xml:space="preserve">Maps the Raw → Filtered → Transformed data stages onto the pipeline's phases: populate-action (raw), data-quality-control-action (filtered/transformed — studied in full depth in today's session, see Part 2), semantic-uplifting-action (RDF/RO-Crate), and </w:t>
      </w:r>
      <w:proofErr w:type="spellStart"/>
      <w:r>
        <w:t>rocrate</w:t>
      </w:r>
      <w:proofErr w:type="spellEnd"/>
      <w:r>
        <w:t>-to-pages (published web page).</w:t>
      </w:r>
    </w:p>
    <w:p w14:paraId="0CBA1309" w14:textId="77777777" w:rsidR="009B0AB1" w:rsidRDefault="00000000">
      <w:pPr>
        <w:pBdr>
          <w:bottom w:val="single" w:sz="6" w:space="4" w:color="9FE1CB"/>
        </w:pBdr>
        <w:spacing w:before="280" w:after="90"/>
      </w:pPr>
      <w:r>
        <w:rPr>
          <w:b/>
          <w:bCs/>
          <w:color w:val="0F6E56"/>
          <w:sz w:val="26"/>
          <w:szCs w:val="26"/>
        </w:rPr>
        <w:t>5. Vocabularies</w:t>
      </w:r>
    </w:p>
    <w:p w14:paraId="5978F76A" w14:textId="77777777" w:rsidR="009B0AB1" w:rsidRDefault="00000000">
      <w:pPr>
        <w:spacing w:after="100"/>
      </w:pPr>
      <w:r>
        <w:t>Covers which standard vocabulary is responsible for which part of an EMO-BON RO-Crate: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9B0AB1" w14:paraId="0FFF9045" w14:textId="77777777">
        <w:tblPrEx>
          <w:tblCellMar>
            <w:top w:w="0" w:type="dxa"/>
            <w:bottom w:w="0" w:type="dxa"/>
          </w:tblCellMar>
        </w:tblPrEx>
        <w:tc>
          <w:tcPr>
            <w:tcW w:w="2500" w:type="pct"/>
            <w:shd w:val="clear" w:color="auto" w:fill="0F6E56"/>
            <w:tcMar>
              <w:top w:w="70" w:type="dxa"/>
              <w:left w:w="90" w:type="dxa"/>
              <w:bottom w:w="70" w:type="dxa"/>
              <w:right w:w="90" w:type="dxa"/>
            </w:tcMar>
          </w:tcPr>
          <w:p w14:paraId="10B891BA" w14:textId="77777777" w:rsidR="009B0AB1" w:rsidRDefault="00000000">
            <w:r>
              <w:rPr>
                <w:b/>
                <w:bCs/>
                <w:color w:val="FFFFFF"/>
                <w:sz w:val="19"/>
                <w:szCs w:val="19"/>
              </w:rPr>
              <w:t>Vocabulary</w:t>
            </w:r>
          </w:p>
        </w:tc>
        <w:tc>
          <w:tcPr>
            <w:tcW w:w="2500" w:type="pct"/>
            <w:shd w:val="clear" w:color="auto" w:fill="0F6E56"/>
            <w:tcMar>
              <w:top w:w="70" w:type="dxa"/>
              <w:left w:w="90" w:type="dxa"/>
              <w:bottom w:w="70" w:type="dxa"/>
              <w:right w:w="90" w:type="dxa"/>
            </w:tcMar>
          </w:tcPr>
          <w:p w14:paraId="13BB357C" w14:textId="77777777" w:rsidR="009B0AB1" w:rsidRDefault="00000000">
            <w:r>
              <w:rPr>
                <w:b/>
                <w:bCs/>
                <w:color w:val="FFFFFF"/>
                <w:sz w:val="19"/>
                <w:szCs w:val="19"/>
              </w:rPr>
              <w:t>Covers</w:t>
            </w:r>
          </w:p>
        </w:tc>
      </w:tr>
      <w:tr w:rsidR="009B0AB1" w14:paraId="13E1CD78" w14:textId="77777777">
        <w:tblPrEx>
          <w:tblCellMar>
            <w:top w:w="0" w:type="dxa"/>
            <w:bottom w:w="0" w:type="dxa"/>
          </w:tblCellMar>
        </w:tblPrEx>
        <w:tc>
          <w:tcPr>
            <w:tcW w:w="2500" w:type="pct"/>
            <w:tcMar>
              <w:top w:w="70" w:type="dxa"/>
              <w:left w:w="90" w:type="dxa"/>
              <w:bottom w:w="70" w:type="dxa"/>
              <w:right w:w="90" w:type="dxa"/>
            </w:tcMar>
          </w:tcPr>
          <w:p w14:paraId="5A4E5FB6" w14:textId="77777777" w:rsidR="009B0AB1" w:rsidRDefault="00000000">
            <w:r>
              <w:rPr>
                <w:color w:val="000000"/>
                <w:sz w:val="19"/>
                <w:szCs w:val="19"/>
              </w:rPr>
              <w:t>Dublin Core / schema.org</w:t>
            </w:r>
          </w:p>
        </w:tc>
        <w:tc>
          <w:tcPr>
            <w:tcW w:w="2500" w:type="pct"/>
            <w:tcMar>
              <w:top w:w="70" w:type="dxa"/>
              <w:left w:w="90" w:type="dxa"/>
              <w:bottom w:w="70" w:type="dxa"/>
              <w:right w:w="90" w:type="dxa"/>
            </w:tcMar>
          </w:tcPr>
          <w:p w14:paraId="0BBAAF3F" w14:textId="77777777" w:rsidR="009B0AB1" w:rsidRDefault="00000000">
            <w:r>
              <w:rPr>
                <w:color w:val="000000"/>
                <w:sz w:val="19"/>
                <w:szCs w:val="19"/>
              </w:rPr>
              <w:t>The dataset/crate as a whole — creator, date, license, title</w:t>
            </w:r>
          </w:p>
        </w:tc>
      </w:tr>
      <w:tr w:rsidR="009B0AB1" w14:paraId="5B6DE43B" w14:textId="77777777">
        <w:tblPrEx>
          <w:tblCellMar>
            <w:top w:w="0" w:type="dxa"/>
            <w:bottom w:w="0" w:type="dxa"/>
          </w:tblCellMar>
        </w:tblPrEx>
        <w:tc>
          <w:tcPr>
            <w:tcW w:w="2500" w:type="pct"/>
            <w:tcMar>
              <w:top w:w="70" w:type="dxa"/>
              <w:left w:w="90" w:type="dxa"/>
              <w:bottom w:w="70" w:type="dxa"/>
              <w:right w:w="90" w:type="dxa"/>
            </w:tcMar>
          </w:tcPr>
          <w:p w14:paraId="5894364E" w14:textId="77777777" w:rsidR="009B0AB1" w:rsidRDefault="00000000">
            <w:r>
              <w:rPr>
                <w:color w:val="000000"/>
                <w:sz w:val="19"/>
                <w:szCs w:val="19"/>
              </w:rPr>
              <w:t>SOSA (Sensor, Observation, Sample, Actuator)</w:t>
            </w:r>
          </w:p>
        </w:tc>
        <w:tc>
          <w:tcPr>
            <w:tcW w:w="2500" w:type="pct"/>
            <w:tcMar>
              <w:top w:w="70" w:type="dxa"/>
              <w:left w:w="90" w:type="dxa"/>
              <w:bottom w:w="70" w:type="dxa"/>
              <w:right w:w="90" w:type="dxa"/>
            </w:tcMar>
          </w:tcPr>
          <w:p w14:paraId="48F433A4" w14:textId="77777777" w:rsidR="009B0AB1" w:rsidRDefault="00000000">
            <w:r>
              <w:rPr>
                <w:color w:val="000000"/>
                <w:sz w:val="19"/>
                <w:szCs w:val="19"/>
              </w:rPr>
              <w:t>The sampling process itself — device used, procedure, feature of interest</w:t>
            </w:r>
          </w:p>
        </w:tc>
      </w:tr>
      <w:tr w:rsidR="009B0AB1" w14:paraId="3613EDE5" w14:textId="77777777">
        <w:tblPrEx>
          <w:tblCellMar>
            <w:top w:w="0" w:type="dxa"/>
            <w:bottom w:w="0" w:type="dxa"/>
          </w:tblCellMar>
        </w:tblPrEx>
        <w:tc>
          <w:tcPr>
            <w:tcW w:w="2500" w:type="pct"/>
            <w:tcMar>
              <w:top w:w="70" w:type="dxa"/>
              <w:left w:w="90" w:type="dxa"/>
              <w:bottom w:w="70" w:type="dxa"/>
              <w:right w:w="90" w:type="dxa"/>
            </w:tcMar>
          </w:tcPr>
          <w:p w14:paraId="21D99A7B" w14:textId="77777777" w:rsidR="009B0AB1" w:rsidRDefault="00000000">
            <w:r>
              <w:rPr>
                <w:color w:val="000000"/>
                <w:sz w:val="19"/>
                <w:szCs w:val="19"/>
              </w:rPr>
              <w:t>Darwin Core</w:t>
            </w:r>
          </w:p>
        </w:tc>
        <w:tc>
          <w:tcPr>
            <w:tcW w:w="2500" w:type="pct"/>
            <w:tcMar>
              <w:top w:w="70" w:type="dxa"/>
              <w:left w:w="90" w:type="dxa"/>
              <w:bottom w:w="70" w:type="dxa"/>
              <w:right w:w="90" w:type="dxa"/>
            </w:tcMar>
          </w:tcPr>
          <w:p w14:paraId="34081B81" w14:textId="77777777" w:rsidR="009B0AB1" w:rsidRDefault="00000000">
            <w:r>
              <w:rPr>
                <w:color w:val="000000"/>
                <w:sz w:val="19"/>
                <w:szCs w:val="19"/>
              </w:rPr>
              <w:t>The biological content found — species, taxonomy, abundance, event details</w:t>
            </w:r>
          </w:p>
        </w:tc>
      </w:tr>
    </w:tbl>
    <w:p w14:paraId="359A2F5A" w14:textId="77777777" w:rsidR="009B0AB1" w:rsidRDefault="009B0AB1">
      <w:pPr>
        <w:spacing w:after="100"/>
      </w:pPr>
    </w:p>
    <w:p w14:paraId="77175C45" w14:textId="77777777" w:rsidR="009B0AB1" w:rsidRDefault="00000000">
      <w:pPr>
        <w:spacing w:after="100"/>
      </w:pPr>
      <w:r>
        <w:t xml:space="preserve">Also compares Darwin Core against Dublin Core directly: Dublin Core is general-purpose (any resource — documents, photos, datasets), while Darwin Core is biodiversity-specific and is built as an extension on top of Dublin Core, adding terms such as </w:t>
      </w:r>
      <w:proofErr w:type="spellStart"/>
      <w:r>
        <w:t>scientificName</w:t>
      </w:r>
      <w:proofErr w:type="spellEnd"/>
      <w:r>
        <w:t xml:space="preserve">, </w:t>
      </w:r>
      <w:proofErr w:type="spellStart"/>
      <w:r>
        <w:t>decimalLatitude</w:t>
      </w:r>
      <w:proofErr w:type="spellEnd"/>
      <w:r>
        <w:t xml:space="preserve">, and </w:t>
      </w:r>
      <w:proofErr w:type="spellStart"/>
      <w:r>
        <w:t>eventDate</w:t>
      </w:r>
      <w:proofErr w:type="spellEnd"/>
      <w:r>
        <w:t>.</w:t>
      </w:r>
    </w:p>
    <w:p w14:paraId="563BB555" w14:textId="77777777" w:rsidR="009B0AB1" w:rsidRDefault="00000000">
      <w:pPr>
        <w:pBdr>
          <w:bottom w:val="single" w:sz="6" w:space="4" w:color="9FE1CB"/>
        </w:pBdr>
        <w:spacing w:before="280" w:after="90"/>
      </w:pPr>
      <w:r>
        <w:rPr>
          <w:b/>
          <w:bCs/>
          <w:color w:val="0F6E56"/>
          <w:sz w:val="26"/>
          <w:szCs w:val="26"/>
        </w:rPr>
        <w:t xml:space="preserve">6. EMO-BON repository </w:t>
      </w:r>
      <w:proofErr w:type="spellStart"/>
      <w:r>
        <w:rPr>
          <w:b/>
          <w:bCs/>
          <w:color w:val="0F6E56"/>
          <w:sz w:val="26"/>
          <w:szCs w:val="26"/>
        </w:rPr>
        <w:t>catalog</w:t>
      </w:r>
      <w:proofErr w:type="spellEnd"/>
    </w:p>
    <w:p w14:paraId="4BA857DE" w14:textId="77777777" w:rsidR="009B0AB1" w:rsidRDefault="00000000">
      <w:pPr>
        <w:spacing w:after="100"/>
      </w:pPr>
      <w:r>
        <w:t xml:space="preserve">A reference </w:t>
      </w:r>
      <w:proofErr w:type="spellStart"/>
      <w:r>
        <w:t>catalog</w:t>
      </w:r>
      <w:proofErr w:type="spellEnd"/>
      <w:r>
        <w:t xml:space="preserve"> of all repositories in the emo-bon GitHub organisation, organised by type — including the Observatory Crates (one per physical monitoring station, all built from the same </w:t>
      </w:r>
      <w:proofErr w:type="spellStart"/>
      <w:r>
        <w:t>workflow.yml</w:t>
      </w:r>
      <w:proofErr w:type="spellEnd"/>
      <w:r>
        <w:t xml:space="preserve"> template, with station-specific Google Sheets URLs and assignees defined centrally in governance-crate/logsheets.csv), plus the shared action repositories and supporting infrastructure repos.</w:t>
      </w:r>
    </w:p>
    <w:p w14:paraId="143FBF43" w14:textId="77777777" w:rsidR="009B0AB1" w:rsidRDefault="00000000">
      <w:pPr>
        <w:pBdr>
          <w:bottom w:val="single" w:sz="6" w:space="4" w:color="9FE1CB"/>
        </w:pBdr>
        <w:spacing w:before="280" w:after="90"/>
      </w:pPr>
      <w:r>
        <w:rPr>
          <w:b/>
          <w:bCs/>
          <w:color w:val="0F6E56"/>
          <w:sz w:val="26"/>
          <w:szCs w:val="26"/>
        </w:rPr>
        <w:lastRenderedPageBreak/>
        <w:t>7. EMO-BON actions used</w:t>
      </w:r>
    </w:p>
    <w:p w14:paraId="6C99181F" w14:textId="77777777" w:rsidR="009B0AB1" w:rsidRDefault="00000000">
      <w:pPr>
        <w:spacing w:after="100"/>
      </w:pPr>
      <w:r>
        <w:t xml:space="preserve">Documents which GitHub Actions the observatory </w:t>
      </w:r>
      <w:proofErr w:type="spellStart"/>
      <w:r>
        <w:t>workflow.yml</w:t>
      </w:r>
      <w:proofErr w:type="spellEnd"/>
      <w:r>
        <w:t xml:space="preserve"> </w:t>
      </w:r>
      <w:proofErr w:type="gramStart"/>
      <w:r>
        <w:t>actually calls</w:t>
      </w:r>
      <w:proofErr w:type="gramEnd"/>
      <w:r>
        <w:t xml:space="preserve">, and how each </w:t>
      </w:r>
      <w:proofErr w:type="gramStart"/>
      <w:r>
        <w:t>maps</w:t>
      </w:r>
      <w:proofErr w:type="gramEnd"/>
      <w:r>
        <w:t xml:space="preserve"> onto the pipeline's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1184"/>
        <w:gridCol w:w="4645"/>
      </w:tblGrid>
      <w:tr w:rsidR="009B0AB1" w14:paraId="5BD76D4E" w14:textId="77777777">
        <w:tblPrEx>
          <w:tblCellMar>
            <w:top w:w="0" w:type="dxa"/>
            <w:bottom w:w="0" w:type="dxa"/>
          </w:tblCellMar>
        </w:tblPrEx>
        <w:tc>
          <w:tcPr>
            <w:tcW w:w="1750" w:type="pct"/>
            <w:shd w:val="clear" w:color="auto" w:fill="0F6E56"/>
            <w:tcMar>
              <w:top w:w="70" w:type="dxa"/>
              <w:left w:w="90" w:type="dxa"/>
              <w:bottom w:w="70" w:type="dxa"/>
              <w:right w:w="90" w:type="dxa"/>
            </w:tcMar>
          </w:tcPr>
          <w:p w14:paraId="483F5299" w14:textId="77777777" w:rsidR="009B0AB1" w:rsidRDefault="00000000">
            <w:r>
              <w:rPr>
                <w:b/>
                <w:bCs/>
                <w:color w:val="FFFFFF"/>
                <w:sz w:val="19"/>
                <w:szCs w:val="19"/>
              </w:rPr>
              <w:t>Action</w:t>
            </w:r>
          </w:p>
        </w:tc>
        <w:tc>
          <w:tcPr>
            <w:tcW w:w="650" w:type="pct"/>
            <w:shd w:val="clear" w:color="auto" w:fill="0F6E56"/>
            <w:tcMar>
              <w:top w:w="70" w:type="dxa"/>
              <w:left w:w="90" w:type="dxa"/>
              <w:bottom w:w="70" w:type="dxa"/>
              <w:right w:w="90" w:type="dxa"/>
            </w:tcMar>
          </w:tcPr>
          <w:p w14:paraId="4050A2CE" w14:textId="77777777" w:rsidR="009B0AB1" w:rsidRDefault="00000000">
            <w:r>
              <w:rPr>
                <w:b/>
                <w:bCs/>
                <w:color w:val="FFFFFF"/>
                <w:sz w:val="19"/>
                <w:szCs w:val="19"/>
              </w:rPr>
              <w:t>Phase</w:t>
            </w:r>
          </w:p>
        </w:tc>
        <w:tc>
          <w:tcPr>
            <w:tcW w:w="2550" w:type="pct"/>
            <w:shd w:val="clear" w:color="auto" w:fill="0F6E56"/>
            <w:tcMar>
              <w:top w:w="70" w:type="dxa"/>
              <w:left w:w="90" w:type="dxa"/>
              <w:bottom w:w="70" w:type="dxa"/>
              <w:right w:w="90" w:type="dxa"/>
            </w:tcMar>
          </w:tcPr>
          <w:p w14:paraId="70828FE6" w14:textId="77777777" w:rsidR="009B0AB1" w:rsidRDefault="00000000">
            <w:r>
              <w:rPr>
                <w:b/>
                <w:bCs/>
                <w:color w:val="FFFFFF"/>
                <w:sz w:val="19"/>
                <w:szCs w:val="19"/>
              </w:rPr>
              <w:t>What it does</w:t>
            </w:r>
          </w:p>
        </w:tc>
      </w:tr>
      <w:tr w:rsidR="009B0AB1" w14:paraId="150F6FD5" w14:textId="77777777">
        <w:tblPrEx>
          <w:tblCellMar>
            <w:top w:w="0" w:type="dxa"/>
            <w:bottom w:w="0" w:type="dxa"/>
          </w:tblCellMar>
        </w:tblPrEx>
        <w:tc>
          <w:tcPr>
            <w:tcW w:w="1750" w:type="pct"/>
            <w:tcMar>
              <w:top w:w="70" w:type="dxa"/>
              <w:left w:w="90" w:type="dxa"/>
              <w:bottom w:w="70" w:type="dxa"/>
              <w:right w:w="90" w:type="dxa"/>
            </w:tcMar>
          </w:tcPr>
          <w:p w14:paraId="728921D3" w14:textId="77777777" w:rsidR="009B0AB1" w:rsidRDefault="00000000">
            <w:r>
              <w:rPr>
                <w:color w:val="000000"/>
                <w:sz w:val="19"/>
                <w:szCs w:val="19"/>
              </w:rPr>
              <w:t>populate-action</w:t>
            </w:r>
          </w:p>
        </w:tc>
        <w:tc>
          <w:tcPr>
            <w:tcW w:w="650" w:type="pct"/>
            <w:tcMar>
              <w:top w:w="70" w:type="dxa"/>
              <w:left w:w="90" w:type="dxa"/>
              <w:bottom w:w="70" w:type="dxa"/>
              <w:right w:w="90" w:type="dxa"/>
            </w:tcMar>
          </w:tcPr>
          <w:p w14:paraId="11E3895A" w14:textId="77777777" w:rsidR="009B0AB1" w:rsidRDefault="00000000">
            <w:r>
              <w:rPr>
                <w:color w:val="000000"/>
                <w:sz w:val="19"/>
                <w:szCs w:val="19"/>
              </w:rPr>
              <w:t>1</w:t>
            </w:r>
          </w:p>
        </w:tc>
        <w:tc>
          <w:tcPr>
            <w:tcW w:w="2550" w:type="pct"/>
            <w:tcMar>
              <w:top w:w="70" w:type="dxa"/>
              <w:left w:w="90" w:type="dxa"/>
              <w:bottom w:w="70" w:type="dxa"/>
              <w:right w:w="90" w:type="dxa"/>
            </w:tcMar>
          </w:tcPr>
          <w:p w14:paraId="6118F22C" w14:textId="77777777" w:rsidR="009B0AB1" w:rsidRDefault="00000000">
            <w:r>
              <w:rPr>
                <w:color w:val="000000"/>
                <w:sz w:val="19"/>
                <w:szCs w:val="19"/>
              </w:rPr>
              <w:t>Google Sheets → raw CSV</w:t>
            </w:r>
          </w:p>
        </w:tc>
      </w:tr>
      <w:tr w:rsidR="009B0AB1" w14:paraId="1570CA7C" w14:textId="77777777">
        <w:tblPrEx>
          <w:tblCellMar>
            <w:top w:w="0" w:type="dxa"/>
            <w:bottom w:w="0" w:type="dxa"/>
          </w:tblCellMar>
        </w:tblPrEx>
        <w:tc>
          <w:tcPr>
            <w:tcW w:w="1750" w:type="pct"/>
            <w:tcMar>
              <w:top w:w="70" w:type="dxa"/>
              <w:left w:w="90" w:type="dxa"/>
              <w:bottom w:w="70" w:type="dxa"/>
              <w:right w:w="90" w:type="dxa"/>
            </w:tcMar>
          </w:tcPr>
          <w:p w14:paraId="0C41FCCC" w14:textId="77777777" w:rsidR="009B0AB1" w:rsidRDefault="00000000">
            <w:r>
              <w:rPr>
                <w:color w:val="000000"/>
                <w:sz w:val="19"/>
                <w:szCs w:val="19"/>
              </w:rPr>
              <w:t>data-quality-control-action</w:t>
            </w:r>
          </w:p>
        </w:tc>
        <w:tc>
          <w:tcPr>
            <w:tcW w:w="650" w:type="pct"/>
            <w:tcMar>
              <w:top w:w="70" w:type="dxa"/>
              <w:left w:w="90" w:type="dxa"/>
              <w:bottom w:w="70" w:type="dxa"/>
              <w:right w:w="90" w:type="dxa"/>
            </w:tcMar>
          </w:tcPr>
          <w:p w14:paraId="5A8BDD59" w14:textId="77777777" w:rsidR="009B0AB1" w:rsidRDefault="00000000">
            <w:r>
              <w:rPr>
                <w:color w:val="000000"/>
                <w:sz w:val="19"/>
                <w:szCs w:val="19"/>
              </w:rPr>
              <w:t>2</w:t>
            </w:r>
          </w:p>
        </w:tc>
        <w:tc>
          <w:tcPr>
            <w:tcW w:w="2550" w:type="pct"/>
            <w:tcMar>
              <w:top w:w="70" w:type="dxa"/>
              <w:left w:w="90" w:type="dxa"/>
              <w:bottom w:w="70" w:type="dxa"/>
              <w:right w:w="90" w:type="dxa"/>
            </w:tcMar>
          </w:tcPr>
          <w:p w14:paraId="42B784DC" w14:textId="77777777" w:rsidR="009B0AB1" w:rsidRDefault="00000000">
            <w:r>
              <w:rPr>
                <w:color w:val="000000"/>
                <w:sz w:val="19"/>
                <w:szCs w:val="19"/>
              </w:rPr>
              <w:t>Raw → Filtered / Transformed (validation + repair)</w:t>
            </w:r>
          </w:p>
        </w:tc>
      </w:tr>
      <w:tr w:rsidR="009B0AB1" w14:paraId="046C3839" w14:textId="77777777">
        <w:tblPrEx>
          <w:tblCellMar>
            <w:top w:w="0" w:type="dxa"/>
            <w:bottom w:w="0" w:type="dxa"/>
          </w:tblCellMar>
        </w:tblPrEx>
        <w:tc>
          <w:tcPr>
            <w:tcW w:w="1750" w:type="pct"/>
            <w:tcMar>
              <w:top w:w="70" w:type="dxa"/>
              <w:left w:w="90" w:type="dxa"/>
              <w:bottom w:w="70" w:type="dxa"/>
              <w:right w:w="90" w:type="dxa"/>
            </w:tcMar>
          </w:tcPr>
          <w:p w14:paraId="2314B35E" w14:textId="77777777" w:rsidR="009B0AB1" w:rsidRDefault="00000000">
            <w:r>
              <w:rPr>
                <w:color w:val="000000"/>
                <w:sz w:val="19"/>
                <w:szCs w:val="19"/>
              </w:rPr>
              <w:t>semantic-uplifting-action</w:t>
            </w:r>
          </w:p>
        </w:tc>
        <w:tc>
          <w:tcPr>
            <w:tcW w:w="650" w:type="pct"/>
            <w:tcMar>
              <w:top w:w="70" w:type="dxa"/>
              <w:left w:w="90" w:type="dxa"/>
              <w:bottom w:w="70" w:type="dxa"/>
              <w:right w:w="90" w:type="dxa"/>
            </w:tcMar>
          </w:tcPr>
          <w:p w14:paraId="6C31D917" w14:textId="77777777" w:rsidR="009B0AB1" w:rsidRDefault="00000000">
            <w:r>
              <w:rPr>
                <w:color w:val="000000"/>
                <w:sz w:val="19"/>
                <w:szCs w:val="19"/>
              </w:rPr>
              <w:t>3</w:t>
            </w:r>
          </w:p>
        </w:tc>
        <w:tc>
          <w:tcPr>
            <w:tcW w:w="2550" w:type="pct"/>
            <w:tcMar>
              <w:top w:w="70" w:type="dxa"/>
              <w:left w:w="90" w:type="dxa"/>
              <w:bottom w:w="70" w:type="dxa"/>
              <w:right w:w="90" w:type="dxa"/>
            </w:tcMar>
          </w:tcPr>
          <w:p w14:paraId="4F622D2F" w14:textId="77777777" w:rsidR="009B0AB1" w:rsidRDefault="00000000">
            <w:r>
              <w:rPr>
                <w:color w:val="000000"/>
                <w:sz w:val="19"/>
                <w:szCs w:val="19"/>
              </w:rPr>
              <w:t>Filtered → RDF / RO-Crate</w:t>
            </w:r>
          </w:p>
        </w:tc>
      </w:tr>
      <w:tr w:rsidR="009B0AB1" w14:paraId="741C10B1" w14:textId="77777777">
        <w:tblPrEx>
          <w:tblCellMar>
            <w:top w:w="0" w:type="dxa"/>
            <w:bottom w:w="0" w:type="dxa"/>
          </w:tblCellMar>
        </w:tblPrEx>
        <w:tc>
          <w:tcPr>
            <w:tcW w:w="1750" w:type="pct"/>
            <w:tcMar>
              <w:top w:w="70" w:type="dxa"/>
              <w:left w:w="90" w:type="dxa"/>
              <w:bottom w:w="70" w:type="dxa"/>
              <w:right w:w="90" w:type="dxa"/>
            </w:tcMar>
          </w:tcPr>
          <w:p w14:paraId="46B59582" w14:textId="77777777" w:rsidR="009B0AB1" w:rsidRDefault="00000000">
            <w:proofErr w:type="spellStart"/>
            <w:r>
              <w:rPr>
                <w:color w:val="000000"/>
                <w:sz w:val="19"/>
                <w:szCs w:val="19"/>
              </w:rPr>
              <w:t>subsetted</w:t>
            </w:r>
            <w:proofErr w:type="spellEnd"/>
            <w:r>
              <w:rPr>
                <w:color w:val="000000"/>
                <w:sz w:val="19"/>
                <w:szCs w:val="19"/>
              </w:rPr>
              <w:t>-distribution-creation-action</w:t>
            </w:r>
          </w:p>
        </w:tc>
        <w:tc>
          <w:tcPr>
            <w:tcW w:w="650" w:type="pct"/>
            <w:tcMar>
              <w:top w:w="70" w:type="dxa"/>
              <w:left w:w="90" w:type="dxa"/>
              <w:bottom w:w="70" w:type="dxa"/>
              <w:right w:w="90" w:type="dxa"/>
            </w:tcMar>
          </w:tcPr>
          <w:p w14:paraId="3F357BE9" w14:textId="77777777" w:rsidR="009B0AB1" w:rsidRDefault="00000000">
            <w:r>
              <w:rPr>
                <w:color w:val="000000"/>
                <w:sz w:val="19"/>
                <w:szCs w:val="19"/>
              </w:rPr>
              <w:t>—</w:t>
            </w:r>
          </w:p>
        </w:tc>
        <w:tc>
          <w:tcPr>
            <w:tcW w:w="2550" w:type="pct"/>
            <w:tcMar>
              <w:top w:w="70" w:type="dxa"/>
              <w:left w:w="90" w:type="dxa"/>
              <w:bottom w:w="70" w:type="dxa"/>
              <w:right w:w="90" w:type="dxa"/>
            </w:tcMar>
          </w:tcPr>
          <w:p w14:paraId="01DF71C4" w14:textId="77777777" w:rsidR="009B0AB1" w:rsidRDefault="00000000">
            <w:r>
              <w:rPr>
                <w:color w:val="000000"/>
                <w:sz w:val="19"/>
                <w:szCs w:val="19"/>
              </w:rPr>
              <w:t>Packages a subset of data for external aggregators (e.g. Blue-Cloud)</w:t>
            </w:r>
          </w:p>
        </w:tc>
      </w:tr>
      <w:tr w:rsidR="009B0AB1" w14:paraId="57DB3226" w14:textId="77777777">
        <w:tblPrEx>
          <w:tblCellMar>
            <w:top w:w="0" w:type="dxa"/>
            <w:bottom w:w="0" w:type="dxa"/>
          </w:tblCellMar>
        </w:tblPrEx>
        <w:tc>
          <w:tcPr>
            <w:tcW w:w="1750" w:type="pct"/>
            <w:tcMar>
              <w:top w:w="70" w:type="dxa"/>
              <w:left w:w="90" w:type="dxa"/>
              <w:bottom w:w="70" w:type="dxa"/>
              <w:right w:w="90" w:type="dxa"/>
            </w:tcMar>
          </w:tcPr>
          <w:p w14:paraId="73B941BF" w14:textId="77777777" w:rsidR="009B0AB1" w:rsidRDefault="00000000">
            <w:proofErr w:type="spellStart"/>
            <w:r>
              <w:rPr>
                <w:color w:val="000000"/>
                <w:sz w:val="19"/>
                <w:szCs w:val="19"/>
              </w:rPr>
              <w:t>vliz</w:t>
            </w:r>
            <w:proofErr w:type="spellEnd"/>
            <w:r>
              <w:rPr>
                <w:color w:val="000000"/>
                <w:sz w:val="19"/>
                <w:szCs w:val="19"/>
              </w:rPr>
              <w:t>-be-</w:t>
            </w:r>
            <w:proofErr w:type="spellStart"/>
            <w:r>
              <w:rPr>
                <w:color w:val="000000"/>
                <w:sz w:val="19"/>
                <w:szCs w:val="19"/>
              </w:rPr>
              <w:t>opsci</w:t>
            </w:r>
            <w:proofErr w:type="spellEnd"/>
            <w:r>
              <w:rPr>
                <w:color w:val="000000"/>
                <w:sz w:val="19"/>
                <w:szCs w:val="19"/>
              </w:rPr>
              <w:t>/</w:t>
            </w:r>
            <w:proofErr w:type="spellStart"/>
            <w:r>
              <w:rPr>
                <w:color w:val="000000"/>
                <w:sz w:val="19"/>
                <w:szCs w:val="19"/>
              </w:rPr>
              <w:t>rocrate</w:t>
            </w:r>
            <w:proofErr w:type="spellEnd"/>
            <w:r>
              <w:rPr>
                <w:color w:val="000000"/>
                <w:sz w:val="19"/>
                <w:szCs w:val="19"/>
              </w:rPr>
              <w:t>-to-pages</w:t>
            </w:r>
          </w:p>
        </w:tc>
        <w:tc>
          <w:tcPr>
            <w:tcW w:w="650" w:type="pct"/>
            <w:tcMar>
              <w:top w:w="70" w:type="dxa"/>
              <w:left w:w="90" w:type="dxa"/>
              <w:bottom w:w="70" w:type="dxa"/>
              <w:right w:w="90" w:type="dxa"/>
            </w:tcMar>
          </w:tcPr>
          <w:p w14:paraId="251C3F70" w14:textId="77777777" w:rsidR="009B0AB1" w:rsidRDefault="00000000">
            <w:r>
              <w:rPr>
                <w:color w:val="000000"/>
                <w:sz w:val="19"/>
                <w:szCs w:val="19"/>
              </w:rPr>
              <w:t>4</w:t>
            </w:r>
          </w:p>
        </w:tc>
        <w:tc>
          <w:tcPr>
            <w:tcW w:w="2550" w:type="pct"/>
            <w:tcMar>
              <w:top w:w="70" w:type="dxa"/>
              <w:left w:w="90" w:type="dxa"/>
              <w:bottom w:w="70" w:type="dxa"/>
              <w:right w:w="90" w:type="dxa"/>
            </w:tcMar>
          </w:tcPr>
          <w:p w14:paraId="47BA79B0" w14:textId="77777777" w:rsidR="009B0AB1" w:rsidRDefault="00000000">
            <w:r>
              <w:rPr>
                <w:color w:val="000000"/>
                <w:sz w:val="19"/>
                <w:szCs w:val="19"/>
              </w:rPr>
              <w:t>Publishes the RO-Crate as a web page</w:t>
            </w:r>
          </w:p>
        </w:tc>
      </w:tr>
    </w:tbl>
    <w:p w14:paraId="0F1FB426" w14:textId="77777777" w:rsidR="009B0AB1" w:rsidRDefault="009B0AB1">
      <w:pPr>
        <w:spacing w:after="100"/>
      </w:pPr>
    </w:p>
    <w:p w14:paraId="4E4ECF33" w14:textId="77777777" w:rsidR="009B0AB1" w:rsidRDefault="00000000">
      <w:pPr>
        <w:spacing w:after="100"/>
      </w:pPr>
      <w:r>
        <w:t>Also notes the split between official (actions/checkout), third-party (git-auto-commit-action, actions-</w:t>
      </w:r>
      <w:proofErr w:type="spellStart"/>
      <w:r>
        <w:t>gh</w:t>
      </w:r>
      <w:proofErr w:type="spellEnd"/>
      <w:r>
        <w:t>-pages), and custom EMO-BON / VLIZ-authored actions.</w:t>
      </w:r>
    </w:p>
    <w:p w14:paraId="406FB69D" w14:textId="77777777" w:rsidR="009B0AB1" w:rsidRDefault="00000000">
      <w:pPr>
        <w:pBdr>
          <w:bottom w:val="single" w:sz="6" w:space="4" w:color="9FE1CB"/>
        </w:pBdr>
        <w:spacing w:before="280" w:after="90"/>
      </w:pPr>
      <w:r>
        <w:rPr>
          <w:b/>
          <w:bCs/>
          <w:color w:val="0F6E56"/>
          <w:sz w:val="26"/>
          <w:szCs w:val="26"/>
        </w:rPr>
        <w:t>8. VLIZ GitHub conventions</w:t>
      </w:r>
    </w:p>
    <w:p w14:paraId="18BD6BC5" w14:textId="77777777" w:rsidR="009B0AB1" w:rsidRDefault="00000000">
      <w:pPr>
        <w:spacing w:after="100"/>
      </w:pPr>
      <w:r>
        <w:t>Source: open-science.vliz.be/conventions/</w:t>
      </w:r>
      <w:proofErr w:type="spellStart"/>
      <w:r>
        <w:t>github</w:t>
      </w:r>
      <w:proofErr w:type="spellEnd"/>
      <w:r>
        <w:t xml:space="preserve">-management — </w:t>
      </w:r>
      <w:proofErr w:type="spellStart"/>
      <w:r>
        <w:t>VLIZ's</w:t>
      </w:r>
      <w:proofErr w:type="spellEnd"/>
      <w:r>
        <w:t xml:space="preserve"> actual published conventions.</w:t>
      </w:r>
    </w:p>
    <w:p w14:paraId="35DC2A07" w14:textId="77777777" w:rsidR="009B0AB1" w:rsidRDefault="00000000">
      <w:pPr>
        <w:spacing w:after="100"/>
      </w:pPr>
      <w:r>
        <w:t>Repository naming: kebab-case (all lowercase, dashes), tagged with topics in the About section (e.g. python, docker-compose), releases tagged using Semantic Versioning (</w:t>
      </w:r>
      <w:proofErr w:type="spellStart"/>
      <w:proofErr w:type="gramStart"/>
      <w:r>
        <w:t>major.minor</w:t>
      </w:r>
      <w:proofErr w:type="gramEnd"/>
      <w:r>
        <w:t>.patch</w:t>
      </w:r>
      <w:proofErr w:type="spellEnd"/>
      <w:r>
        <w:t>, no "v" prefix), and every repo must include a LICENSE file — MIT for source code, CC-BY for datasets. Specific naming patterns apply by repo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3278"/>
        <w:gridCol w:w="2914"/>
      </w:tblGrid>
      <w:tr w:rsidR="009B0AB1" w14:paraId="6C5A453C" w14:textId="77777777">
        <w:tblPrEx>
          <w:tblCellMar>
            <w:top w:w="0" w:type="dxa"/>
            <w:bottom w:w="0" w:type="dxa"/>
          </w:tblCellMar>
        </w:tblPrEx>
        <w:tc>
          <w:tcPr>
            <w:tcW w:w="1550" w:type="pct"/>
            <w:shd w:val="clear" w:color="auto" w:fill="0F6E56"/>
            <w:tcMar>
              <w:top w:w="70" w:type="dxa"/>
              <w:left w:w="90" w:type="dxa"/>
              <w:bottom w:w="70" w:type="dxa"/>
              <w:right w:w="90" w:type="dxa"/>
            </w:tcMar>
          </w:tcPr>
          <w:p w14:paraId="5A4510A1" w14:textId="77777777" w:rsidR="009B0AB1" w:rsidRDefault="00000000">
            <w:r>
              <w:rPr>
                <w:b/>
                <w:bCs/>
                <w:color w:val="FFFFFF"/>
                <w:sz w:val="19"/>
                <w:szCs w:val="19"/>
              </w:rPr>
              <w:t>Type</w:t>
            </w:r>
          </w:p>
        </w:tc>
        <w:tc>
          <w:tcPr>
            <w:tcW w:w="1800" w:type="pct"/>
            <w:shd w:val="clear" w:color="auto" w:fill="0F6E56"/>
            <w:tcMar>
              <w:top w:w="70" w:type="dxa"/>
              <w:left w:w="90" w:type="dxa"/>
              <w:bottom w:w="70" w:type="dxa"/>
              <w:right w:w="90" w:type="dxa"/>
            </w:tcMar>
          </w:tcPr>
          <w:p w14:paraId="269BD246" w14:textId="77777777" w:rsidR="009B0AB1" w:rsidRDefault="00000000">
            <w:r>
              <w:rPr>
                <w:b/>
                <w:bCs/>
                <w:color w:val="FFFFFF"/>
                <w:sz w:val="19"/>
                <w:szCs w:val="19"/>
              </w:rPr>
              <w:t>Example</w:t>
            </w:r>
          </w:p>
        </w:tc>
        <w:tc>
          <w:tcPr>
            <w:tcW w:w="1600" w:type="pct"/>
            <w:shd w:val="clear" w:color="auto" w:fill="0F6E56"/>
            <w:tcMar>
              <w:top w:w="70" w:type="dxa"/>
              <w:left w:w="90" w:type="dxa"/>
              <w:bottom w:w="70" w:type="dxa"/>
              <w:right w:w="90" w:type="dxa"/>
            </w:tcMar>
          </w:tcPr>
          <w:p w14:paraId="42DE7C7B" w14:textId="77777777" w:rsidR="009B0AB1" w:rsidRDefault="00000000">
            <w:r>
              <w:rPr>
                <w:b/>
                <w:bCs/>
                <w:color w:val="FFFFFF"/>
                <w:sz w:val="19"/>
                <w:szCs w:val="19"/>
              </w:rPr>
              <w:t>Pattern</w:t>
            </w:r>
          </w:p>
        </w:tc>
      </w:tr>
      <w:tr w:rsidR="009B0AB1" w14:paraId="66366E9A" w14:textId="77777777">
        <w:tblPrEx>
          <w:tblCellMar>
            <w:top w:w="0" w:type="dxa"/>
            <w:bottom w:w="0" w:type="dxa"/>
          </w:tblCellMar>
        </w:tblPrEx>
        <w:tc>
          <w:tcPr>
            <w:tcW w:w="1550" w:type="pct"/>
            <w:tcMar>
              <w:top w:w="70" w:type="dxa"/>
              <w:left w:w="90" w:type="dxa"/>
              <w:bottom w:w="70" w:type="dxa"/>
              <w:right w:w="90" w:type="dxa"/>
            </w:tcMar>
          </w:tcPr>
          <w:p w14:paraId="5E1F04BC" w14:textId="77777777" w:rsidR="009B0AB1" w:rsidRDefault="00000000">
            <w:r>
              <w:rPr>
                <w:color w:val="000000"/>
                <w:sz w:val="19"/>
                <w:szCs w:val="19"/>
              </w:rPr>
              <w:t>Python packages</w:t>
            </w:r>
          </w:p>
        </w:tc>
        <w:tc>
          <w:tcPr>
            <w:tcW w:w="1800" w:type="pct"/>
            <w:tcMar>
              <w:top w:w="70" w:type="dxa"/>
              <w:left w:w="90" w:type="dxa"/>
              <w:bottom w:w="70" w:type="dxa"/>
              <w:right w:w="90" w:type="dxa"/>
            </w:tcMar>
          </w:tcPr>
          <w:p w14:paraId="6705768A" w14:textId="77777777" w:rsidR="009B0AB1" w:rsidRDefault="00000000">
            <w:proofErr w:type="spellStart"/>
            <w:r>
              <w:rPr>
                <w:color w:val="000000"/>
                <w:sz w:val="19"/>
                <w:szCs w:val="19"/>
              </w:rPr>
              <w:t>py-sema</w:t>
            </w:r>
            <w:proofErr w:type="spellEnd"/>
          </w:p>
        </w:tc>
        <w:tc>
          <w:tcPr>
            <w:tcW w:w="1600" w:type="pct"/>
            <w:tcMar>
              <w:top w:w="70" w:type="dxa"/>
              <w:left w:w="90" w:type="dxa"/>
              <w:bottom w:w="70" w:type="dxa"/>
              <w:right w:w="90" w:type="dxa"/>
            </w:tcMar>
          </w:tcPr>
          <w:p w14:paraId="57A16898" w14:textId="77777777" w:rsidR="009B0AB1" w:rsidRDefault="00000000">
            <w:proofErr w:type="spellStart"/>
            <w:r>
              <w:rPr>
                <w:color w:val="000000"/>
                <w:sz w:val="19"/>
                <w:szCs w:val="19"/>
              </w:rPr>
              <w:t>py</w:t>
            </w:r>
            <w:proofErr w:type="spellEnd"/>
            <w:r>
              <w:rPr>
                <w:color w:val="000000"/>
                <w:sz w:val="19"/>
                <w:szCs w:val="19"/>
              </w:rPr>
              <w:t>-[name]</w:t>
            </w:r>
          </w:p>
        </w:tc>
      </w:tr>
      <w:tr w:rsidR="009B0AB1" w14:paraId="72E35E3F" w14:textId="77777777">
        <w:tblPrEx>
          <w:tblCellMar>
            <w:top w:w="0" w:type="dxa"/>
            <w:bottom w:w="0" w:type="dxa"/>
          </w:tblCellMar>
        </w:tblPrEx>
        <w:tc>
          <w:tcPr>
            <w:tcW w:w="1550" w:type="pct"/>
            <w:tcMar>
              <w:top w:w="70" w:type="dxa"/>
              <w:left w:w="90" w:type="dxa"/>
              <w:bottom w:w="70" w:type="dxa"/>
              <w:right w:w="90" w:type="dxa"/>
            </w:tcMar>
          </w:tcPr>
          <w:p w14:paraId="513DEC8D" w14:textId="77777777" w:rsidR="009B0AB1" w:rsidRDefault="00000000">
            <w:r>
              <w:rPr>
                <w:color w:val="000000"/>
                <w:sz w:val="19"/>
                <w:szCs w:val="19"/>
              </w:rPr>
              <w:t>GitHub Actions</w:t>
            </w:r>
          </w:p>
        </w:tc>
        <w:tc>
          <w:tcPr>
            <w:tcW w:w="1800" w:type="pct"/>
            <w:tcMar>
              <w:top w:w="70" w:type="dxa"/>
              <w:left w:w="90" w:type="dxa"/>
              <w:bottom w:w="70" w:type="dxa"/>
              <w:right w:w="90" w:type="dxa"/>
            </w:tcMar>
          </w:tcPr>
          <w:p w14:paraId="4FA8B88F" w14:textId="77777777" w:rsidR="009B0AB1" w:rsidRDefault="00000000">
            <w:proofErr w:type="spellStart"/>
            <w:r>
              <w:rPr>
                <w:color w:val="000000"/>
                <w:sz w:val="19"/>
                <w:szCs w:val="19"/>
              </w:rPr>
              <w:t>rohub</w:t>
            </w:r>
            <w:proofErr w:type="spellEnd"/>
            <w:r>
              <w:rPr>
                <w:color w:val="000000"/>
                <w:sz w:val="19"/>
                <w:szCs w:val="19"/>
              </w:rPr>
              <w:t>-sync-action</w:t>
            </w:r>
          </w:p>
        </w:tc>
        <w:tc>
          <w:tcPr>
            <w:tcW w:w="1600" w:type="pct"/>
            <w:tcMar>
              <w:top w:w="70" w:type="dxa"/>
              <w:left w:w="90" w:type="dxa"/>
              <w:bottom w:w="70" w:type="dxa"/>
              <w:right w:w="90" w:type="dxa"/>
            </w:tcMar>
          </w:tcPr>
          <w:p w14:paraId="16BD2FE7" w14:textId="77777777" w:rsidR="009B0AB1" w:rsidRDefault="00000000">
            <w:r>
              <w:rPr>
                <w:color w:val="000000"/>
                <w:sz w:val="19"/>
                <w:szCs w:val="19"/>
              </w:rPr>
              <w:t>[name]-action</w:t>
            </w:r>
          </w:p>
        </w:tc>
      </w:tr>
      <w:tr w:rsidR="009B0AB1" w14:paraId="00F8EC0D" w14:textId="77777777">
        <w:tblPrEx>
          <w:tblCellMar>
            <w:top w:w="0" w:type="dxa"/>
            <w:bottom w:w="0" w:type="dxa"/>
          </w:tblCellMar>
        </w:tblPrEx>
        <w:tc>
          <w:tcPr>
            <w:tcW w:w="1550" w:type="pct"/>
            <w:tcMar>
              <w:top w:w="70" w:type="dxa"/>
              <w:left w:w="90" w:type="dxa"/>
              <w:bottom w:w="70" w:type="dxa"/>
              <w:right w:w="90" w:type="dxa"/>
            </w:tcMar>
          </w:tcPr>
          <w:p w14:paraId="17A392F9" w14:textId="77777777" w:rsidR="009B0AB1" w:rsidRDefault="00000000">
            <w:r>
              <w:rPr>
                <w:color w:val="000000"/>
                <w:sz w:val="19"/>
                <w:szCs w:val="19"/>
              </w:rPr>
              <w:t>GitHub Pages actions</w:t>
            </w:r>
          </w:p>
        </w:tc>
        <w:tc>
          <w:tcPr>
            <w:tcW w:w="1800" w:type="pct"/>
            <w:tcMar>
              <w:top w:w="70" w:type="dxa"/>
              <w:left w:w="90" w:type="dxa"/>
              <w:bottom w:w="70" w:type="dxa"/>
              <w:right w:w="90" w:type="dxa"/>
            </w:tcMar>
          </w:tcPr>
          <w:p w14:paraId="794A0623" w14:textId="77777777" w:rsidR="009B0AB1" w:rsidRDefault="00000000">
            <w:r>
              <w:rPr>
                <w:color w:val="000000"/>
                <w:sz w:val="19"/>
                <w:szCs w:val="19"/>
              </w:rPr>
              <w:t>space-to-pages</w:t>
            </w:r>
          </w:p>
        </w:tc>
        <w:tc>
          <w:tcPr>
            <w:tcW w:w="1600" w:type="pct"/>
            <w:tcMar>
              <w:top w:w="70" w:type="dxa"/>
              <w:left w:w="90" w:type="dxa"/>
              <w:bottom w:w="70" w:type="dxa"/>
              <w:right w:w="90" w:type="dxa"/>
            </w:tcMar>
          </w:tcPr>
          <w:p w14:paraId="27DA68F3" w14:textId="77777777" w:rsidR="009B0AB1" w:rsidRDefault="00000000">
            <w:r>
              <w:rPr>
                <w:color w:val="000000"/>
                <w:sz w:val="19"/>
                <w:szCs w:val="19"/>
              </w:rPr>
              <w:t>[name]-pages</w:t>
            </w:r>
          </w:p>
        </w:tc>
      </w:tr>
      <w:tr w:rsidR="009B0AB1" w14:paraId="6F16FF78" w14:textId="77777777">
        <w:tblPrEx>
          <w:tblCellMar>
            <w:top w:w="0" w:type="dxa"/>
            <w:bottom w:w="0" w:type="dxa"/>
          </w:tblCellMar>
        </w:tblPrEx>
        <w:tc>
          <w:tcPr>
            <w:tcW w:w="1550" w:type="pct"/>
            <w:tcMar>
              <w:top w:w="70" w:type="dxa"/>
              <w:left w:w="90" w:type="dxa"/>
              <w:bottom w:w="70" w:type="dxa"/>
              <w:right w:w="90" w:type="dxa"/>
            </w:tcMar>
          </w:tcPr>
          <w:p w14:paraId="688463EB" w14:textId="77777777" w:rsidR="009B0AB1" w:rsidRDefault="00000000">
            <w:r>
              <w:rPr>
                <w:color w:val="000000"/>
                <w:sz w:val="19"/>
                <w:szCs w:val="19"/>
              </w:rPr>
              <w:t>RO-Crates</w:t>
            </w:r>
          </w:p>
        </w:tc>
        <w:tc>
          <w:tcPr>
            <w:tcW w:w="1800" w:type="pct"/>
            <w:tcMar>
              <w:top w:w="70" w:type="dxa"/>
              <w:left w:w="90" w:type="dxa"/>
              <w:bottom w:w="70" w:type="dxa"/>
              <w:right w:w="90" w:type="dxa"/>
            </w:tcMar>
          </w:tcPr>
          <w:p w14:paraId="39FA2D3A" w14:textId="77777777" w:rsidR="009B0AB1" w:rsidRDefault="00000000">
            <w:r>
              <w:rPr>
                <w:color w:val="000000"/>
                <w:sz w:val="19"/>
                <w:szCs w:val="19"/>
              </w:rPr>
              <w:t>observatory-</w:t>
            </w:r>
            <w:proofErr w:type="spellStart"/>
            <w:r>
              <w:rPr>
                <w:color w:val="000000"/>
                <w:sz w:val="19"/>
                <w:szCs w:val="19"/>
              </w:rPr>
              <w:t>bpns</w:t>
            </w:r>
            <w:proofErr w:type="spellEnd"/>
            <w:r>
              <w:rPr>
                <w:color w:val="000000"/>
                <w:sz w:val="19"/>
                <w:szCs w:val="19"/>
              </w:rPr>
              <w:t>-crate</w:t>
            </w:r>
          </w:p>
        </w:tc>
        <w:tc>
          <w:tcPr>
            <w:tcW w:w="1600" w:type="pct"/>
            <w:tcMar>
              <w:top w:w="70" w:type="dxa"/>
              <w:left w:w="90" w:type="dxa"/>
              <w:bottom w:w="70" w:type="dxa"/>
              <w:right w:w="90" w:type="dxa"/>
            </w:tcMar>
          </w:tcPr>
          <w:p w14:paraId="4DA5DCDE" w14:textId="77777777" w:rsidR="009B0AB1" w:rsidRDefault="00000000">
            <w:r>
              <w:rPr>
                <w:color w:val="000000"/>
                <w:sz w:val="19"/>
                <w:szCs w:val="19"/>
              </w:rPr>
              <w:t>[name]-crate</w:t>
            </w:r>
          </w:p>
        </w:tc>
      </w:tr>
      <w:tr w:rsidR="009B0AB1" w14:paraId="7D66E865" w14:textId="77777777">
        <w:tblPrEx>
          <w:tblCellMar>
            <w:top w:w="0" w:type="dxa"/>
            <w:bottom w:w="0" w:type="dxa"/>
          </w:tblCellMar>
        </w:tblPrEx>
        <w:tc>
          <w:tcPr>
            <w:tcW w:w="1550" w:type="pct"/>
            <w:tcMar>
              <w:top w:w="70" w:type="dxa"/>
              <w:left w:w="90" w:type="dxa"/>
              <w:bottom w:w="70" w:type="dxa"/>
              <w:right w:w="90" w:type="dxa"/>
            </w:tcMar>
          </w:tcPr>
          <w:p w14:paraId="6053A217" w14:textId="77777777" w:rsidR="009B0AB1" w:rsidRDefault="00000000">
            <w:r>
              <w:rPr>
                <w:color w:val="000000"/>
                <w:sz w:val="19"/>
                <w:szCs w:val="19"/>
              </w:rPr>
              <w:t>Web components</w:t>
            </w:r>
          </w:p>
        </w:tc>
        <w:tc>
          <w:tcPr>
            <w:tcW w:w="1800" w:type="pct"/>
            <w:tcMar>
              <w:top w:w="70" w:type="dxa"/>
              <w:left w:w="90" w:type="dxa"/>
              <w:bottom w:w="70" w:type="dxa"/>
              <w:right w:w="90" w:type="dxa"/>
            </w:tcMar>
          </w:tcPr>
          <w:p w14:paraId="037E442B" w14:textId="77777777" w:rsidR="009B0AB1" w:rsidRDefault="00000000">
            <w:proofErr w:type="spellStart"/>
            <w:r>
              <w:rPr>
                <w:color w:val="000000"/>
                <w:sz w:val="19"/>
                <w:szCs w:val="19"/>
              </w:rPr>
              <w:t>rocrate</w:t>
            </w:r>
            <w:proofErr w:type="spellEnd"/>
            <w:r>
              <w:rPr>
                <w:color w:val="000000"/>
                <w:sz w:val="19"/>
                <w:szCs w:val="19"/>
              </w:rPr>
              <w:t>-preview-widget</w:t>
            </w:r>
          </w:p>
        </w:tc>
        <w:tc>
          <w:tcPr>
            <w:tcW w:w="1600" w:type="pct"/>
            <w:tcMar>
              <w:top w:w="70" w:type="dxa"/>
              <w:left w:w="90" w:type="dxa"/>
              <w:bottom w:w="70" w:type="dxa"/>
              <w:right w:w="90" w:type="dxa"/>
            </w:tcMar>
          </w:tcPr>
          <w:p w14:paraId="1E09EA1C" w14:textId="77777777" w:rsidR="009B0AB1" w:rsidRDefault="00000000">
            <w:r>
              <w:rPr>
                <w:color w:val="000000"/>
                <w:sz w:val="19"/>
                <w:szCs w:val="19"/>
              </w:rPr>
              <w:t>[name]-widget</w:t>
            </w:r>
          </w:p>
        </w:tc>
      </w:tr>
    </w:tbl>
    <w:p w14:paraId="6FEE5BAE" w14:textId="77777777" w:rsidR="009B0AB1" w:rsidRDefault="009B0AB1">
      <w:pPr>
        <w:spacing w:after="100"/>
      </w:pPr>
    </w:p>
    <w:p w14:paraId="26401F1E" w14:textId="77777777" w:rsidR="009B0AB1" w:rsidRDefault="00000000">
      <w:pPr>
        <w:spacing w:after="100"/>
      </w:pPr>
      <w:r>
        <w:t xml:space="preserve">Branches: every repo keeps two default branches — main (release-ready code) and </w:t>
      </w:r>
      <w:proofErr w:type="spellStart"/>
      <w:r>
        <w:t>gh</w:t>
      </w:r>
      <w:proofErr w:type="spellEnd"/>
      <w:r>
        <w:t xml:space="preserve">-pages (documentation, auto-maintained by a </w:t>
      </w:r>
      <w:proofErr w:type="gramStart"/>
      <w:r>
        <w:t>docs</w:t>
      </w:r>
      <w:proofErr w:type="gramEnd"/>
      <w:r>
        <w:t xml:space="preserve"> workflow). All other work happens on a branch named {category}/{description} — e.g. fix/</w:t>
      </w:r>
      <w:proofErr w:type="spellStart"/>
      <w:r>
        <w:t>connection_bug</w:t>
      </w:r>
      <w:proofErr w:type="spellEnd"/>
      <w:r>
        <w:t xml:space="preserve"> — with the category being one of fix, feature, refactor, chore, docs, and the description in </w:t>
      </w:r>
      <w:proofErr w:type="spellStart"/>
      <w:r>
        <w:t>snake_case</w:t>
      </w:r>
      <w:proofErr w:type="spellEnd"/>
      <w:r>
        <w:t>.</w:t>
      </w:r>
    </w:p>
    <w:p w14:paraId="04F693F3" w14:textId="77777777" w:rsidR="009B0AB1" w:rsidRDefault="00000000">
      <w:pPr>
        <w:spacing w:after="100"/>
      </w:pPr>
      <w:r>
        <w:t xml:space="preserve">Commit messages: follow the Conventional Commits specification, formatted as "&lt;type&gt;: {action} {what} {where} {why}" — e.g. refactor: change </w:t>
      </w:r>
      <w:proofErr w:type="spellStart"/>
      <w:r>
        <w:t>args</w:t>
      </w:r>
      <w:proofErr w:type="spellEnd"/>
      <w:r>
        <w:t xml:space="preserve"> in </w:t>
      </w:r>
      <w:proofErr w:type="spellStart"/>
      <w:r>
        <w:t>funcA</w:t>
      </w:r>
      <w:proofErr w:type="spellEnd"/>
      <w:r>
        <w:t xml:space="preserve"> to allow </w:t>
      </w:r>
      <w:proofErr w:type="spellStart"/>
      <w:r>
        <w:t>typehinting</w:t>
      </w:r>
      <w:proofErr w:type="spellEnd"/>
      <w:r>
        <w:t>. Allowed types: build, chore, ci, docs, feat, fix, perf, refactor, revert, style, test.</w:t>
      </w:r>
    </w:p>
    <w:p w14:paraId="029680C9" w14:textId="77777777" w:rsidR="009B0AB1" w:rsidRDefault="00000000">
      <w:pPr>
        <w:spacing w:after="100"/>
      </w:pPr>
      <w:r>
        <w:t>Pull requests: every change goes on its own branch — direct pushes to main are not allowed. A PR needs a descriptive name/description and, before it can be merged, at least one approval plus passing checks (linting, testing, test coverage). Commits within a PR are expected to tell a cohesive, single-purpose story rather than being a messy history.</w:t>
      </w:r>
    </w:p>
    <w:p w14:paraId="62D758A3" w14:textId="77777777" w:rsidR="009B0AB1" w:rsidRDefault="00000000">
      <w:pPr>
        <w:pBdr>
          <w:bottom w:val="single" w:sz="6" w:space="4" w:color="9FE1CB"/>
        </w:pBdr>
        <w:spacing w:before="280" w:after="90"/>
      </w:pPr>
      <w:r>
        <w:rPr>
          <w:b/>
          <w:bCs/>
          <w:color w:val="0F6E56"/>
          <w:sz w:val="26"/>
          <w:szCs w:val="26"/>
        </w:rPr>
        <w:t>9. VLIZ Python conventions</w:t>
      </w:r>
    </w:p>
    <w:p w14:paraId="7A705934" w14:textId="77777777" w:rsidR="009B0AB1" w:rsidRDefault="00000000">
      <w:pPr>
        <w:spacing w:after="100"/>
      </w:pPr>
      <w:r>
        <w:t xml:space="preserve">Source: open-science.vliz.be/conventions/python — </w:t>
      </w:r>
      <w:proofErr w:type="spellStart"/>
      <w:r>
        <w:t>VLIZ's</w:t>
      </w:r>
      <w:proofErr w:type="spellEnd"/>
      <w:r>
        <w:t xml:space="preserve"> actual published conventions for Python projects.</w:t>
      </w:r>
    </w:p>
    <w:p w14:paraId="431B17A0" w14:textId="77777777" w:rsidR="009B0AB1" w:rsidRDefault="00000000">
      <w:pPr>
        <w:spacing w:after="100"/>
      </w:pPr>
      <w:r>
        <w:t>Dependency management: Poetry is the recommended tool for managing project dependencies and environments, to improve productivity and reduce dependency conflicts.</w:t>
      </w:r>
    </w:p>
    <w:p w14:paraId="01663929" w14:textId="77777777" w:rsidR="009B0AB1" w:rsidRDefault="00000000">
      <w:pPr>
        <w:spacing w:after="100"/>
      </w:pPr>
      <w:r>
        <w:t xml:space="preserve">Linting and formatting: projects follow Flake8's default settings, combined with Black and </w:t>
      </w:r>
      <w:proofErr w:type="spellStart"/>
      <w:r>
        <w:t>isort</w:t>
      </w:r>
      <w:proofErr w:type="spellEnd"/>
      <w:r>
        <w:t xml:space="preserve"> for code formatting. The one deviation from defaults is a maximum line length of 79 characters (not Black's usual 88).</w:t>
      </w:r>
    </w:p>
    <w:p w14:paraId="49AB79D0" w14:textId="77777777" w:rsidR="009B0AB1" w:rsidRDefault="00000000">
      <w:pPr>
        <w:spacing w:after="100"/>
      </w:pPr>
      <w:r>
        <w:lastRenderedPageBreak/>
        <w:t>Testing: an overall test coverage target of at least 90%, with a minimum of 85% coverage required for each individual file, so gaps in specific files can't hide behind a good overall average.</w:t>
      </w:r>
    </w:p>
    <w:p w14:paraId="526D08F0" w14:textId="77777777" w:rsidR="009B0AB1" w:rsidRDefault="00000000">
      <w:pPr>
        <w:spacing w:after="100"/>
      </w:pPr>
      <w:r>
        <w:t xml:space="preserve">Project template: new projects start from a shared </w:t>
      </w:r>
      <w:proofErr w:type="spellStart"/>
      <w:r>
        <w:t>cookiecutter</w:t>
      </w:r>
      <w:proofErr w:type="spellEnd"/>
      <w:r>
        <w:t xml:space="preserve"> template (</w:t>
      </w:r>
      <w:proofErr w:type="spellStart"/>
      <w:r>
        <w:t>vliz</w:t>
      </w:r>
      <w:proofErr w:type="spellEnd"/>
      <w:r>
        <w:t>-be-</w:t>
      </w:r>
      <w:proofErr w:type="spellStart"/>
      <w:r>
        <w:t>opsci</w:t>
      </w:r>
      <w:proofErr w:type="spellEnd"/>
      <w:r>
        <w:t>/</w:t>
      </w:r>
      <w:proofErr w:type="spellStart"/>
      <w:r>
        <w:t>cookiecutter</w:t>
      </w:r>
      <w:proofErr w:type="spellEnd"/>
      <w:r>
        <w:t>-</w:t>
      </w:r>
      <w:proofErr w:type="spellStart"/>
      <w:r>
        <w:t>py</w:t>
      </w:r>
      <w:proofErr w:type="spellEnd"/>
      <w:r>
        <w:t>-module), so every project starts with the same structure and tooling already wired in.</w:t>
      </w:r>
    </w:p>
    <w:p w14:paraId="3BFCC577" w14:textId="77777777" w:rsidR="009B0AB1" w:rsidRDefault="00000000">
      <w:pPr>
        <w:spacing w:after="100"/>
      </w:pPr>
      <w:r>
        <w:t xml:space="preserve">Standard </w:t>
      </w:r>
      <w:proofErr w:type="spellStart"/>
      <w:r>
        <w:t>Makefile</w:t>
      </w:r>
      <w:proofErr w:type="spellEnd"/>
      <w:r>
        <w:t xml:space="preserve"> commands, provided by that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6010"/>
      </w:tblGrid>
      <w:tr w:rsidR="009B0AB1" w14:paraId="6AEB5278" w14:textId="77777777">
        <w:tblPrEx>
          <w:tblCellMar>
            <w:top w:w="0" w:type="dxa"/>
            <w:bottom w:w="0" w:type="dxa"/>
          </w:tblCellMar>
        </w:tblPrEx>
        <w:tc>
          <w:tcPr>
            <w:tcW w:w="1650" w:type="pct"/>
            <w:shd w:val="clear" w:color="auto" w:fill="0F6E56"/>
            <w:tcMar>
              <w:top w:w="70" w:type="dxa"/>
              <w:left w:w="90" w:type="dxa"/>
              <w:bottom w:w="70" w:type="dxa"/>
              <w:right w:w="90" w:type="dxa"/>
            </w:tcMar>
          </w:tcPr>
          <w:p w14:paraId="6B303DBF" w14:textId="77777777" w:rsidR="009B0AB1" w:rsidRDefault="00000000">
            <w:r>
              <w:rPr>
                <w:b/>
                <w:bCs/>
                <w:color w:val="FFFFFF"/>
                <w:sz w:val="19"/>
                <w:szCs w:val="19"/>
              </w:rPr>
              <w:t>Command</w:t>
            </w:r>
          </w:p>
        </w:tc>
        <w:tc>
          <w:tcPr>
            <w:tcW w:w="3300" w:type="pct"/>
            <w:shd w:val="clear" w:color="auto" w:fill="0F6E56"/>
            <w:tcMar>
              <w:top w:w="70" w:type="dxa"/>
              <w:left w:w="90" w:type="dxa"/>
              <w:bottom w:w="70" w:type="dxa"/>
              <w:right w:w="90" w:type="dxa"/>
            </w:tcMar>
          </w:tcPr>
          <w:p w14:paraId="34BDA839" w14:textId="77777777" w:rsidR="009B0AB1" w:rsidRDefault="00000000">
            <w:r>
              <w:rPr>
                <w:b/>
                <w:bCs/>
                <w:color w:val="FFFFFF"/>
                <w:sz w:val="19"/>
                <w:szCs w:val="19"/>
              </w:rPr>
              <w:t>What it does</w:t>
            </w:r>
          </w:p>
        </w:tc>
      </w:tr>
      <w:tr w:rsidR="009B0AB1" w14:paraId="65407383" w14:textId="77777777">
        <w:tblPrEx>
          <w:tblCellMar>
            <w:top w:w="0" w:type="dxa"/>
            <w:bottom w:w="0" w:type="dxa"/>
          </w:tblCellMar>
        </w:tblPrEx>
        <w:tc>
          <w:tcPr>
            <w:tcW w:w="1650" w:type="pct"/>
            <w:tcMar>
              <w:top w:w="70" w:type="dxa"/>
              <w:left w:w="90" w:type="dxa"/>
              <w:bottom w:w="70" w:type="dxa"/>
              <w:right w:w="90" w:type="dxa"/>
            </w:tcMar>
          </w:tcPr>
          <w:p w14:paraId="60C7B589" w14:textId="77777777" w:rsidR="009B0AB1" w:rsidRDefault="00000000">
            <w:r>
              <w:rPr>
                <w:color w:val="000000"/>
                <w:sz w:val="19"/>
                <w:szCs w:val="19"/>
              </w:rPr>
              <w:t xml:space="preserve">make </w:t>
            </w:r>
            <w:proofErr w:type="spellStart"/>
            <w:r>
              <w:rPr>
                <w:color w:val="000000"/>
                <w:sz w:val="19"/>
                <w:szCs w:val="19"/>
              </w:rPr>
              <w:t>init</w:t>
            </w:r>
            <w:proofErr w:type="spellEnd"/>
            <w:r>
              <w:rPr>
                <w:color w:val="000000"/>
                <w:sz w:val="19"/>
                <w:szCs w:val="19"/>
              </w:rPr>
              <w:t>-dev</w:t>
            </w:r>
          </w:p>
        </w:tc>
        <w:tc>
          <w:tcPr>
            <w:tcW w:w="3300" w:type="pct"/>
            <w:tcMar>
              <w:top w:w="70" w:type="dxa"/>
              <w:left w:w="90" w:type="dxa"/>
              <w:bottom w:w="70" w:type="dxa"/>
              <w:right w:w="90" w:type="dxa"/>
            </w:tcMar>
          </w:tcPr>
          <w:p w14:paraId="688C30FE" w14:textId="77777777" w:rsidR="009B0AB1" w:rsidRDefault="00000000">
            <w:r>
              <w:rPr>
                <w:color w:val="000000"/>
                <w:sz w:val="19"/>
                <w:szCs w:val="19"/>
              </w:rPr>
              <w:t>Installs all necessary tools and sets up a pre-commit hook, which blocks commits that don't meet these conventions</w:t>
            </w:r>
          </w:p>
        </w:tc>
      </w:tr>
      <w:tr w:rsidR="009B0AB1" w14:paraId="16CADAE8" w14:textId="77777777">
        <w:tblPrEx>
          <w:tblCellMar>
            <w:top w:w="0" w:type="dxa"/>
            <w:bottom w:w="0" w:type="dxa"/>
          </w:tblCellMar>
        </w:tblPrEx>
        <w:tc>
          <w:tcPr>
            <w:tcW w:w="1650" w:type="pct"/>
            <w:tcMar>
              <w:top w:w="70" w:type="dxa"/>
              <w:left w:w="90" w:type="dxa"/>
              <w:bottom w:w="70" w:type="dxa"/>
              <w:right w:w="90" w:type="dxa"/>
            </w:tcMar>
          </w:tcPr>
          <w:p w14:paraId="749C505D" w14:textId="77777777" w:rsidR="009B0AB1" w:rsidRDefault="00000000">
            <w:r>
              <w:rPr>
                <w:color w:val="000000"/>
                <w:sz w:val="19"/>
                <w:szCs w:val="19"/>
              </w:rPr>
              <w:t>make lint-fix</w:t>
            </w:r>
          </w:p>
        </w:tc>
        <w:tc>
          <w:tcPr>
            <w:tcW w:w="3300" w:type="pct"/>
            <w:tcMar>
              <w:top w:w="70" w:type="dxa"/>
              <w:left w:w="90" w:type="dxa"/>
              <w:bottom w:w="70" w:type="dxa"/>
              <w:right w:w="90" w:type="dxa"/>
            </w:tcMar>
          </w:tcPr>
          <w:p w14:paraId="2BC3EF94" w14:textId="77777777" w:rsidR="009B0AB1" w:rsidRDefault="00000000">
            <w:r>
              <w:rPr>
                <w:color w:val="000000"/>
                <w:sz w:val="19"/>
                <w:szCs w:val="19"/>
              </w:rPr>
              <w:t>Applies the linting rules automatically</w:t>
            </w:r>
          </w:p>
        </w:tc>
      </w:tr>
      <w:tr w:rsidR="009B0AB1" w14:paraId="41DED984" w14:textId="77777777">
        <w:tblPrEx>
          <w:tblCellMar>
            <w:top w:w="0" w:type="dxa"/>
            <w:bottom w:w="0" w:type="dxa"/>
          </w:tblCellMar>
        </w:tblPrEx>
        <w:tc>
          <w:tcPr>
            <w:tcW w:w="1650" w:type="pct"/>
            <w:tcMar>
              <w:top w:w="70" w:type="dxa"/>
              <w:left w:w="90" w:type="dxa"/>
              <w:bottom w:w="70" w:type="dxa"/>
              <w:right w:w="90" w:type="dxa"/>
            </w:tcMar>
          </w:tcPr>
          <w:p w14:paraId="7F3CBD76" w14:textId="77777777" w:rsidR="009B0AB1" w:rsidRDefault="00000000">
            <w:r>
              <w:rPr>
                <w:color w:val="000000"/>
                <w:sz w:val="19"/>
                <w:szCs w:val="19"/>
              </w:rPr>
              <w:t>make lint-check</w:t>
            </w:r>
          </w:p>
        </w:tc>
        <w:tc>
          <w:tcPr>
            <w:tcW w:w="3300" w:type="pct"/>
            <w:tcMar>
              <w:top w:w="70" w:type="dxa"/>
              <w:left w:w="90" w:type="dxa"/>
              <w:bottom w:w="70" w:type="dxa"/>
              <w:right w:w="90" w:type="dxa"/>
            </w:tcMar>
          </w:tcPr>
          <w:p w14:paraId="583D4722" w14:textId="77777777" w:rsidR="009B0AB1" w:rsidRDefault="00000000">
            <w:r>
              <w:rPr>
                <w:color w:val="000000"/>
                <w:sz w:val="19"/>
                <w:szCs w:val="19"/>
              </w:rPr>
              <w:t>Checks the linting rules without changing anything</w:t>
            </w:r>
          </w:p>
        </w:tc>
      </w:tr>
      <w:tr w:rsidR="009B0AB1" w14:paraId="3D66A234" w14:textId="77777777">
        <w:tblPrEx>
          <w:tblCellMar>
            <w:top w:w="0" w:type="dxa"/>
            <w:bottom w:w="0" w:type="dxa"/>
          </w:tblCellMar>
        </w:tblPrEx>
        <w:tc>
          <w:tcPr>
            <w:tcW w:w="1650" w:type="pct"/>
            <w:tcMar>
              <w:top w:w="70" w:type="dxa"/>
              <w:left w:w="90" w:type="dxa"/>
              <w:bottom w:w="70" w:type="dxa"/>
              <w:right w:w="90" w:type="dxa"/>
            </w:tcMar>
          </w:tcPr>
          <w:p w14:paraId="1D4B6197" w14:textId="77777777" w:rsidR="009B0AB1" w:rsidRDefault="00000000">
            <w:r>
              <w:rPr>
                <w:color w:val="000000"/>
                <w:sz w:val="19"/>
                <w:szCs w:val="19"/>
              </w:rPr>
              <w:t>make test-coverage</w:t>
            </w:r>
          </w:p>
        </w:tc>
        <w:tc>
          <w:tcPr>
            <w:tcW w:w="3300" w:type="pct"/>
            <w:tcMar>
              <w:top w:w="70" w:type="dxa"/>
              <w:left w:w="90" w:type="dxa"/>
              <w:bottom w:w="70" w:type="dxa"/>
              <w:right w:w="90" w:type="dxa"/>
            </w:tcMar>
          </w:tcPr>
          <w:p w14:paraId="6FEBA004" w14:textId="77777777" w:rsidR="009B0AB1" w:rsidRDefault="00000000">
            <w:r>
              <w:rPr>
                <w:color w:val="000000"/>
                <w:sz w:val="19"/>
                <w:szCs w:val="19"/>
              </w:rPr>
              <w:t>Runs the tests and checks coverage</w:t>
            </w:r>
          </w:p>
        </w:tc>
      </w:tr>
    </w:tbl>
    <w:p w14:paraId="25697C55" w14:textId="77777777" w:rsidR="009B0AB1" w:rsidRDefault="009B0AB1">
      <w:pPr>
        <w:spacing w:after="100"/>
      </w:pPr>
    </w:p>
    <w:p w14:paraId="5AD3A1BE" w14:textId="77777777" w:rsidR="009B0AB1" w:rsidRDefault="00000000">
      <w:pPr>
        <w:spacing w:after="100"/>
      </w:pPr>
      <w:r>
        <w:t xml:space="preserve">Without the template, the same checks can be run manually: </w:t>
      </w:r>
      <w:proofErr w:type="gramStart"/>
      <w:r>
        <w:t>black .</w:t>
      </w:r>
      <w:proofErr w:type="gramEnd"/>
      <w:r>
        <w:t xml:space="preserve">, </w:t>
      </w:r>
      <w:proofErr w:type="spellStart"/>
      <w:proofErr w:type="gramStart"/>
      <w:r>
        <w:t>isort</w:t>
      </w:r>
      <w:proofErr w:type="spellEnd"/>
      <w:r>
        <w:t xml:space="preserve"> .</w:t>
      </w:r>
      <w:proofErr w:type="gramEnd"/>
      <w:r>
        <w:t>, flake8.</w:t>
      </w:r>
    </w:p>
    <w:p w14:paraId="03F0E033" w14:textId="77777777" w:rsidR="009B0AB1" w:rsidRDefault="00000000">
      <w:pPr>
        <w:spacing w:after="100"/>
      </w:pPr>
      <w:r>
        <w:t xml:space="preserve">Documentation: built with Sphinx; docstrings follow Sphinx's </w:t>
      </w:r>
      <w:proofErr w:type="spellStart"/>
      <w:r>
        <w:t>reStructuredText</w:t>
      </w:r>
      <w:proofErr w:type="spellEnd"/>
      <w:r>
        <w:t xml:space="preserve"> markup conventions.</w:t>
      </w:r>
    </w:p>
    <w:p w14:paraId="4AD5C6C3" w14:textId="77777777" w:rsidR="009B0AB1" w:rsidRDefault="00000000">
      <w:pPr>
        <w:spacing w:after="100"/>
      </w:pPr>
      <w:r>
        <w:t>Code authoring style — four strong, explicitly-stated suggestions (not rigid rules, but meant to reduce "surprise" and build shared ownership):</w:t>
      </w:r>
    </w:p>
    <w:p w14:paraId="06371690" w14:textId="77777777" w:rsidR="009B0AB1" w:rsidRDefault="00000000">
      <w:pPr>
        <w:pStyle w:val="ListParagraph"/>
        <w:numPr>
          <w:ilvl w:val="0"/>
          <w:numId w:val="1"/>
        </w:numPr>
        <w:spacing w:after="50"/>
      </w:pPr>
      <w:proofErr w:type="spellStart"/>
      <w:r>
        <w:t>snake_case</w:t>
      </w:r>
      <w:proofErr w:type="spellEnd"/>
      <w:r>
        <w:t xml:space="preserve"> for variable and function names</w:t>
      </w:r>
    </w:p>
    <w:p w14:paraId="0A693F20" w14:textId="77777777" w:rsidR="009B0AB1" w:rsidRDefault="00000000">
      <w:pPr>
        <w:pStyle w:val="ListParagraph"/>
        <w:numPr>
          <w:ilvl w:val="0"/>
          <w:numId w:val="1"/>
        </w:numPr>
        <w:spacing w:after="50"/>
      </w:pPr>
      <w:proofErr w:type="spellStart"/>
      <w:proofErr w:type="gramStart"/>
      <w:r>
        <w:t>pathlib.Path</w:t>
      </w:r>
      <w:proofErr w:type="spellEnd"/>
      <w:proofErr w:type="gramEnd"/>
      <w:r>
        <w:t xml:space="preserve"> over the older </w:t>
      </w:r>
      <w:proofErr w:type="spellStart"/>
      <w:proofErr w:type="gramStart"/>
      <w:r>
        <w:t>os.path</w:t>
      </w:r>
      <w:proofErr w:type="spellEnd"/>
      <w:proofErr w:type="gramEnd"/>
      <w:r>
        <w:t xml:space="preserve"> — including embracing the overloaded / operator for platform-portable path joins</w:t>
      </w:r>
    </w:p>
    <w:p w14:paraId="02A75392" w14:textId="77777777" w:rsidR="009B0AB1" w:rsidRDefault="00000000">
      <w:pPr>
        <w:pStyle w:val="ListParagraph"/>
        <w:numPr>
          <w:ilvl w:val="0"/>
          <w:numId w:val="1"/>
        </w:numPr>
        <w:spacing w:after="50"/>
      </w:pPr>
      <w:r>
        <w:t xml:space="preserve">f-string interpolation (f"{var}") over % formatting </w:t>
      </w:r>
      <w:proofErr w:type="gramStart"/>
      <w:r>
        <w:t>or .format</w:t>
      </w:r>
      <w:proofErr w:type="gramEnd"/>
      <w:r>
        <w:t>(), for clarity of what's being substituted</w:t>
      </w:r>
    </w:p>
    <w:p w14:paraId="683DAA34" w14:textId="77777777" w:rsidR="009B0AB1" w:rsidRDefault="00000000">
      <w:pPr>
        <w:pStyle w:val="ListParagraph"/>
        <w:numPr>
          <w:ilvl w:val="0"/>
          <w:numId w:val="1"/>
        </w:numPr>
        <w:spacing w:after="50"/>
      </w:pPr>
      <w:r>
        <w:t>type hints on every variable/argument (: type) and every function return (-&gt; type)</w:t>
      </w:r>
    </w:p>
    <w:p w14:paraId="20B78681" w14:textId="77777777" w:rsidR="009B0AB1" w:rsidRDefault="00000000">
      <w:pPr>
        <w:spacing w:after="100"/>
      </w:pPr>
      <w:r>
        <w:t>Design by contract style: modules and functions should be introduced with a clear service "contract" — well-chosen names, explicit preconditions (expected prior state), postconditions (guaranteed outcomes), useful invariants, and declared exceptions for accepted failure cases. In practice this is upheld by hiding implementation details in subclasses, marking private members with a leading underscore, exposing only ABC classes that depict method signatures, and keeping __</w:t>
      </w:r>
      <w:proofErr w:type="spellStart"/>
      <w:r>
        <w:t>init</w:t>
      </w:r>
      <w:proofErr w:type="spellEnd"/>
      <w:r>
        <w:t>__.</w:t>
      </w:r>
      <w:proofErr w:type="spellStart"/>
      <w:r>
        <w:t>py's</w:t>
      </w:r>
      <w:proofErr w:type="spellEnd"/>
      <w:r>
        <w:t xml:space="preserve"> package-level exposure limited. The reasoning given: what a module exposes becomes something client code depends on, so it can't be changed incompatibly later without that change leaking through to every dependent — so the contract surface is treated as a backward-compatibility commitment.</w:t>
      </w:r>
    </w:p>
    <w:p w14:paraId="3BAFC5C6" w14:textId="77777777" w:rsidR="009B0AB1" w:rsidRDefault="00000000">
      <w:pPr>
        <w:pBdr>
          <w:bottom w:val="single" w:sz="6" w:space="4" w:color="9FE1CB"/>
        </w:pBdr>
        <w:spacing w:before="280" w:after="90"/>
      </w:pPr>
      <w:r>
        <w:rPr>
          <w:b/>
          <w:bCs/>
          <w:color w:val="0F6E56"/>
          <w:sz w:val="26"/>
          <w:szCs w:val="26"/>
        </w:rPr>
        <w:t>10. Git and environment basics</w:t>
      </w:r>
    </w:p>
    <w:p w14:paraId="61431EA2" w14:textId="77777777" w:rsidR="009B0AB1" w:rsidRDefault="00000000">
      <w:pPr>
        <w:spacing w:after="100"/>
      </w:pPr>
      <w:r>
        <w:t>Covers the core Git add/commit/push cycle; how to recognise environment variables in code and configuration (</w:t>
      </w:r>
      <w:proofErr w:type="spellStart"/>
      <w:proofErr w:type="gramStart"/>
      <w:r>
        <w:t>os.getenv</w:t>
      </w:r>
      <w:proofErr w:type="spellEnd"/>
      <w:proofErr w:type="gramEnd"/>
      <w:r>
        <w:t xml:space="preserve">(...) patterns in Python, ENV lines in a </w:t>
      </w:r>
      <w:proofErr w:type="spellStart"/>
      <w:r>
        <w:t>Dockerfile</w:t>
      </w:r>
      <w:proofErr w:type="spellEnd"/>
      <w:r>
        <w:t>, env: sections in a GitHub workflow file); how to find a project's dependencies (</w:t>
      </w:r>
      <w:proofErr w:type="spellStart"/>
      <w:r>
        <w:t>Dockerfile</w:t>
      </w:r>
      <w:proofErr w:type="spellEnd"/>
      <w:r>
        <w:t xml:space="preserve"> RUN pip install lines, requirements.txt, </w:t>
      </w:r>
      <w:proofErr w:type="spellStart"/>
      <w:proofErr w:type="gramStart"/>
      <w:r>
        <w:t>pyproject.toml</w:t>
      </w:r>
      <w:proofErr w:type="spellEnd"/>
      <w:proofErr w:type="gramEnd"/>
      <w:r>
        <w:t>, and the import statements themselves); and why virtual environments exist and how to set one up.</w:t>
      </w:r>
    </w:p>
    <w:p w14:paraId="66FB27A8" w14:textId="77777777" w:rsidR="009B0AB1" w:rsidRDefault="00000000">
      <w:pPr>
        <w:pBdr>
          <w:bottom w:val="single" w:sz="6" w:space="4" w:color="9FE1CB"/>
        </w:pBdr>
        <w:spacing w:before="280" w:after="90"/>
      </w:pPr>
      <w:r>
        <w:rPr>
          <w:b/>
          <w:bCs/>
          <w:color w:val="0F6E56"/>
          <w:sz w:val="26"/>
          <w:szCs w:val="26"/>
        </w:rPr>
        <w:t>11. Observations</w:t>
      </w:r>
    </w:p>
    <w:p w14:paraId="4C2D4D12" w14:textId="77777777" w:rsidR="009B0AB1" w:rsidRDefault="00000000">
      <w:pPr>
        <w:spacing w:after="100"/>
      </w:pPr>
      <w:r>
        <w:t xml:space="preserve">Personal notes and feedback on documentation quality across the EMO-BON organisation's repositories — for example, that some repos document primarily through the generated </w:t>
      </w:r>
      <w:proofErr w:type="spellStart"/>
      <w:r>
        <w:t>ro</w:t>
      </w:r>
      <w:proofErr w:type="spellEnd"/>
      <w:r>
        <w:t>-crate-</w:t>
      </w:r>
      <w:proofErr w:type="spellStart"/>
      <w:proofErr w:type="gramStart"/>
      <w:r>
        <w:t>metadata.json</w:t>
      </w:r>
      <w:proofErr w:type="spellEnd"/>
      <w:proofErr w:type="gramEnd"/>
      <w:r>
        <w:t xml:space="preserve"> itself rather than a written README, while others (like populate-action) have very minimal, technical-only documentation. Includes a suggestion that documentation could offer both a short expert version and a longer beginner-friendly version.</w:t>
      </w:r>
    </w:p>
    <w:p w14:paraId="00F27ABE" w14:textId="77777777" w:rsidR="009B0AB1" w:rsidRDefault="00000000">
      <w:r>
        <w:br w:type="page"/>
      </w:r>
    </w:p>
    <w:p w14:paraId="715B7E46" w14:textId="77777777" w:rsidR="009B0AB1" w:rsidRDefault="00000000">
      <w:pPr>
        <w:pStyle w:val="Heading1"/>
        <w:spacing w:before="300" w:after="150"/>
      </w:pPr>
      <w:r>
        <w:lastRenderedPageBreak/>
        <w:t>Part 2 — Today's session: data-quality-control-action deep dive</w:t>
      </w:r>
    </w:p>
    <w:p w14:paraId="5E08268F" w14:textId="77777777" w:rsidR="009B0AB1" w:rsidRDefault="00000000">
      <w:pPr>
        <w:spacing w:after="100"/>
      </w:pPr>
      <w:r>
        <w:t xml:space="preserve">A full, line-by-line study of Phase 2 of the pipeline — validating and repairing the raw </w:t>
      </w:r>
      <w:proofErr w:type="spellStart"/>
      <w:r>
        <w:t>logsheet</w:t>
      </w:r>
      <w:proofErr w:type="spellEnd"/>
      <w:r>
        <w:t xml:space="preserve"> data before it moves on to semantic uplifting.</w:t>
      </w:r>
    </w:p>
    <w:p w14:paraId="79BC2D50" w14:textId="77777777" w:rsidR="009B0AB1" w:rsidRDefault="00000000">
      <w:pPr>
        <w:pBdr>
          <w:bottom w:val="single" w:sz="6" w:space="4" w:color="9FE1CB"/>
        </w:pBdr>
        <w:spacing w:before="280" w:after="90"/>
      </w:pPr>
      <w:r>
        <w:rPr>
          <w:b/>
          <w:bCs/>
          <w:color w:val="0F6E56"/>
          <w:sz w:val="26"/>
          <w:szCs w:val="26"/>
        </w:rPr>
        <w:t>013. Data quality control (Phase 2): code walkthrough</w:t>
      </w:r>
    </w:p>
    <w:p w14:paraId="43234F72" w14:textId="77777777" w:rsidR="009B0AB1" w:rsidRDefault="00000000">
      <w:pPr>
        <w:spacing w:after="100"/>
      </w:pPr>
      <w:r>
        <w:t>A complete read-through of every file in the data-quality-control-action repository:</w:t>
      </w:r>
    </w:p>
    <w:p w14:paraId="3CABAC25" w14:textId="77777777" w:rsidR="009B0AB1" w:rsidRDefault="00000000">
      <w:pPr>
        <w:pStyle w:val="ListParagraph"/>
        <w:numPr>
          <w:ilvl w:val="0"/>
          <w:numId w:val="1"/>
        </w:numPr>
        <w:spacing w:after="50"/>
      </w:pPr>
      <w:r>
        <w:t>The three output files and how they relate: dqc.csv (every violation found, fixed and unfixed), report.csv (the subset still needing a human), and logfile (whether the script itself ran cleanly — independent of data quality).</w:t>
      </w:r>
    </w:p>
    <w:p w14:paraId="20F7D837" w14:textId="77777777" w:rsidR="009B0AB1" w:rsidRDefault="00000000">
      <w:pPr>
        <w:pStyle w:val="ListParagraph"/>
        <w:numPr>
          <w:ilvl w:val="0"/>
          <w:numId w:val="1"/>
        </w:numPr>
        <w:spacing w:after="50"/>
      </w:pPr>
      <w:r>
        <w:t>The threshold date: not "only check new data" but a buffer against incomplete lab results — old data is re-checked on every run, since Google Sheet corrections and rule changes both need re-validating.</w:t>
      </w:r>
    </w:p>
    <w:p w14:paraId="5F2E887A" w14:textId="77777777" w:rsidR="009B0AB1" w:rsidRDefault="00000000">
      <w:pPr>
        <w:pStyle w:val="ListParagraph"/>
        <w:numPr>
          <w:ilvl w:val="0"/>
          <w:numId w:val="1"/>
        </w:numPr>
        <w:spacing w:after="50"/>
      </w:pPr>
      <w:r>
        <w:t xml:space="preserve">__main__.py in full: the --dev flag and why it exists (same script, two environments — GitHub Actions vs. local), why python -m action is required (relative imports), reading the 8 settings, building the 4 working folders, </w:t>
      </w:r>
      <w:proofErr w:type="spellStart"/>
      <w:r>
        <w:t>filter_logsheets</w:t>
      </w:r>
      <w:proofErr w:type="spellEnd"/>
      <w:r>
        <w:t xml:space="preserve">() (date filtering on sampling, consistency filtering on measured via </w:t>
      </w:r>
      <w:proofErr w:type="spellStart"/>
      <w:r>
        <w:t>source_mat_id</w:t>
      </w:r>
      <w:proofErr w:type="spellEnd"/>
      <w:r>
        <w:t xml:space="preserve">, observatory copied through unchanged), </w:t>
      </w:r>
      <w:proofErr w:type="spellStart"/>
      <w:r>
        <w:t>create_report</w:t>
      </w:r>
      <w:proofErr w:type="spellEnd"/>
      <w:r>
        <w:t xml:space="preserve">() (translating and filtering dqc.csv into report.csv), </w:t>
      </w:r>
      <w:proofErr w:type="spellStart"/>
      <w:r>
        <w:t>create_issue</w:t>
      </w:r>
      <w:proofErr w:type="spellEnd"/>
      <w:r>
        <w:t xml:space="preserve">() (opens a real GitHub issue — disabled locally via --dev), the habitat-selection logic, and the final orchestration calling </w:t>
      </w:r>
      <w:proofErr w:type="spellStart"/>
      <w:r>
        <w:t>RuleEngine</w:t>
      </w:r>
      <w:proofErr w:type="spellEnd"/>
      <w:r>
        <w:t xml:space="preserve"> then Pipeline.</w:t>
      </w:r>
    </w:p>
    <w:p w14:paraId="173689A3" w14:textId="77777777" w:rsidR="009B0AB1" w:rsidRDefault="00000000">
      <w:pPr>
        <w:pStyle w:val="ListParagraph"/>
        <w:numPr>
          <w:ilvl w:val="0"/>
          <w:numId w:val="1"/>
        </w:numPr>
        <w:spacing w:after="50"/>
      </w:pPr>
      <w:r>
        <w:t xml:space="preserve">pipeline.py: the Pipeline class and its </w:t>
      </w:r>
      <w:proofErr w:type="spellStart"/>
      <w:r>
        <w:t>quick_</w:t>
      </w:r>
      <w:proofErr w:type="gramStart"/>
      <w:r>
        <w:t>fix</w:t>
      </w:r>
      <w:proofErr w:type="spellEnd"/>
      <w:r>
        <w:t>(</w:t>
      </w:r>
      <w:proofErr w:type="gramEnd"/>
      <w:r>
        <w:t>) method, which applies every violation's known repair value cell-by-cell; three further repair steps are still unimplemented placeholders.</w:t>
      </w:r>
    </w:p>
    <w:p w14:paraId="224AF979" w14:textId="77777777" w:rsidR="009B0AB1" w:rsidRDefault="00000000">
      <w:pPr>
        <w:pStyle w:val="ListParagraph"/>
        <w:numPr>
          <w:ilvl w:val="0"/>
          <w:numId w:val="1"/>
        </w:numPr>
        <w:spacing w:after="50"/>
      </w:pPr>
      <w:r>
        <w:t xml:space="preserve">rules.py: the full catalogue of validation rules — chronological date-order checks, a depth sanity check, strict </w:t>
      </w:r>
      <w:proofErr w:type="spellStart"/>
      <w:r>
        <w:t>source_mat_id</w:t>
      </w:r>
      <w:proofErr w:type="spellEnd"/>
      <w:r>
        <w:t xml:space="preserve"> pattern matching, live cross-checks against the NCBI Taxonomy and ORCID registries, auto-repairable ENVO/EDMO URI checks, and a sediment-only allowed-values check.</w:t>
      </w:r>
    </w:p>
    <w:p w14:paraId="315166D5" w14:textId="77777777" w:rsidR="009B0AB1" w:rsidRDefault="00000000">
      <w:pPr>
        <w:pStyle w:val="ListParagraph"/>
        <w:numPr>
          <w:ilvl w:val="0"/>
          <w:numId w:val="1"/>
        </w:numPr>
        <w:spacing w:after="50"/>
      </w:pPr>
      <w:r>
        <w:t xml:space="preserve">data_model.py and extensions.py: how the </w:t>
      </w:r>
      <w:proofErr w:type="spellStart"/>
      <w:r>
        <w:t>DataModel</w:t>
      </w:r>
      <w:proofErr w:type="spellEnd"/>
      <w:r>
        <w:t xml:space="preserve"> and Schema get built from a schema CSV hosted in a separate repository (observatory-profile), and an investigation into likely duplicate/dead code between the two files.</w:t>
      </w:r>
    </w:p>
    <w:p w14:paraId="1AE2C4FC" w14:textId="77777777" w:rsidR="009B0AB1" w:rsidRDefault="00000000">
      <w:pPr>
        <w:pStyle w:val="ListParagraph"/>
        <w:numPr>
          <w:ilvl w:val="0"/>
          <w:numId w:val="1"/>
        </w:numPr>
        <w:spacing w:after="50"/>
      </w:pPr>
      <w:r>
        <w:t xml:space="preserve">The external </w:t>
      </w:r>
      <w:proofErr w:type="spellStart"/>
      <w:r>
        <w:t>py</w:t>
      </w:r>
      <w:proofErr w:type="spellEnd"/>
      <w:r>
        <w:t xml:space="preserve">-data-rules framework: the </w:t>
      </w:r>
      <w:proofErr w:type="spellStart"/>
      <w:r>
        <w:t>DataModel</w:t>
      </w:r>
      <w:proofErr w:type="spellEnd"/>
      <w:r>
        <w:t xml:space="preserve"> / Schema / Table / </w:t>
      </w:r>
      <w:proofErr w:type="spellStart"/>
      <w:r>
        <w:t>RuleEngine</w:t>
      </w:r>
      <w:proofErr w:type="spellEnd"/>
      <w:r>
        <w:t xml:space="preserve"> building blocks this action is built on top of, and the explicit-vs-implicit rules distinction (hand-written functions vs. automatic schema-based checks).</w:t>
      </w:r>
    </w:p>
    <w:p w14:paraId="08ABB597" w14:textId="77777777" w:rsidR="009B0AB1" w:rsidRDefault="00000000">
      <w:pPr>
        <w:pStyle w:val="ListParagraph"/>
        <w:numPr>
          <w:ilvl w:val="0"/>
          <w:numId w:val="1"/>
        </w:numPr>
        <w:spacing w:after="50"/>
      </w:pPr>
      <w:r>
        <w:t xml:space="preserve">A documentation/code mismatch found in the README (example workflow uses PAT/REPO/ASSIGNEE, but the code </w:t>
      </w:r>
      <w:proofErr w:type="gramStart"/>
      <w:r>
        <w:t>actually reads</w:t>
      </w:r>
      <w:proofErr w:type="gramEnd"/>
      <w:r>
        <w:t xml:space="preserve"> GITHUB_TOKEN/GITHUB_REPOSITORY/DATA_QUALITY_CONTROL_ASSIGNEE) — a good candidate for a first, self-found contribution.</w:t>
      </w:r>
    </w:p>
    <w:p w14:paraId="3E62249E" w14:textId="77777777" w:rsidR="009B0AB1" w:rsidRDefault="00000000">
      <w:pPr>
        <w:pStyle w:val="ListParagraph"/>
        <w:numPr>
          <w:ilvl w:val="0"/>
          <w:numId w:val="1"/>
        </w:numPr>
        <w:spacing w:after="50"/>
      </w:pPr>
      <w:r>
        <w:t>The full 8-step orchestration cycle, traced end to end with exact input/output paths and write order for every file produced — written up separately as "Data Quality Control — Full Pipeline Cycle."</w:t>
      </w:r>
    </w:p>
    <w:p w14:paraId="5623952B" w14:textId="77777777" w:rsidR="009B0AB1" w:rsidRDefault="00000000">
      <w:pPr>
        <w:pBdr>
          <w:bottom w:val="single" w:sz="6" w:space="4" w:color="9FE1CB"/>
        </w:pBdr>
        <w:spacing w:before="280" w:after="90"/>
      </w:pPr>
      <w:r>
        <w:rPr>
          <w:b/>
          <w:bCs/>
          <w:color w:val="0F6E56"/>
          <w:sz w:val="26"/>
          <w:szCs w:val="26"/>
        </w:rPr>
        <w:t>014. Open issues roadmap</w:t>
      </w:r>
    </w:p>
    <w:p w14:paraId="2E1E6F4F" w14:textId="77777777" w:rsidR="009B0AB1" w:rsidRDefault="00000000">
      <w:pPr>
        <w:spacing w:after="100"/>
      </w:pPr>
      <w:r>
        <w:t>First-pass prioritisation of the 13 open issues on the repository, grouped into phases: simple self-contained fixes first (e.g. cell-value normalisation, extending an existing rule), then modifications to already-understood explicit rules, then issues needing clarification before coding, then issues to verify as possibly already resolved, and finally structural, multi-file work (such as adding support for the ARMS / hard-substrate habitat).</w:t>
      </w:r>
    </w:p>
    <w:p w14:paraId="60A0F79F" w14:textId="77777777" w:rsidR="009B0AB1" w:rsidRDefault="00000000">
      <w:pPr>
        <w:pBdr>
          <w:bottom w:val="single" w:sz="6" w:space="4" w:color="9FE1CB"/>
        </w:pBdr>
        <w:spacing w:before="280" w:after="90"/>
      </w:pPr>
      <w:r>
        <w:rPr>
          <w:b/>
          <w:bCs/>
          <w:color w:val="0F6E56"/>
          <w:sz w:val="26"/>
          <w:szCs w:val="26"/>
        </w:rPr>
        <w:t>015. Open issues roadmap — revised</w:t>
      </w:r>
    </w:p>
    <w:p w14:paraId="1A488B5F" w14:textId="77777777" w:rsidR="009B0AB1" w:rsidRDefault="00000000">
      <w:pPr>
        <w:spacing w:after="100"/>
      </w:pPr>
      <w:r>
        <w:t xml:space="preserve">An updated version of the roadmap after two further discoveries: that several issues (normalising ORCID and chemical-administration values to full URLs, </w:t>
      </w:r>
      <w:proofErr w:type="spellStart"/>
      <w:r>
        <w:t>boolean</w:t>
      </w:r>
      <w:proofErr w:type="spellEnd"/>
      <w:r>
        <w:t xml:space="preserve"> normalisation) may actually need to be solved by editing the external observatory-profile schema CSV rather than this repo's Python code; and that the explicit-vs-implicit rules distinction from the </w:t>
      </w:r>
      <w:proofErr w:type="spellStart"/>
      <w:r>
        <w:t>py</w:t>
      </w:r>
      <w:proofErr w:type="spellEnd"/>
      <w:r>
        <w:t>-data-rules documentation changes how those issues should be scoped. Recommends opening a clarifying comment on the ambiguous issues before starting any code.</w:t>
      </w:r>
    </w:p>
    <w:sectPr w:rsidR="009B0A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05DFF"/>
    <w:multiLevelType w:val="hybridMultilevel"/>
    <w:tmpl w:val="AC1887F0"/>
    <w:lvl w:ilvl="0" w:tplc="72D4C1E8">
      <w:start w:val="1"/>
      <w:numFmt w:val="bullet"/>
      <w:lvlText w:val="●"/>
      <w:lvlJc w:val="left"/>
      <w:pPr>
        <w:ind w:left="720" w:hanging="360"/>
      </w:pPr>
    </w:lvl>
    <w:lvl w:ilvl="1" w:tplc="6F0811E8">
      <w:start w:val="1"/>
      <w:numFmt w:val="bullet"/>
      <w:lvlText w:val="○"/>
      <w:lvlJc w:val="left"/>
      <w:pPr>
        <w:ind w:left="1440" w:hanging="360"/>
      </w:pPr>
    </w:lvl>
    <w:lvl w:ilvl="2" w:tplc="7342048E">
      <w:start w:val="1"/>
      <w:numFmt w:val="bullet"/>
      <w:lvlText w:val="■"/>
      <w:lvlJc w:val="left"/>
      <w:pPr>
        <w:ind w:left="2160" w:hanging="360"/>
      </w:pPr>
    </w:lvl>
    <w:lvl w:ilvl="3" w:tplc="3A6E05CA">
      <w:start w:val="1"/>
      <w:numFmt w:val="bullet"/>
      <w:lvlText w:val="●"/>
      <w:lvlJc w:val="left"/>
      <w:pPr>
        <w:ind w:left="2880" w:hanging="360"/>
      </w:pPr>
    </w:lvl>
    <w:lvl w:ilvl="4" w:tplc="575E3698">
      <w:start w:val="1"/>
      <w:numFmt w:val="bullet"/>
      <w:lvlText w:val="○"/>
      <w:lvlJc w:val="left"/>
      <w:pPr>
        <w:ind w:left="3600" w:hanging="360"/>
      </w:pPr>
    </w:lvl>
    <w:lvl w:ilvl="5" w:tplc="CC86E464">
      <w:start w:val="1"/>
      <w:numFmt w:val="bullet"/>
      <w:lvlText w:val="■"/>
      <w:lvlJc w:val="left"/>
      <w:pPr>
        <w:ind w:left="4320" w:hanging="360"/>
      </w:pPr>
    </w:lvl>
    <w:lvl w:ilvl="6" w:tplc="50BEE682">
      <w:start w:val="1"/>
      <w:numFmt w:val="bullet"/>
      <w:lvlText w:val="●"/>
      <w:lvlJc w:val="left"/>
      <w:pPr>
        <w:ind w:left="5040" w:hanging="360"/>
      </w:pPr>
    </w:lvl>
    <w:lvl w:ilvl="7" w:tplc="A3CC6790">
      <w:start w:val="1"/>
      <w:numFmt w:val="bullet"/>
      <w:lvlText w:val="●"/>
      <w:lvlJc w:val="left"/>
      <w:pPr>
        <w:ind w:left="5760" w:hanging="360"/>
      </w:pPr>
    </w:lvl>
    <w:lvl w:ilvl="8" w:tplc="9C42FA3A">
      <w:start w:val="1"/>
      <w:numFmt w:val="bullet"/>
      <w:lvlText w:val="●"/>
      <w:lvlJc w:val="left"/>
      <w:pPr>
        <w:ind w:left="6480" w:hanging="360"/>
      </w:pPr>
    </w:lvl>
  </w:abstractNum>
  <w:num w:numId="1" w16cid:durableId="677461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AB1"/>
    <w:rsid w:val="009B0AB1"/>
    <w:rsid w:val="00A02536"/>
    <w:rsid w:val="00B43EA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F728"/>
  <w15:docId w15:val="{B2BF01DA-F8DA-4089-85E0-9B48428F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Hamideh Baggali</cp:lastModifiedBy>
  <cp:revision>2</cp:revision>
  <dcterms:created xsi:type="dcterms:W3CDTF">2026-09-22T14:55:00Z</dcterms:created>
  <dcterms:modified xsi:type="dcterms:W3CDTF">2026-09-22T14:55:00Z</dcterms:modified>
</cp:coreProperties>
</file>