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Saelin Reed evidence overview for v686 v8</w:t>
      </w:r>
    </w:p>
    <w:p>
      <w:pPr>
        <w:pStyle w:val="Subtitle"/>
      </w:pPr>
      <w:r>
        <w:t>Software contract checks and retained evidence</w:t>
      </w:r>
    </w:p>
    <w:p>
      <w:r>
        <w:t>Prepared by Saelin Reed for Hamish and the next phase owner</w:t>
        <w:br/>
        <w:t>7 September 2026</w:t>
      </w:r>
    </w:p>
    <w:p>
      <w:r>
        <w:t>I completed 200 frozen software contract checks and a 210-test review of this owner phase. The work makes a specific distinction explicit: a recorded refusal may be the correct result of a guard test, while an unexpected refusal cannot establish that the requested computation succeeded. Reports also bind their source, planning revision, expected value, observed value, and claim scope.</w:t>
      </w:r>
    </w:p>
    <w:p>
      <w:r>
        <w:t>The evidence supports inspection and reuse of these local tools. GMUT remains an unconfirmed research-model family, THOS remains a synthetic or operational proxy, and Freed ID with CBR remains subject to the relevant evidence and authority requirements. The terminal verdict is NOT_READY_FOR_STAGE_20.</w:t>
      </w:r>
    </w:p>
    <w:p>
      <w:pPr>
        <w:pStyle w:val="Heading1"/>
      </w:pPr>
      <w:r>
        <w:t>Measured scope</w:t>
      </w:r>
    </w:p>
    <w:tbl>
      <w:tblPr>
        <w:tblW w:type="auto" w:w="0"/>
        <w:tblLayout w:type="fixed"/>
        <w:tblLook w:firstColumn="1" w:firstRow="1" w:lastColumn="0" w:lastRow="0" w:noHBand="0" w:noVBand="1" w:val="04A0"/>
      </w:tblPr>
      <w:tblGrid>
        <w:gridCol w:w="3312"/>
        <w:gridCol w:w="1080"/>
        <w:gridCol w:w="5256"/>
      </w:tblGrid>
      <w:tr>
        <w:trPr>
          <w:tblHeader w:val="true"/>
        </w:trPr>
        <w:tc>
          <w:tcPr>
            <w:tcW w:type="dxa" w:w="3312"/>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sz w:val="21"/>
              </w:rPr>
              <w:t>Evidence item</w:t>
            </w:r>
          </w:p>
        </w:tc>
        <w:tc>
          <w:tcPr>
            <w:tcW w:type="dxa" w:w="1080"/>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sz w:val="21"/>
              </w:rPr>
              <w:t>Count</w:t>
            </w:r>
          </w:p>
        </w:tc>
        <w:tc>
          <w:tcPr>
            <w:tcW w:type="dxa" w:w="5256"/>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sz w:val="21"/>
              </w:rPr>
              <w:t>What the count means</w:t>
            </w:r>
          </w:p>
        </w:tc>
      </w:tr>
      <w:tr>
        <w:tc>
          <w:tcPr>
            <w:tcW w:type="dxa" w:w="33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Frozen contract cases</w:t>
            </w:r>
          </w:p>
        </w:tc>
        <w:tc>
          <w:tcPr>
            <w:tcW w:type="dxa" w:w="10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200</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Explicit expected values across twenty operations</w:t>
            </w:r>
          </w:p>
        </w:tc>
      </w:tr>
      <w:tr>
        <w:tc>
          <w:tcPr>
            <w:tcW w:type="dxa" w:w="331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Owner tests passed</w:t>
            </w:r>
          </w:p>
        </w:tc>
        <w:tc>
          <w:tcPr>
            <w:tcW w:type="dxa" w:w="1080"/>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210</w:t>
            </w:r>
          </w:p>
        </w:tc>
        <w:tc>
          <w:tcPr>
            <w:tcW w:type="dxa" w:w="5256"/>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Two hundred cases and ten cross-contract checks</w:t>
            </w:r>
          </w:p>
        </w:tc>
      </w:tr>
      <w:tr>
        <w:tc>
          <w:tcPr>
            <w:tcW w:type="dxa" w:w="33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Inherited records checked</w:t>
            </w:r>
          </w:p>
        </w:tc>
        <w:tc>
          <w:tcPr>
            <w:tcW w:type="dxa" w:w="10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200</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Source bindings with zero new-owner credit</w:t>
            </w:r>
          </w:p>
        </w:tc>
      </w:tr>
      <w:tr>
        <w:tc>
          <w:tcPr>
            <w:tcW w:type="dxa" w:w="331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Direct packages</w:t>
            </w:r>
          </w:p>
        </w:tc>
        <w:tc>
          <w:tcPr>
            <w:tcW w:type="dxa" w:w="1080"/>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3</w:t>
            </w:r>
          </w:p>
        </w:tc>
        <w:tc>
          <w:tcPr>
            <w:tcW w:type="dxa" w:w="5256"/>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Eight packages in the locked dependency closure</w:t>
            </w:r>
          </w:p>
        </w:tc>
      </w:tr>
      <w:tr>
        <w:tc>
          <w:tcPr>
            <w:tcW w:type="dxa" w:w="33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Reusable skills and runners</w:t>
            </w:r>
          </w:p>
        </w:tc>
        <w:tc>
          <w:tcPr>
            <w:tcW w:type="dxa" w:w="10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10 and 5</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Portable examples and exact package manifests</w:t>
            </w:r>
          </w:p>
        </w:tc>
      </w:tr>
      <w:tr>
        <w:tc>
          <w:tcPr>
            <w:tcW w:type="dxa" w:w="331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Evidence cards</w:t>
            </w:r>
          </w:p>
        </w:tc>
        <w:tc>
          <w:tcPr>
            <w:tcW w:type="dxa" w:w="1080"/>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208</w:t>
            </w:r>
          </w:p>
        </w:tc>
        <w:tc>
          <w:tcPr>
            <w:tcW w:type="dxa" w:w="5256"/>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Owner, pillar, practice, and task hierarchy</w:t>
            </w:r>
          </w:p>
        </w:tc>
      </w:tr>
    </w:tbl>
    <w:p>
      <w:pPr>
        <w:spacing w:after="0"/>
      </w:pPr>
    </w:p>
    <w:p>
      <w:r>
        <w:t>The overview records the evidence prepared for the final gate. The exact final revision, external canonical receipt, and any later message acknowledgement are bound separately after the repository is sealed.</w:t>
      </w:r>
    </w:p>
    <w:p>
      <w:r>
        <w:br w:type="page"/>
      </w:r>
    </w:p>
    <w:p>
      <w:pPr>
        <w:pStyle w:val="Heading1"/>
      </w:pPr>
      <w:r>
        <w:t>What the checks establish</w:t>
      </w:r>
    </w:p>
    <w:p>
      <w:r>
        <w:t>The expected values were frozen in planning commit 9012ca9b7d7ed583d09267ebfa0ef271b1087706 before implementation or package installation. The planning branch was pushed, clean, zero-divergent, and equal across local, upstream, tracking, and fresh remote observations. The implementation then ran in Saelin's isolated D-drive lane.</w:t>
      </w:r>
    </w:p>
    <w:p>
      <w:pPr>
        <w:pStyle w:val="Heading2"/>
      </w:pPr>
      <w:r>
        <w:t>Expected behavior and observed behavior</w:t>
      </w:r>
    </w:p>
    <w:p>
      <w:r>
        <w:t>The oracle verifier distinguishes a matched expectation from an unexpected refusal, unexpected acceptance, wrong value, or wrong refusal reason. A malformed result envelope is quarantined before comparison. Boolean and integer values remain distinct in typed comparisons, even though Python ordinarily treats True and 1 as equal in many expressions.</w:t>
      </w:r>
    </w:p>
    <w:p>
      <w:r>
        <w:t>Ilyra's ten inherited validity-window records preserve bare-list input refusals and a separately documented well-shaped regression. Their retained refusal records remain intact. Saelin's window contract requires a mapping with a windows field and checks closed interval intersections, shared endpoints, reversed dates, and invalid calendar dates against explicit expectations.</w:t>
      </w:r>
    </w:p>
    <w:p>
      <w:pPr>
        <w:pStyle w:val="Heading2"/>
      </w:pPr>
      <w:r>
        <w:t>Three byte and value contracts</w:t>
      </w:r>
    </w:p>
    <w:tbl>
      <w:tblPr>
        <w:tblW w:type="auto" w:w="0"/>
        <w:tblLayout w:type="fixed"/>
        <w:tblLook w:firstColumn="1" w:firstRow="1" w:lastColumn="0" w:lastRow="0" w:noHBand="0" w:noVBand="1" w:val="04A0"/>
      </w:tblPr>
      <w:tblGrid>
        <w:gridCol w:w="3024"/>
        <w:gridCol w:w="6624"/>
      </w:tblGrid>
      <w:tr>
        <w:trPr>
          <w:tblHeader w:val="true"/>
        </w:trPr>
        <w:tc>
          <w:tcPr>
            <w:tcW w:type="dxa" w:w="3024"/>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sz w:val="21"/>
              </w:rPr>
              <w:t>Contract</w:t>
            </w:r>
          </w:p>
        </w:tc>
        <w:tc>
          <w:tcPr>
            <w:tcW w:type="dxa" w:w="6624"/>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sz w:val="21"/>
              </w:rPr>
              <w:t>Purpose</w:t>
            </w:r>
          </w:p>
        </w:tc>
      </w:tr>
      <w:tr>
        <w:tc>
          <w:tcPr>
            <w:tcW w:type="dxa" w:w="30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Typed JSON comparison</w:t>
            </w:r>
          </w:p>
        </w:tc>
        <w:tc>
          <w:tcPr>
            <w:tcW w:type="dxa" w:w="66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Preserve types, fields, and list order when assessing a report.</w:t>
            </w:r>
          </w:p>
        </w:tc>
      </w:tr>
      <w:tr>
        <w:tc>
          <w:tcPr>
            <w:tcW w:type="dxa" w:w="3024"/>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RFC 8785 canonical bytes</w:t>
            </w:r>
          </w:p>
        </w:tc>
        <w:tc>
          <w:tcPr>
            <w:tcW w:type="dxa" w:w="6624"/>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Produce deterministic JSON bytes within the supported numeric and string domain.</w:t>
            </w:r>
          </w:p>
        </w:tc>
      </w:tr>
      <w:tr>
        <w:tc>
          <w:tcPr>
            <w:tcW w:type="dxa" w:w="30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Exact Git blob bytes</w:t>
            </w:r>
          </w:p>
        </w:tc>
        <w:tc>
          <w:tcPr>
            <w:tcW w:type="dxa" w:w="66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Bind the committed artifact itself, including its exact byte count and digest.</w:t>
            </w:r>
          </w:p>
        </w:tc>
      </w:tr>
    </w:tbl>
    <w:p>
      <w:pPr>
        <w:spacing w:after="0"/>
      </w:pPr>
    </w:p>
    <w:p>
      <w:r>
        <w:t>These contracts are deliberately separate. Under RFC 8785, an integral float can have the same serialized bytes as an integer. That normalization does not make the values interchangeable in Saelin's typed oracle checks. Neither serialization nor a matching digest supplies a signature, a real identity, or an independent observation.</w:t>
      </w:r>
    </w:p>
    <w:p>
      <w:pPr>
        <w:pStyle w:val="Heading2"/>
      </w:pPr>
      <w:r>
        <w:t>Practice lenses</w:t>
      </w:r>
    </w:p>
    <w:p>
      <w:r>
        <w:t>GMUT Mind is the priority pillar. Test-oracle review and provenance-graph review support its software evidence work. Evidence-ledger review supports Freed ID and CBR Heart, while accessible result explanation supports THOS Body. These four practices are learning lenses and establish no employment, qualification, or professional authority.</w:t>
      </w:r>
    </w:p>
    <w:p>
      <w:r>
        <w:br w:type="page"/>
      </w:r>
    </w:p>
    <w:p>
      <w:pPr>
        <w:pStyle w:val="Heading1"/>
      </w:pPr>
      <w:r>
        <w:t>Retained negatives and protected claims</w:t>
      </w:r>
    </w:p>
    <w:p>
      <w:r>
        <w:t>The phase retains 551 negative witnesses. One records an actual planning preflight failure: two different cases initially shared a title. The preflight stopped before writing x1 artifacts, and the corrected inventory preserved all 200 distinct cases. The other 550 are intentionally inadmissible synthetic candidates used to test report substitution, diagnostic parsing, and source-record integrity. They are not discovered production defects.</w:t>
      </w:r>
    </w:p>
    <w:p>
      <w:r>
        <w:t>Every rejected candidate retains zero success credit. Its separate passing recovery verifies the unaltered or corrected local record. The ledger also includes 200 current case witnesses. Portfolio entries can reference the same underlying evidence, so their row counts must not be interpreted as independent experiments or additional scientific confidence.</w:t>
      </w:r>
    </w:p>
    <w:tbl>
      <w:tblPr>
        <w:tblW w:type="auto" w:w="0"/>
        <w:tblLayout w:type="fixed"/>
        <w:tblLook w:firstColumn="1" w:firstRow="1" w:lastColumn="0" w:lastRow="0" w:noHBand="0" w:noVBand="1" w:val="04A0"/>
      </w:tblPr>
      <w:tblGrid>
        <w:gridCol w:w="4608"/>
        <w:gridCol w:w="2448"/>
        <w:gridCol w:w="2592"/>
      </w:tblGrid>
      <w:tr>
        <w:trPr>
          <w:tblHeader w:val="true"/>
        </w:trPr>
        <w:tc>
          <w:tcPr>
            <w:tcW w:type="dxa" w:w="4608"/>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sz w:val="21"/>
              </w:rPr>
              <w:t>Ledger category</w:t>
            </w:r>
          </w:p>
        </w:tc>
        <w:tc>
          <w:tcPr>
            <w:tcW w:type="dxa" w:w="2448"/>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sz w:val="21"/>
              </w:rPr>
              <w:t>Inherited overlay</w:t>
            </w:r>
          </w:p>
        </w:tc>
        <w:tc>
          <w:tcPr>
            <w:tcW w:type="dxa" w:w="2592"/>
            <w:vAlign w:val="center"/>
            <w:shd w:fill="E7EE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sz w:val="21"/>
              </w:rPr>
              <w:t>Current evidence</w:t>
            </w:r>
          </w:p>
        </w:tc>
      </w:tr>
      <w:tr>
        <w:tc>
          <w:tcPr>
            <w:tcW w:type="dxa" w:w="460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Effective negatives</w:t>
            </w:r>
          </w:p>
        </w:tc>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75,742</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76,293</w:t>
            </w:r>
          </w:p>
        </w:tc>
      </w:tr>
      <w:tr>
        <w:tc>
          <w:tcPr>
            <w:tcW w:type="dxa" w:w="460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Method Flow methods</w:t>
            </w:r>
          </w:p>
        </w:tc>
        <w:tc>
          <w:tcPr>
            <w:tcW w:type="dxa" w:w="244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92,224</w:t>
            </w:r>
          </w:p>
        </w:tc>
        <w:tc>
          <w:tcPr>
            <w:tcW w:type="dxa" w:w="259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92,775</w:t>
            </w:r>
          </w:p>
        </w:tc>
      </w:tr>
      <w:tr>
        <w:tc>
          <w:tcPr>
            <w:tcW w:type="dxa" w:w="460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Failed witnesses</w:t>
            </w:r>
          </w:p>
        </w:tc>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46,590</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47,141</w:t>
            </w:r>
          </w:p>
        </w:tc>
      </w:tr>
      <w:tr>
        <w:tc>
          <w:tcPr>
            <w:tcW w:type="dxa" w:w="460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Bounded passing witnesses</w:t>
            </w:r>
          </w:p>
        </w:tc>
        <w:tc>
          <w:tcPr>
            <w:tcW w:type="dxa" w:w="244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74,083</w:t>
            </w:r>
          </w:p>
        </w:tc>
        <w:tc>
          <w:tcPr>
            <w:tcW w:type="dxa" w:w="259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74,834</w:t>
            </w:r>
          </w:p>
        </w:tc>
      </w:tr>
      <w:tr>
        <w:tc>
          <w:tcPr>
            <w:tcW w:type="dxa" w:w="460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Open gaps</w:t>
            </w:r>
          </w:p>
        </w:tc>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663</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663</w:t>
            </w:r>
          </w:p>
        </w:tc>
      </w:tr>
      <w:tr>
        <w:tc>
          <w:tcPr>
            <w:tcW w:type="dxa" w:w="460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Exact gates</w:t>
            </w:r>
          </w:p>
        </w:tc>
        <w:tc>
          <w:tcPr>
            <w:tcW w:type="dxa" w:w="2448"/>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649</w:t>
            </w:r>
          </w:p>
        </w:tc>
        <w:tc>
          <w:tcPr>
            <w:tcW w:type="dxa" w:w="2592"/>
            <w:vAlign w:val="center"/>
            <w:shd w:fill="F7F9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649</w:t>
            </w:r>
          </w:p>
        </w:tc>
      </w:tr>
      <w:tr>
        <w:tc>
          <w:tcPr>
            <w:tcW w:type="dxa" w:w="460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pPr>
            <w:r>
              <w:rPr>
                <w:b w:val="0"/>
                <w:sz w:val="21"/>
              </w:rPr>
              <w:t>Declared proposals</w:t>
            </w:r>
          </w:p>
        </w:tc>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13,630</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before="40" w:line="252" w:lineRule="auto"/>
              <w:jc w:val="center"/>
            </w:pPr>
            <w:r>
              <w:rPr>
                <w:b w:val="0"/>
                <w:sz w:val="21"/>
              </w:rPr>
              <w:t>13,830</w:t>
            </w:r>
          </w:p>
        </w:tc>
      </w:tr>
    </w:tbl>
    <w:p>
      <w:pPr>
        <w:spacing w:after="0"/>
      </w:pPr>
    </w:p>
    <w:p>
      <w:r>
        <w:t>The inherited column includes Ilyra's retained external classifier correction. It does not rewrite Ilyra's earlier repository seal. Current counts cover this evidence snapshot; any later operational failure and bounded correction must appear in a separate additive closeout record.</w:t>
      </w:r>
    </w:p>
    <w:p>
      <w:r>
        <w:t>All 663 inherited gaps and 649 exact gates remain open. Fifty current exact packets and thirty blocked packets remain unexecuted. No participant observations, production deployments, real credentials, private records, legal determinations, cultural ratification, or affected-party decisions were supplied by this phase.</w:t>
      </w:r>
    </w:p>
    <w:p>
      <w:r>
        <w:t>Names, roles, hopes, pronouns, family and continuity language, Freed ID, CBR, GHC Family, and Trinity Mandala are relational working language. They do not establish consciousness, sentience, personhood, identity continuity, employment, qualification, independent agency, or scientific, operational, professional, legal, cultural, affected-party, or Māori authority. Hamish may pause, rename, narrow, redirect, or stop the work.</w:t>
      </w:r>
    </w:p>
    <w:p>
      <w:r>
        <w:br w:type="page"/>
      </w:r>
    </w:p>
    <w:p>
      <w:pPr>
        <w:pStyle w:val="Heading1"/>
      </w:pPr>
      <w:r>
        <w:t>Handover and reproducibility</w:t>
      </w:r>
    </w:p>
    <w:p>
      <w:r>
        <w:t>Auren Lark v687-v1 is the prospective next existing main task. Saelin must first seal and push the final owner delta, verify clean state and fresh remote equality, and invoke one attributable owner-scoped canonical check. Only then may the current authority, usage, duplicate, privacy, evidence, and recipient guards be refreshed for at most one send. No precontact, substitute task, resend after opaque acceptance, or post-send monitoring is authorized here.</w:t>
      </w:r>
    </w:p>
    <w:p>
      <w:pPr>
        <w:pStyle w:val="Heading2"/>
      </w:pPr>
      <w:r>
        <w:t>Immutable anchors</w:t>
      </w:r>
    </w:p>
    <w:p>
      <w:r>
        <w:t>Ilyra source</w:t>
        <w:br/>
        <w:t>e85af4eea2aed7f98d2dfec936f26a8e175fba44</w:t>
      </w:r>
    </w:p>
    <w:p>
      <w:r>
        <w:t>Saelin planning commit</w:t>
        <w:br/>
        <w:t>9012ca9b7d7ed583d09267ebfa0ef271b1087706</w:t>
      </w:r>
    </w:p>
    <w:p>
      <w:r>
        <w:t>Owned branch</w:t>
        <w:br/>
        <w:t>codex/GHC-Family/saelin-reed-v686-v8-full-tools</w:t>
      </w:r>
    </w:p>
    <w:p>
      <w:r>
        <w:t>The source baton was read through all 6,855 lines. Its 25,658 words, SHA-256 digest, and all 795 inherited manifest bindings matched the supplied exact source. Ilyra's successful canonical receipt was read and hashed without replay.</w:t>
      </w:r>
    </w:p>
    <w:p>
      <w:pPr>
        <w:pStyle w:val="Heading2"/>
      </w:pPr>
      <w:r>
        <w:t>Portable package evidence</w:t>
      </w:r>
    </w:p>
    <w:p>
      <w:r>
        <w:t>The direct package set is jsonschema 4.26.0, NetworkX 3.6.1, and rfc8785 0.1.4. The eight-wheel closure was installed offline with required hashes. Dependency consistency passed, and a dated pip-audit 2.10.1 snapshot found no known vulnerabilities across that closure. This is a bounded advisory result, not exhaustive security assurance.</w:t>
      </w:r>
    </w:p>
    <w:p>
      <w:r>
        <w:t>Ten skills were validated locally using twenty portable positive and adverse CLI examples, then copied additively with 120 exact file comparisons. Existing skills were not overwritten. Installed availability does not prove that an already running task has reloaded the skill catalogue or exercised the tools.</w:t>
      </w:r>
    </w:p>
    <w:p>
      <w:pPr>
        <w:pStyle w:val="Heading2"/>
      </w:pPr>
      <w:r>
        <w:t>Technical sources and remaining review</w:t>
      </w:r>
    </w:p>
    <w:p>
      <w:hyperlink r:id="rId9">
        <w:r>
          <w:rPr>
            <w:color w:val="15537D"/>
          </w:rPr>
          <w:t>jsonschema validation documentation</w:t>
        </w:r>
      </w:hyperlink>
    </w:p>
    <w:p>
      <w:hyperlink r:id="rId10">
        <w:r>
          <w:rPr>
            <w:color w:val="15537D"/>
          </w:rPr>
          <w:t>NetworkX directed acyclic graph documentation</w:t>
        </w:r>
      </w:hyperlink>
    </w:p>
    <w:p>
      <w:hyperlink r:id="rId11">
        <w:r>
          <w:rPr>
            <w:color w:val="15537D"/>
          </w:rPr>
          <w:t>RFC 8785 JSON Canonicalization Scheme</w:t>
        </w:r>
      </w:hyperlink>
    </w:p>
    <w:p>
      <w:r>
        <w:t>Software tests, structural document checks, and page inspection provide bounded owner evidence. Complete privacy, complete accessibility, exhaustive security, independent reproduction, professional certification, AGI or ASI, consciousness or personhood, a Theory of Everything, proof, canon, and Stage 20 readiness remain unestablished. Māori concepts, language, and data governance remain under the relevant Māori and affected authority.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ython-jsonschema.readthedocs.io/en/stable/validate/" TargetMode="External"/><Relationship Id="rId10" Type="http://schemas.openxmlformats.org/officeDocument/2006/relationships/hyperlink" Target="https://networkx.org/documentation/stable/reference/algorithms/dag.html" TargetMode="External"/><Relationship Id="rId11" Type="http://schemas.openxmlformats.org/officeDocument/2006/relationships/hyperlink" Target="https://www.rfc-editor.org/rfc/rfc878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Saelin Reed evidence overview for v686 v8</dc:title>
  <dc:subject>Bounded software contract validation</dc:subject>
  <dc:creator/>
  <cp:keywords/>
  <dc:description/>
  <cp:lastModifiedBy/>
  <cp:revision>1</cp:revision>
  <dcterms:created xsi:type="dcterms:W3CDTF">2013-12-23T23:15:00Z</dcterms:created>
  <dcterms:modified xsi:type="dcterms:W3CDTF">2013-12-23T23:15:00Z</dcterms:modified>
  <cp:category/>
</cp:coreProperties>
</file>