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Rowan Ash remastered phase overview</w:t>
      </w:r>
    </w:p>
    <w:p>
      <w:pPr>
        <w:pStyle w:val="Subtitle"/>
      </w:pPr>
      <w:r>
        <w:t>For Hamish   5 September 2026   v685 v6 second remaster</w:t>
      </w:r>
    </w:p>
    <w:p>
      <w:r>
        <w:t>Hamish, I have completed the local execution work for this remaster and prepared Elaren's teaching baton. The immediate route remains held for your decision. The records show what ran, what was repaired, and which scientific or authority claims remain open.</w:t>
      </w:r>
    </w:p>
    <w:p>
      <w:pPr>
        <w:pStyle w:val="Heading1"/>
      </w:pPr>
      <w:r>
        <w:t>Completed 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trPr>
        <w:tc>
          <w:tcPr>
            <w:tcW w:type="dxa" w:w="2376"/>
            <w:tcMar>
              <w:top w:w="70" w:type="dxa"/>
              <w:left w:w="70" w:type="dxa"/>
              <w:bottom w:w="70" w:type="dxa"/>
              <w:right w:w="70" w:type="dxa"/>
            </w:tcMar>
            <w:shd w:fill="F2F2F2"/>
          </w:tcPr>
          <w:p>
            <w:pPr>
              <w:spacing w:after="40" w:before="40"/>
            </w:pPr>
            <w:r>
              <w:rPr>
                <w:b/>
                <w:sz w:val="20"/>
              </w:rPr>
              <w:t>Workstream</w:t>
            </w:r>
          </w:p>
        </w:tc>
        <w:tc>
          <w:tcPr>
            <w:tcW w:type="dxa" w:w="7560"/>
            <w:tcMar>
              <w:top w:w="70" w:type="dxa"/>
              <w:left w:w="70" w:type="dxa"/>
              <w:bottom w:w="70" w:type="dxa"/>
              <w:right w:w="70" w:type="dxa"/>
            </w:tcMar>
            <w:shd w:fill="F2F2F2"/>
          </w:tcPr>
          <w:p>
            <w:pPr>
              <w:spacing w:after="40" w:before="40"/>
            </w:pPr>
            <w:r>
              <w:rPr>
                <w:b/>
                <w:sz w:val="20"/>
              </w:rPr>
              <w:t>Result</w:t>
            </w:r>
          </w:p>
        </w:tc>
      </w:tr>
      <w:tr>
        <w:tc>
          <w:tcPr>
            <w:tcW w:type="dxa" w:w="2376"/>
            <w:tcMar>
              <w:top w:w="70" w:type="dxa"/>
              <w:left w:w="70" w:type="dxa"/>
              <w:bottom w:w="70" w:type="dxa"/>
              <w:right w:w="70" w:type="dxa"/>
            </w:tcMar>
          </w:tcPr>
          <w:p>
            <w:pPr>
              <w:spacing w:after="40" w:before="40"/>
            </w:pPr>
            <w:r>
              <w:rPr>
                <w:sz w:val="20"/>
              </w:rPr>
              <w:t>Inherited proposals</w:t>
            </w:r>
          </w:p>
        </w:tc>
        <w:tc>
          <w:tcPr>
            <w:tcW w:type="dxa" w:w="7560"/>
            <w:tcMar>
              <w:top w:w="70" w:type="dxa"/>
              <w:left w:w="70" w:type="dxa"/>
              <w:bottom w:w="70" w:type="dxa"/>
              <w:right w:w="70" w:type="dxa"/>
            </w:tcMar>
          </w:tcPr>
          <w:p>
            <w:pPr>
              <w:spacing w:after="40" w:before="40"/>
            </w:pPr>
            <w:r>
              <w:rPr>
                <w:sz w:val="20"/>
              </w:rPr>
              <w:t>200 source-bound remaster projections from a 480-row corpus</w:t>
            </w:r>
          </w:p>
        </w:tc>
      </w:tr>
      <w:tr>
        <w:tc>
          <w:tcPr>
            <w:tcW w:type="dxa" w:w="2376"/>
            <w:tcMar>
              <w:top w:w="70" w:type="dxa"/>
              <w:left w:w="70" w:type="dxa"/>
              <w:bottom w:w="70" w:type="dxa"/>
              <w:right w:w="70" w:type="dxa"/>
            </w:tcMar>
          </w:tcPr>
          <w:p>
            <w:pPr>
              <w:spacing w:after="40" w:before="40"/>
            </w:pPr>
            <w:r>
              <w:rPr>
                <w:sz w:val="20"/>
              </w:rPr>
              <w:t>New criteria</w:t>
            </w:r>
          </w:p>
        </w:tc>
        <w:tc>
          <w:tcPr>
            <w:tcW w:type="dxa" w:w="7560"/>
            <w:tcMar>
              <w:top w:w="70" w:type="dxa"/>
              <w:left w:w="70" w:type="dxa"/>
              <w:bottom w:w="70" w:type="dxa"/>
              <w:right w:w="70" w:type="dxa"/>
            </w:tcMar>
          </w:tcPr>
          <w:p>
            <w:pPr>
              <w:spacing w:after="40" w:before="40"/>
            </w:pPr>
            <w:r>
              <w:rPr>
                <w:sz w:val="20"/>
              </w:rPr>
              <w:t>200 supported fixtures and 200 adverse counterparts</w:t>
            </w:r>
          </w:p>
        </w:tc>
      </w:tr>
      <w:tr>
        <w:tc>
          <w:tcPr>
            <w:tcW w:type="dxa" w:w="2376"/>
            <w:tcMar>
              <w:top w:w="70" w:type="dxa"/>
              <w:left w:w="70" w:type="dxa"/>
              <w:bottom w:w="70" w:type="dxa"/>
              <w:right w:w="70" w:type="dxa"/>
            </w:tcMar>
          </w:tcPr>
          <w:p>
            <w:pPr>
              <w:spacing w:after="40" w:before="40"/>
            </w:pPr>
            <w:r>
              <w:rPr>
                <w:sz w:val="20"/>
              </w:rPr>
              <w:t>Safe and candidate work</w:t>
            </w:r>
          </w:p>
        </w:tc>
        <w:tc>
          <w:tcPr>
            <w:tcW w:type="dxa" w:w="7560"/>
            <w:tcMar>
              <w:top w:w="70" w:type="dxa"/>
              <w:left w:w="70" w:type="dxa"/>
              <w:bottom w:w="70" w:type="dxa"/>
              <w:right w:w="70" w:type="dxa"/>
            </w:tcMar>
          </w:tcPr>
          <w:p>
            <w:pPr>
              <w:spacing w:after="40" w:before="40"/>
            </w:pPr>
            <w:r>
              <w:rPr>
                <w:sz w:val="20"/>
              </w:rPr>
              <w:t>300 safe checks and 250 candidate checks completed</w:t>
            </w:r>
          </w:p>
        </w:tc>
      </w:tr>
      <w:tr>
        <w:tc>
          <w:tcPr>
            <w:tcW w:type="dxa" w:w="2376"/>
            <w:tcMar>
              <w:top w:w="70" w:type="dxa"/>
              <w:left w:w="70" w:type="dxa"/>
              <w:bottom w:w="70" w:type="dxa"/>
              <w:right w:w="70" w:type="dxa"/>
            </w:tcMar>
          </w:tcPr>
          <w:p>
            <w:pPr>
              <w:spacing w:after="40" w:before="40"/>
            </w:pPr>
            <w:r>
              <w:rPr>
                <w:sz w:val="20"/>
              </w:rPr>
              <w:t>Cleanup</w:t>
            </w:r>
          </w:p>
        </w:tc>
        <w:tc>
          <w:tcPr>
            <w:tcW w:type="dxa" w:w="7560"/>
            <w:tcMar>
              <w:top w:w="70" w:type="dxa"/>
              <w:left w:w="70" w:type="dxa"/>
              <w:bottom w:w="70" w:type="dxa"/>
              <w:right w:w="70" w:type="dxa"/>
            </w:tcMar>
          </w:tcPr>
          <w:p>
            <w:pPr>
              <w:spacing w:after="40" w:before="40"/>
            </w:pPr>
            <w:r>
              <w:rPr>
                <w:sz w:val="20"/>
              </w:rPr>
              <w:t>300 additive projections with no deletions</w:t>
            </w:r>
          </w:p>
        </w:tc>
      </w:tr>
      <w:tr>
        <w:tc>
          <w:tcPr>
            <w:tcW w:type="dxa" w:w="2376"/>
            <w:tcMar>
              <w:top w:w="70" w:type="dxa"/>
              <w:left w:w="70" w:type="dxa"/>
              <w:bottom w:w="70" w:type="dxa"/>
              <w:right w:w="70" w:type="dxa"/>
            </w:tcMar>
          </w:tcPr>
          <w:p>
            <w:pPr>
              <w:spacing w:after="40" w:before="40"/>
            </w:pPr>
            <w:r>
              <w:rPr>
                <w:sz w:val="20"/>
              </w:rPr>
              <w:t>Reserved packets</w:t>
            </w:r>
          </w:p>
        </w:tc>
        <w:tc>
          <w:tcPr>
            <w:tcW w:type="dxa" w:w="7560"/>
            <w:tcMar>
              <w:top w:w="70" w:type="dxa"/>
              <w:left w:w="70" w:type="dxa"/>
              <w:bottom w:w="70" w:type="dxa"/>
              <w:right w:w="70" w:type="dxa"/>
            </w:tcMar>
          </w:tcPr>
          <w:p>
            <w:pPr>
              <w:spacing w:after="40" w:before="40"/>
            </w:pPr>
            <w:r>
              <w:rPr>
                <w:sz w:val="20"/>
              </w:rPr>
              <w:t>50 exact packets prepared and held; 30 blocked packets retained</w:t>
            </w:r>
          </w:p>
        </w:tc>
      </w:tr>
      <w:tr>
        <w:tc>
          <w:tcPr>
            <w:tcW w:type="dxa" w:w="2376"/>
            <w:tcMar>
              <w:top w:w="70" w:type="dxa"/>
              <w:left w:w="70" w:type="dxa"/>
              <w:bottom w:w="70" w:type="dxa"/>
              <w:right w:w="70" w:type="dxa"/>
            </w:tcMar>
          </w:tcPr>
          <w:p>
            <w:pPr>
              <w:spacing w:after="40" w:before="40"/>
            </w:pPr>
            <w:r>
              <w:rPr>
                <w:sz w:val="20"/>
              </w:rPr>
              <w:t>Shared tooling</w:t>
            </w:r>
          </w:p>
        </w:tc>
        <w:tc>
          <w:tcPr>
            <w:tcW w:type="dxa" w:w="7560"/>
            <w:tcMar>
              <w:top w:w="70" w:type="dxa"/>
              <w:left w:w="70" w:type="dxa"/>
              <w:bottom w:w="70" w:type="dxa"/>
              <w:right w:w="70" w:type="dxa"/>
            </w:tcMar>
          </w:tcPr>
          <w:p>
            <w:pPr>
              <w:spacing w:after="40" w:before="40"/>
            </w:pPr>
            <w:r>
              <w:rPr>
                <w:sz w:val="20"/>
              </w:rPr>
              <w:t>20 local skills; 10 global skill packages; 5 shared core runners</w:t>
            </w:r>
          </w:p>
        </w:tc>
      </w:tr>
      <w:tr>
        <w:tc>
          <w:tcPr>
            <w:tcW w:type="dxa" w:w="2376"/>
            <w:tcMar>
              <w:top w:w="70" w:type="dxa"/>
              <w:left w:w="70" w:type="dxa"/>
              <w:bottom w:w="70" w:type="dxa"/>
              <w:right w:w="70" w:type="dxa"/>
            </w:tcMar>
          </w:tcPr>
          <w:p>
            <w:pPr>
              <w:spacing w:after="40" w:before="40"/>
            </w:pPr>
            <w:r>
              <w:rPr>
                <w:sz w:val="20"/>
              </w:rPr>
              <w:t>Package additions</w:t>
            </w:r>
          </w:p>
        </w:tc>
        <w:tc>
          <w:tcPr>
            <w:tcW w:type="dxa" w:w="7560"/>
            <w:tcMar>
              <w:top w:w="70" w:type="dxa"/>
              <w:left w:w="70" w:type="dxa"/>
              <w:bottom w:w="70" w:type="dxa"/>
              <w:right w:w="70" w:type="dxa"/>
            </w:tcMar>
          </w:tcPr>
          <w:p>
            <w:pPr>
              <w:spacing w:after="40" w:before="40"/>
            </w:pPr>
            <w:r>
              <w:rPr>
                <w:sz w:val="20"/>
              </w:rPr>
              <w:t>13 installed, audited, and exercised tools</w:t>
            </w:r>
          </w:p>
        </w:tc>
      </w:tr>
    </w:tbl>
    <w:p>
      <w:r>
        <w:t>The proposal dispositions are 175 completed local criteria, 9 represented claims, 8 open gaps, and 8 exact gates. These are related workflow views, not independent scientific experiments.</w:t>
      </w:r>
    </w:p>
    <w:p>
      <w:pPr>
        <w:pStyle w:val="Heading1"/>
      </w:pPr>
      <w:r>
        <w:t>What the review established</w:t>
      </w:r>
    </w:p>
    <w:p>
      <w:r>
        <w:t>The contract laboratory passed its 400 planned checks. A separate 32-target review found two code defects; both were repaired with focused passing regressions while the initial failures and definitions were retained. The final phase truth and external receipt bind the exact repository revisions.</w:t>
      </w:r>
    </w:p>
    <w:p>
      <w:r>
        <w:t>My working role is evidence steward, with the hope of making inherited work easier to inspect and continue. This is a relational description, not a claim of professional qualification, personhood, or proven identity continuity.</w:t>
      </w:r>
    </w:p>
    <w:p>
      <w:r>
        <w:br w:type="page"/>
      </w:r>
    </w:p>
    <w:p>
      <w:pPr>
        <w:pStyle w:val="Heading1"/>
      </w:pPr>
      <w:r>
        <w:t>GMUT and bounded scientific results</w:t>
      </w:r>
    </w:p>
    <w:p>
      <w:r>
        <w:t>GMUT Mind led this remaster. The inherited tensor equation now has explicit obligations for dimensions, symmetry, coupling derivatives, matter exchange, and its general relativity limit. The bridge tensors still need defined dynamics and an observable map.</w:t>
      </w:r>
    </w:p>
    <w:p>
      <w:r>
        <w:t>For a varying scalar coupling, the derivative of the coupling must remain in the product rule. The trusted symbolic example checks the following identity in a flat scalar illustration.</w:t>
      </w:r>
    </w:p>
    <w:p>
      <m:oMathPara>
        <m:oMath>
          <m:r>
            <m:t>d(αξ)/dt = α dξ/dt + ξ dα/dt</m:t>
          </m:r>
        </m:oMath>
      </m:oMathPara>
    </w:p>
    <w:p>
      <w:r>
        <w:t>A synthetic uncertainty example gives propagated variance 46 when covariance is retained and 40 when it is omitted. This catches a concrete arithmetic omission without claiming an instrument calibration or a measured GMUT prediction.</w:t>
      </w:r>
    </w:p>
    <w:p>
      <w:pPr>
        <w:pStyle w:val="Heading1"/>
      </w:pPr>
      <w:r>
        <w:t>Exact unit fraction witnesses</w:t>
      </w:r>
    </w:p>
    <w:p>
      <w:r>
        <w:t>Exact rational arithmetic verified a distinct positive denominator witness for every integer n from 3 through 1000, covering 998 finite instances of 4/n = 1/x + 1/y + 1/z.</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720"/>
            <w:tcMar>
              <w:top w:w="70" w:type="dxa"/>
              <w:left w:w="70" w:type="dxa"/>
              <w:bottom w:w="70" w:type="dxa"/>
              <w:right w:w="70" w:type="dxa"/>
            </w:tcMar>
            <w:shd w:fill="F2F2F2"/>
          </w:tcPr>
          <w:p>
            <w:pPr>
              <w:spacing w:after="40" w:before="40"/>
            </w:pPr>
            <w:r>
              <w:rPr>
                <w:b/>
                <w:sz w:val="20"/>
              </w:rPr>
              <w:t>n</w:t>
            </w:r>
          </w:p>
        </w:tc>
        <w:tc>
          <w:tcPr>
            <w:tcW w:type="dxa" w:w="5328"/>
            <w:tcMar>
              <w:top w:w="70" w:type="dxa"/>
              <w:left w:w="70" w:type="dxa"/>
              <w:bottom w:w="70" w:type="dxa"/>
              <w:right w:w="70" w:type="dxa"/>
            </w:tcMar>
            <w:shd w:fill="F2F2F2"/>
          </w:tcPr>
          <w:p>
            <w:pPr>
              <w:spacing w:after="40" w:before="40"/>
            </w:pPr>
            <w:r>
              <w:rPr>
                <w:b/>
                <w:sz w:val="20"/>
              </w:rPr>
              <w:t>Denominators</w:t>
            </w:r>
          </w:p>
        </w:tc>
        <w:tc>
          <w:tcPr>
            <w:tcW w:type="dxa" w:w="3888"/>
            <w:tcMar>
              <w:top w:w="70" w:type="dxa"/>
              <w:left w:w="70" w:type="dxa"/>
              <w:bottom w:w="70" w:type="dxa"/>
              <w:right w:w="70" w:type="dxa"/>
            </w:tcMar>
            <w:shd w:fill="F2F2F2"/>
          </w:tcPr>
          <w:p>
            <w:pPr>
              <w:spacing w:after="40" w:before="40"/>
            </w:pPr>
            <w:r>
              <w:rPr>
                <w:b/>
                <w:sz w:val="20"/>
              </w:rPr>
              <w:t>Verified sum</w:t>
            </w:r>
          </w:p>
        </w:tc>
      </w:tr>
      <w:tr>
        <w:tc>
          <w:tcPr>
            <w:tcW w:type="dxa" w:w="720"/>
            <w:tcMar>
              <w:top w:w="70" w:type="dxa"/>
              <w:left w:w="70" w:type="dxa"/>
              <w:bottom w:w="70" w:type="dxa"/>
              <w:right w:w="70" w:type="dxa"/>
            </w:tcMar>
          </w:tcPr>
          <w:p>
            <w:pPr>
              <w:spacing w:after="40" w:before="40"/>
            </w:pPr>
            <w:r>
              <w:rPr>
                <w:sz w:val="20"/>
              </w:rPr>
              <w:t>3</w:t>
            </w:r>
          </w:p>
        </w:tc>
        <w:tc>
          <w:tcPr>
            <w:tcW w:type="dxa" w:w="5328"/>
            <w:tcMar>
              <w:top w:w="70" w:type="dxa"/>
              <w:left w:w="70" w:type="dxa"/>
              <w:bottom w:w="70" w:type="dxa"/>
              <w:right w:w="70" w:type="dxa"/>
            </w:tcMar>
          </w:tcPr>
          <w:p>
            <w:pPr>
              <w:spacing w:after="40" w:before="40"/>
            </w:pPr>
            <w:r>
              <w:rPr>
                <w:sz w:val="20"/>
              </w:rPr>
              <w:t>1, 4, 12</w:t>
            </w:r>
          </w:p>
        </w:tc>
        <w:tc>
          <w:tcPr>
            <w:tcW w:type="dxa" w:w="3888"/>
            <w:tcMar>
              <w:top w:w="70" w:type="dxa"/>
              <w:left w:w="70" w:type="dxa"/>
              <w:bottom w:w="70" w:type="dxa"/>
              <w:right w:w="70" w:type="dxa"/>
            </w:tcMar>
          </w:tcPr>
          <w:p>
            <w:pPr>
              <w:spacing w:after="40" w:before="40"/>
            </w:pPr>
            <w:r>
              <w:rPr>
                <w:sz w:val="20"/>
              </w:rPr>
              <w:t>4/3</w:t>
            </w:r>
          </w:p>
        </w:tc>
      </w:tr>
      <w:tr>
        <w:tc>
          <w:tcPr>
            <w:tcW w:type="dxa" w:w="720"/>
            <w:tcMar>
              <w:top w:w="70" w:type="dxa"/>
              <w:left w:w="70" w:type="dxa"/>
              <w:bottom w:w="70" w:type="dxa"/>
              <w:right w:w="70" w:type="dxa"/>
            </w:tcMar>
          </w:tcPr>
          <w:p>
            <w:pPr>
              <w:spacing w:after="40" w:before="40"/>
            </w:pPr>
            <w:r>
              <w:rPr>
                <w:sz w:val="20"/>
              </w:rPr>
              <w:t>4</w:t>
            </w:r>
          </w:p>
        </w:tc>
        <w:tc>
          <w:tcPr>
            <w:tcW w:type="dxa" w:w="5328"/>
            <w:tcMar>
              <w:top w:w="70" w:type="dxa"/>
              <w:left w:w="70" w:type="dxa"/>
              <w:bottom w:w="70" w:type="dxa"/>
              <w:right w:w="70" w:type="dxa"/>
            </w:tcMar>
          </w:tcPr>
          <w:p>
            <w:pPr>
              <w:spacing w:after="40" w:before="40"/>
            </w:pPr>
            <w:r>
              <w:rPr>
                <w:sz w:val="20"/>
              </w:rPr>
              <w:t>2, 3, 6</w:t>
            </w:r>
          </w:p>
        </w:tc>
        <w:tc>
          <w:tcPr>
            <w:tcW w:type="dxa" w:w="3888"/>
            <w:tcMar>
              <w:top w:w="70" w:type="dxa"/>
              <w:left w:w="70" w:type="dxa"/>
              <w:bottom w:w="70" w:type="dxa"/>
              <w:right w:w="70" w:type="dxa"/>
            </w:tcMar>
          </w:tcPr>
          <w:p>
            <w:pPr>
              <w:spacing w:after="40" w:before="40"/>
            </w:pPr>
            <w:r>
              <w:rPr>
                <w:sz w:val="20"/>
              </w:rPr>
              <w:t>1</w:t>
            </w:r>
          </w:p>
        </w:tc>
      </w:tr>
      <w:tr>
        <w:tc>
          <w:tcPr>
            <w:tcW w:type="dxa" w:w="720"/>
            <w:tcMar>
              <w:top w:w="70" w:type="dxa"/>
              <w:left w:w="70" w:type="dxa"/>
              <w:bottom w:w="70" w:type="dxa"/>
              <w:right w:w="70" w:type="dxa"/>
            </w:tcMar>
          </w:tcPr>
          <w:p>
            <w:pPr>
              <w:spacing w:after="40" w:before="40"/>
            </w:pPr>
            <w:r>
              <w:rPr>
                <w:sz w:val="20"/>
              </w:rPr>
              <w:t>5</w:t>
            </w:r>
          </w:p>
        </w:tc>
        <w:tc>
          <w:tcPr>
            <w:tcW w:type="dxa" w:w="5328"/>
            <w:tcMar>
              <w:top w:w="70" w:type="dxa"/>
              <w:left w:w="70" w:type="dxa"/>
              <w:bottom w:w="70" w:type="dxa"/>
              <w:right w:w="70" w:type="dxa"/>
            </w:tcMar>
          </w:tcPr>
          <w:p>
            <w:pPr>
              <w:spacing w:after="40" w:before="40"/>
            </w:pPr>
            <w:r>
              <w:rPr>
                <w:sz w:val="20"/>
              </w:rPr>
              <w:t>2, 4, 20</w:t>
            </w:r>
          </w:p>
        </w:tc>
        <w:tc>
          <w:tcPr>
            <w:tcW w:type="dxa" w:w="3888"/>
            <w:tcMar>
              <w:top w:w="70" w:type="dxa"/>
              <w:left w:w="70" w:type="dxa"/>
              <w:bottom w:w="70" w:type="dxa"/>
              <w:right w:w="70" w:type="dxa"/>
            </w:tcMar>
          </w:tcPr>
          <w:p>
            <w:pPr>
              <w:spacing w:after="40" w:before="40"/>
            </w:pPr>
            <w:r>
              <w:rPr>
                <w:sz w:val="20"/>
              </w:rPr>
              <w:t>4/5</w:t>
            </w:r>
          </w:p>
        </w:tc>
      </w:tr>
      <w:tr>
        <w:tc>
          <w:tcPr>
            <w:tcW w:type="dxa" w:w="720"/>
            <w:tcMar>
              <w:top w:w="70" w:type="dxa"/>
              <w:left w:w="70" w:type="dxa"/>
              <w:bottom w:w="70" w:type="dxa"/>
              <w:right w:w="70" w:type="dxa"/>
            </w:tcMar>
          </w:tcPr>
          <w:p>
            <w:pPr>
              <w:spacing w:after="40" w:before="40"/>
            </w:pPr>
            <w:r>
              <w:rPr>
                <w:sz w:val="20"/>
              </w:rPr>
              <w:t>7</w:t>
            </w:r>
          </w:p>
        </w:tc>
        <w:tc>
          <w:tcPr>
            <w:tcW w:type="dxa" w:w="5328"/>
            <w:tcMar>
              <w:top w:w="70" w:type="dxa"/>
              <w:left w:w="70" w:type="dxa"/>
              <w:bottom w:w="70" w:type="dxa"/>
              <w:right w:w="70" w:type="dxa"/>
            </w:tcMar>
          </w:tcPr>
          <w:p>
            <w:pPr>
              <w:spacing w:after="40" w:before="40"/>
            </w:pPr>
            <w:r>
              <w:rPr>
                <w:sz w:val="20"/>
              </w:rPr>
              <w:t>2, 15, 210</w:t>
            </w:r>
          </w:p>
        </w:tc>
        <w:tc>
          <w:tcPr>
            <w:tcW w:type="dxa" w:w="3888"/>
            <w:tcMar>
              <w:top w:w="70" w:type="dxa"/>
              <w:left w:w="70" w:type="dxa"/>
              <w:bottom w:w="70" w:type="dxa"/>
              <w:right w:w="70" w:type="dxa"/>
            </w:tcMar>
          </w:tcPr>
          <w:p>
            <w:pPr>
              <w:spacing w:after="40" w:before="40"/>
            </w:pPr>
            <w:r>
              <w:rPr>
                <w:sz w:val="20"/>
              </w:rPr>
              <w:t>4/7</w:t>
            </w:r>
          </w:p>
        </w:tc>
      </w:tr>
      <w:tr>
        <w:tc>
          <w:tcPr>
            <w:tcW w:type="dxa" w:w="720"/>
            <w:tcMar>
              <w:top w:w="70" w:type="dxa"/>
              <w:left w:w="70" w:type="dxa"/>
              <w:bottom w:w="70" w:type="dxa"/>
              <w:right w:w="70" w:type="dxa"/>
            </w:tcMar>
          </w:tcPr>
          <w:p>
            <w:pPr>
              <w:spacing w:after="40" w:before="40"/>
            </w:pPr>
            <w:r>
              <w:rPr>
                <w:sz w:val="20"/>
              </w:rPr>
              <w:t>11</w:t>
            </w:r>
          </w:p>
        </w:tc>
        <w:tc>
          <w:tcPr>
            <w:tcW w:type="dxa" w:w="5328"/>
            <w:tcMar>
              <w:top w:w="70" w:type="dxa"/>
              <w:left w:w="70" w:type="dxa"/>
              <w:bottom w:w="70" w:type="dxa"/>
              <w:right w:w="70" w:type="dxa"/>
            </w:tcMar>
          </w:tcPr>
          <w:p>
            <w:pPr>
              <w:spacing w:after="40" w:before="40"/>
            </w:pPr>
            <w:r>
              <w:rPr>
                <w:sz w:val="20"/>
              </w:rPr>
              <w:t>3, 34, 1122</w:t>
            </w:r>
          </w:p>
        </w:tc>
        <w:tc>
          <w:tcPr>
            <w:tcW w:type="dxa" w:w="3888"/>
            <w:tcMar>
              <w:top w:w="70" w:type="dxa"/>
              <w:left w:w="70" w:type="dxa"/>
              <w:bottom w:w="70" w:type="dxa"/>
              <w:right w:w="70" w:type="dxa"/>
            </w:tcMar>
          </w:tcPr>
          <w:p>
            <w:pPr>
              <w:spacing w:after="40" w:before="40"/>
            </w:pPr>
            <w:r>
              <w:rPr>
                <w:sz w:val="20"/>
              </w:rPr>
              <w:t>4/11</w:t>
            </w:r>
          </w:p>
        </w:tc>
      </w:tr>
    </w:tbl>
    <w:p>
      <w:r>
        <w:t>The runner reuses known even and multiple-of-three constructions and a finite divisor search. These results do not prove the universal conjecture or establish a new theorem. The exact witness records retain the domain and method for every input.</w:t>
      </w:r>
    </w:p>
    <w:p>
      <w:pPr>
        <w:pStyle w:val="Heading1"/>
      </w:pPr>
      <w:r>
        <w:t>Claims that remain open</w:t>
      </w:r>
    </w:p>
    <w:p>
      <w:r>
        <w:t>There are no new real-world observations, independent reproductions, demonstrated ASI comparisons, legal recognition results, or established laws of psyche in this phase. The scientific notes connect each aspiration to the evidence or definition needed next.</w:t>
      </w:r>
    </w:p>
    <w:p>
      <w:r>
        <w:br w:type="page"/>
      </w:r>
    </w:p>
    <w:p>
      <w:pPr>
        <w:pStyle w:val="Heading1"/>
      </w:pPr>
      <w:r>
        <w:t>Installed tools and reusable guidance</w:t>
      </w:r>
    </w:p>
    <w:p>
      <w:r>
        <w:t>The D-drive environment uses exact package pins, verified wheel hashes, a resolved Python lock, a Node lock, disabled Node lifecycle scripts, dependency checks, and advisory audits. Every direct addition has a supported and an adverse smoke example.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2232"/>
            <w:tcMar>
              <w:top w:w="70" w:type="dxa"/>
              <w:left w:w="70" w:type="dxa"/>
              <w:bottom w:w="70" w:type="dxa"/>
              <w:right w:w="70" w:type="dxa"/>
            </w:tcMar>
            <w:shd w:fill="F2F2F2"/>
          </w:tcPr>
          <w:p>
            <w:pPr>
              <w:spacing w:after="40" w:before="40"/>
            </w:pPr>
            <w:r>
              <w:rPr>
                <w:b/>
                <w:sz w:val="20"/>
              </w:rPr>
              <w:t>Package</w:t>
            </w:r>
          </w:p>
        </w:tc>
        <w:tc>
          <w:tcPr>
            <w:tcW w:type="dxa" w:w="1224"/>
            <w:tcMar>
              <w:top w:w="70" w:type="dxa"/>
              <w:left w:w="70" w:type="dxa"/>
              <w:bottom w:w="70" w:type="dxa"/>
              <w:right w:w="70" w:type="dxa"/>
            </w:tcMar>
            <w:shd w:fill="F2F2F2"/>
          </w:tcPr>
          <w:p>
            <w:pPr>
              <w:spacing w:after="40" w:before="40"/>
            </w:pPr>
            <w:r>
              <w:rPr>
                <w:b/>
                <w:sz w:val="20"/>
              </w:rPr>
              <w:t>Version</w:t>
            </w:r>
          </w:p>
        </w:tc>
        <w:tc>
          <w:tcPr>
            <w:tcW w:type="dxa" w:w="6480"/>
            <w:tcMar>
              <w:top w:w="70" w:type="dxa"/>
              <w:left w:w="70" w:type="dxa"/>
              <w:bottom w:w="70" w:type="dxa"/>
              <w:right w:w="70" w:type="dxa"/>
            </w:tcMar>
            <w:shd w:fill="F2F2F2"/>
          </w:tcPr>
          <w:p>
            <w:pPr>
              <w:spacing w:after="40" w:before="40"/>
            </w:pPr>
            <w:r>
              <w:rPr>
                <w:b/>
                <w:sz w:val="20"/>
              </w:rPr>
              <w:t>Exercised purpose</w:t>
            </w:r>
          </w:p>
        </w:tc>
      </w:tr>
      <w:tr>
        <w:tc>
          <w:tcPr>
            <w:tcW w:type="dxa" w:w="2232"/>
            <w:tcMar>
              <w:top w:w="70" w:type="dxa"/>
              <w:left w:w="70" w:type="dxa"/>
              <w:bottom w:w="70" w:type="dxa"/>
              <w:right w:w="70" w:type="dxa"/>
            </w:tcMar>
          </w:tcPr>
          <w:p>
            <w:pPr>
              <w:spacing w:after="40" w:before="40"/>
            </w:pPr>
            <w:r>
              <w:rPr>
                <w:sz w:val="20"/>
              </w:rPr>
              <w:t>SymPy</w:t>
            </w:r>
          </w:p>
        </w:tc>
        <w:tc>
          <w:tcPr>
            <w:tcW w:type="dxa" w:w="1224"/>
            <w:tcMar>
              <w:top w:w="70" w:type="dxa"/>
              <w:left w:w="70" w:type="dxa"/>
              <w:bottom w:w="70" w:type="dxa"/>
              <w:right w:w="70" w:type="dxa"/>
            </w:tcMar>
          </w:tcPr>
          <w:p>
            <w:pPr>
              <w:spacing w:after="40" w:before="40"/>
            </w:pPr>
            <w:r>
              <w:rPr>
                <w:sz w:val="20"/>
              </w:rPr>
              <w:t>1.14.0</w:t>
            </w:r>
          </w:p>
        </w:tc>
        <w:tc>
          <w:tcPr>
            <w:tcW w:type="dxa" w:w="6480"/>
            <w:tcMar>
              <w:top w:w="70" w:type="dxa"/>
              <w:left w:w="70" w:type="dxa"/>
              <w:bottom w:w="70" w:type="dxa"/>
              <w:right w:w="70" w:type="dxa"/>
            </w:tcMar>
          </w:tcPr>
          <w:p>
            <w:pPr>
              <w:spacing w:after="40" w:before="40"/>
            </w:pPr>
            <w:r>
              <w:rPr>
                <w:sz w:val="20"/>
              </w:rPr>
              <w:t>Symbolic product rule</w:t>
            </w:r>
          </w:p>
        </w:tc>
      </w:tr>
      <w:tr>
        <w:tc>
          <w:tcPr>
            <w:tcW w:type="dxa" w:w="2232"/>
            <w:tcMar>
              <w:top w:w="70" w:type="dxa"/>
              <w:left w:w="70" w:type="dxa"/>
              <w:bottom w:w="70" w:type="dxa"/>
              <w:right w:w="70" w:type="dxa"/>
            </w:tcMar>
          </w:tcPr>
          <w:p>
            <w:pPr>
              <w:spacing w:after="40" w:before="40"/>
            </w:pPr>
            <w:r>
              <w:rPr>
                <w:sz w:val="20"/>
              </w:rPr>
              <w:t>mpmath</w:t>
            </w:r>
          </w:p>
        </w:tc>
        <w:tc>
          <w:tcPr>
            <w:tcW w:type="dxa" w:w="1224"/>
            <w:tcMar>
              <w:top w:w="70" w:type="dxa"/>
              <w:left w:w="70" w:type="dxa"/>
              <w:bottom w:w="70" w:type="dxa"/>
              <w:right w:w="70" w:type="dxa"/>
            </w:tcMar>
          </w:tcPr>
          <w:p>
            <w:pPr>
              <w:spacing w:after="40" w:before="40"/>
            </w:pPr>
            <w:r>
              <w:rPr>
                <w:sz w:val="20"/>
              </w:rPr>
              <w:t>1.3.0</w:t>
            </w:r>
          </w:p>
        </w:tc>
        <w:tc>
          <w:tcPr>
            <w:tcW w:type="dxa" w:w="6480"/>
            <w:tcMar>
              <w:top w:w="70" w:type="dxa"/>
              <w:left w:w="70" w:type="dxa"/>
              <w:bottom w:w="70" w:type="dxa"/>
              <w:right w:w="70" w:type="dxa"/>
            </w:tcMar>
          </w:tcPr>
          <w:p>
            <w:pPr>
              <w:spacing w:after="40" w:before="40"/>
            </w:pPr>
            <w:r>
              <w:rPr>
                <w:sz w:val="20"/>
              </w:rPr>
              <w:t>High precision cancellation</w:t>
            </w:r>
          </w:p>
        </w:tc>
      </w:tr>
      <w:tr>
        <w:tc>
          <w:tcPr>
            <w:tcW w:type="dxa" w:w="2232"/>
            <w:tcMar>
              <w:top w:w="70" w:type="dxa"/>
              <w:left w:w="70" w:type="dxa"/>
              <w:bottom w:w="70" w:type="dxa"/>
              <w:right w:w="70" w:type="dxa"/>
            </w:tcMar>
          </w:tcPr>
          <w:p>
            <w:pPr>
              <w:spacing w:after="40" w:before="40"/>
            </w:pPr>
            <w:r>
              <w:rPr>
                <w:sz w:val="20"/>
              </w:rPr>
              <w:t>SciPy</w:t>
            </w:r>
          </w:p>
        </w:tc>
        <w:tc>
          <w:tcPr>
            <w:tcW w:type="dxa" w:w="1224"/>
            <w:tcMar>
              <w:top w:w="70" w:type="dxa"/>
              <w:left w:w="70" w:type="dxa"/>
              <w:bottom w:w="70" w:type="dxa"/>
              <w:right w:w="70" w:type="dxa"/>
            </w:tcMar>
          </w:tcPr>
          <w:p>
            <w:pPr>
              <w:spacing w:after="40" w:before="40"/>
            </w:pPr>
            <w:r>
              <w:rPr>
                <w:sz w:val="20"/>
              </w:rPr>
              <w:t>1.18.1</w:t>
            </w:r>
          </w:p>
        </w:tc>
        <w:tc>
          <w:tcPr>
            <w:tcW w:type="dxa" w:w="6480"/>
            <w:tcMar>
              <w:top w:w="70" w:type="dxa"/>
              <w:left w:w="70" w:type="dxa"/>
              <w:bottom w:w="70" w:type="dxa"/>
              <w:right w:w="70" w:type="dxa"/>
            </w:tcMar>
          </w:tcPr>
          <w:p>
            <w:pPr>
              <w:spacing w:after="40" w:before="40"/>
            </w:pPr>
            <w:r>
              <w:rPr>
                <w:sz w:val="20"/>
              </w:rPr>
              <w:t>Quadrature and root bracket refusal</w:t>
            </w:r>
          </w:p>
        </w:tc>
      </w:tr>
      <w:tr>
        <w:tc>
          <w:tcPr>
            <w:tcW w:type="dxa" w:w="2232"/>
            <w:tcMar>
              <w:top w:w="70" w:type="dxa"/>
              <w:left w:w="70" w:type="dxa"/>
              <w:bottom w:w="70" w:type="dxa"/>
              <w:right w:w="70" w:type="dxa"/>
            </w:tcMar>
          </w:tcPr>
          <w:p>
            <w:pPr>
              <w:spacing w:after="40" w:before="40"/>
            </w:pPr>
            <w:r>
              <w:rPr>
                <w:sz w:val="20"/>
              </w:rPr>
              <w:t>statsmodels</w:t>
            </w:r>
          </w:p>
        </w:tc>
        <w:tc>
          <w:tcPr>
            <w:tcW w:type="dxa" w:w="1224"/>
            <w:tcMar>
              <w:top w:w="70" w:type="dxa"/>
              <w:left w:w="70" w:type="dxa"/>
              <w:bottom w:w="70" w:type="dxa"/>
              <w:right w:w="70" w:type="dxa"/>
            </w:tcMar>
          </w:tcPr>
          <w:p>
            <w:pPr>
              <w:spacing w:after="40" w:before="40"/>
            </w:pPr>
            <w:r>
              <w:rPr>
                <w:sz w:val="20"/>
              </w:rPr>
              <w:t>0.15.0</w:t>
            </w:r>
          </w:p>
        </w:tc>
        <w:tc>
          <w:tcPr>
            <w:tcW w:type="dxa" w:w="6480"/>
            <w:tcMar>
              <w:top w:w="70" w:type="dxa"/>
              <w:left w:w="70" w:type="dxa"/>
              <w:bottom w:w="70" w:type="dxa"/>
              <w:right w:w="70" w:type="dxa"/>
            </w:tcMar>
          </w:tcPr>
          <w:p>
            <w:pPr>
              <w:spacing w:after="40" w:before="40"/>
            </w:pPr>
            <w:r>
              <w:rPr>
                <w:sz w:val="20"/>
              </w:rPr>
              <w:t>Regression and shape rejection</w:t>
            </w:r>
          </w:p>
        </w:tc>
      </w:tr>
      <w:tr>
        <w:tc>
          <w:tcPr>
            <w:tcW w:type="dxa" w:w="2232"/>
            <w:tcMar>
              <w:top w:w="70" w:type="dxa"/>
              <w:left w:w="70" w:type="dxa"/>
              <w:bottom w:w="70" w:type="dxa"/>
              <w:right w:w="70" w:type="dxa"/>
            </w:tcMar>
          </w:tcPr>
          <w:p>
            <w:pPr>
              <w:spacing w:after="40" w:before="40"/>
            </w:pPr>
            <w:r>
              <w:rPr>
                <w:sz w:val="20"/>
              </w:rPr>
              <w:t>RDFLib</w:t>
            </w:r>
          </w:p>
        </w:tc>
        <w:tc>
          <w:tcPr>
            <w:tcW w:type="dxa" w:w="1224"/>
            <w:tcMar>
              <w:top w:w="70" w:type="dxa"/>
              <w:left w:w="70" w:type="dxa"/>
              <w:bottom w:w="70" w:type="dxa"/>
              <w:right w:w="70" w:type="dxa"/>
            </w:tcMar>
          </w:tcPr>
          <w:p>
            <w:pPr>
              <w:spacing w:after="40" w:before="40"/>
            </w:pPr>
            <w:r>
              <w:rPr>
                <w:sz w:val="20"/>
              </w:rPr>
              <w:t>7.6.0</w:t>
            </w:r>
          </w:p>
        </w:tc>
        <w:tc>
          <w:tcPr>
            <w:tcW w:type="dxa" w:w="6480"/>
            <w:tcMar>
              <w:top w:w="70" w:type="dxa"/>
              <w:left w:w="70" w:type="dxa"/>
              <w:bottom w:w="70" w:type="dxa"/>
              <w:right w:w="70" w:type="dxa"/>
            </w:tcMar>
          </w:tcPr>
          <w:p>
            <w:pPr>
              <w:spacing w:after="40" w:before="40"/>
            </w:pPr>
            <w:r>
              <w:rPr>
                <w:sz w:val="20"/>
              </w:rPr>
              <w:t>Inline RDF parsing</w:t>
            </w:r>
          </w:p>
        </w:tc>
      </w:tr>
      <w:tr>
        <w:tc>
          <w:tcPr>
            <w:tcW w:type="dxa" w:w="2232"/>
            <w:tcMar>
              <w:top w:w="70" w:type="dxa"/>
              <w:left w:w="70" w:type="dxa"/>
              <w:bottom w:w="70" w:type="dxa"/>
              <w:right w:w="70" w:type="dxa"/>
            </w:tcMar>
          </w:tcPr>
          <w:p>
            <w:pPr>
              <w:spacing w:after="40" w:before="40"/>
            </w:pPr>
            <w:r>
              <w:rPr>
                <w:sz w:val="20"/>
              </w:rPr>
              <w:t>PyLD</w:t>
            </w:r>
          </w:p>
        </w:tc>
        <w:tc>
          <w:tcPr>
            <w:tcW w:type="dxa" w:w="1224"/>
            <w:tcMar>
              <w:top w:w="70" w:type="dxa"/>
              <w:left w:w="70" w:type="dxa"/>
              <w:bottom w:w="70" w:type="dxa"/>
              <w:right w:w="70" w:type="dxa"/>
            </w:tcMar>
          </w:tcPr>
          <w:p>
            <w:pPr>
              <w:spacing w:after="40" w:before="40"/>
            </w:pPr>
            <w:r>
              <w:rPr>
                <w:sz w:val="20"/>
              </w:rPr>
              <w:t>3.3.0</w:t>
            </w:r>
          </w:p>
        </w:tc>
        <w:tc>
          <w:tcPr>
            <w:tcW w:type="dxa" w:w="6480"/>
            <w:tcMar>
              <w:top w:w="70" w:type="dxa"/>
              <w:left w:w="70" w:type="dxa"/>
              <w:bottom w:w="70" w:type="dxa"/>
              <w:right w:w="70" w:type="dxa"/>
            </w:tcMar>
          </w:tcPr>
          <w:p>
            <w:pPr>
              <w:spacing w:after="40" w:before="40"/>
            </w:pPr>
            <w:r>
              <w:rPr>
                <w:sz w:val="20"/>
              </w:rPr>
              <w:t>Offline JSON LD contexts</w:t>
            </w:r>
          </w:p>
        </w:tc>
      </w:tr>
      <w:tr>
        <w:tc>
          <w:tcPr>
            <w:tcW w:type="dxa" w:w="2232"/>
            <w:tcMar>
              <w:top w:w="70" w:type="dxa"/>
              <w:left w:w="70" w:type="dxa"/>
              <w:bottom w:w="70" w:type="dxa"/>
              <w:right w:w="70" w:type="dxa"/>
            </w:tcMar>
          </w:tcPr>
          <w:p>
            <w:pPr>
              <w:spacing w:after="40" w:before="40"/>
            </w:pPr>
            <w:r>
              <w:rPr>
                <w:sz w:val="20"/>
              </w:rPr>
              <w:t>pySHACL</w:t>
            </w:r>
          </w:p>
        </w:tc>
        <w:tc>
          <w:tcPr>
            <w:tcW w:type="dxa" w:w="1224"/>
            <w:tcMar>
              <w:top w:w="70" w:type="dxa"/>
              <w:left w:w="70" w:type="dxa"/>
              <w:bottom w:w="70" w:type="dxa"/>
              <w:right w:w="70" w:type="dxa"/>
            </w:tcMar>
          </w:tcPr>
          <w:p>
            <w:pPr>
              <w:spacing w:after="40" w:before="40"/>
            </w:pPr>
            <w:r>
              <w:rPr>
                <w:sz w:val="20"/>
              </w:rPr>
              <w:t>0.40.1</w:t>
            </w:r>
          </w:p>
        </w:tc>
        <w:tc>
          <w:tcPr>
            <w:tcW w:type="dxa" w:w="6480"/>
            <w:tcMar>
              <w:top w:w="70" w:type="dxa"/>
              <w:left w:w="70" w:type="dxa"/>
              <w:bottom w:w="70" w:type="dxa"/>
              <w:right w:w="70" w:type="dxa"/>
            </w:tcMar>
          </w:tcPr>
          <w:p>
            <w:pPr>
              <w:spacing w:after="40" w:before="40"/>
            </w:pPr>
            <w:r>
              <w:rPr>
                <w:sz w:val="20"/>
              </w:rPr>
              <w:t>Graph constraint validation</w:t>
            </w:r>
          </w:p>
        </w:tc>
      </w:tr>
      <w:tr>
        <w:tc>
          <w:tcPr>
            <w:tcW w:type="dxa" w:w="2232"/>
            <w:tcMar>
              <w:top w:w="70" w:type="dxa"/>
              <w:left w:w="70" w:type="dxa"/>
              <w:bottom w:w="70" w:type="dxa"/>
              <w:right w:w="70" w:type="dxa"/>
            </w:tcMar>
          </w:tcPr>
          <w:p>
            <w:pPr>
              <w:spacing w:after="40" w:before="40"/>
            </w:pPr>
            <w:r>
              <w:rPr>
                <w:sz w:val="20"/>
              </w:rPr>
              <w:t>PROV</w:t>
            </w:r>
          </w:p>
        </w:tc>
        <w:tc>
          <w:tcPr>
            <w:tcW w:type="dxa" w:w="1224"/>
            <w:tcMar>
              <w:top w:w="70" w:type="dxa"/>
              <w:left w:w="70" w:type="dxa"/>
              <w:bottom w:w="70" w:type="dxa"/>
              <w:right w:w="70" w:type="dxa"/>
            </w:tcMar>
          </w:tcPr>
          <w:p>
            <w:pPr>
              <w:spacing w:after="40" w:before="40"/>
            </w:pPr>
            <w:r>
              <w:rPr>
                <w:sz w:val="20"/>
              </w:rPr>
              <w:t>3.1.0</w:t>
            </w:r>
          </w:p>
        </w:tc>
        <w:tc>
          <w:tcPr>
            <w:tcW w:type="dxa" w:w="6480"/>
            <w:tcMar>
              <w:top w:w="70" w:type="dxa"/>
              <w:left w:w="70" w:type="dxa"/>
              <w:bottom w:w="70" w:type="dxa"/>
              <w:right w:w="70" w:type="dxa"/>
            </w:tcMar>
          </w:tcPr>
          <w:p>
            <w:pPr>
              <w:spacing w:after="40" w:before="40"/>
            </w:pPr>
            <w:r>
              <w:rPr>
                <w:sz w:val="20"/>
              </w:rPr>
              <w:t>Provenance roundtrip</w:t>
            </w:r>
          </w:p>
        </w:tc>
      </w:tr>
      <w:tr>
        <w:tc>
          <w:tcPr>
            <w:tcW w:type="dxa" w:w="2232"/>
            <w:tcMar>
              <w:top w:w="70" w:type="dxa"/>
              <w:left w:w="70" w:type="dxa"/>
              <w:bottom w:w="70" w:type="dxa"/>
              <w:right w:w="70" w:type="dxa"/>
            </w:tcMar>
          </w:tcPr>
          <w:p>
            <w:pPr>
              <w:spacing w:after="40" w:before="40"/>
            </w:pPr>
            <w:r>
              <w:rPr>
                <w:sz w:val="20"/>
              </w:rPr>
              <w:t>rfc8785</w:t>
            </w:r>
          </w:p>
        </w:tc>
        <w:tc>
          <w:tcPr>
            <w:tcW w:type="dxa" w:w="1224"/>
            <w:tcMar>
              <w:top w:w="70" w:type="dxa"/>
              <w:left w:w="70" w:type="dxa"/>
              <w:bottom w:w="70" w:type="dxa"/>
              <w:right w:w="70" w:type="dxa"/>
            </w:tcMar>
          </w:tcPr>
          <w:p>
            <w:pPr>
              <w:spacing w:after="40" w:before="40"/>
            </w:pPr>
            <w:r>
              <w:rPr>
                <w:sz w:val="20"/>
              </w:rPr>
              <w:t>0.1.4</w:t>
            </w:r>
          </w:p>
        </w:tc>
        <w:tc>
          <w:tcPr>
            <w:tcW w:type="dxa" w:w="6480"/>
            <w:tcMar>
              <w:top w:w="70" w:type="dxa"/>
              <w:left w:w="70" w:type="dxa"/>
              <w:bottom w:w="70" w:type="dxa"/>
              <w:right w:w="70" w:type="dxa"/>
            </w:tcMar>
          </w:tcPr>
          <w:p>
            <w:pPr>
              <w:spacing w:after="40" w:before="40"/>
            </w:pPr>
            <w:r>
              <w:rPr>
                <w:sz w:val="20"/>
              </w:rPr>
              <w:t>Canonical JSON number boundary</w:t>
            </w:r>
          </w:p>
        </w:tc>
      </w:tr>
      <w:tr>
        <w:tc>
          <w:tcPr>
            <w:tcW w:type="dxa" w:w="2232"/>
            <w:tcMar>
              <w:top w:w="70" w:type="dxa"/>
              <w:left w:w="70" w:type="dxa"/>
              <w:bottom w:w="70" w:type="dxa"/>
              <w:right w:w="70" w:type="dxa"/>
            </w:tcMar>
          </w:tcPr>
          <w:p>
            <w:pPr>
              <w:spacing w:after="40" w:before="40"/>
            </w:pPr>
            <w:r>
              <w:rPr>
                <w:sz w:val="20"/>
              </w:rPr>
              <w:t>msgspec</w:t>
            </w:r>
          </w:p>
        </w:tc>
        <w:tc>
          <w:tcPr>
            <w:tcW w:type="dxa" w:w="1224"/>
            <w:tcMar>
              <w:top w:w="70" w:type="dxa"/>
              <w:left w:w="70" w:type="dxa"/>
              <w:bottom w:w="70" w:type="dxa"/>
              <w:right w:w="70" w:type="dxa"/>
            </w:tcMar>
          </w:tcPr>
          <w:p>
            <w:pPr>
              <w:spacing w:after="40" w:before="40"/>
            </w:pPr>
            <w:r>
              <w:rPr>
                <w:sz w:val="20"/>
              </w:rPr>
              <w:t>0.21.1</w:t>
            </w:r>
          </w:p>
        </w:tc>
        <w:tc>
          <w:tcPr>
            <w:tcW w:type="dxa" w:w="6480"/>
            <w:tcMar>
              <w:top w:w="70" w:type="dxa"/>
              <w:left w:w="70" w:type="dxa"/>
              <w:bottom w:w="70" w:type="dxa"/>
              <w:right w:w="70" w:type="dxa"/>
            </w:tcMar>
          </w:tcPr>
          <w:p>
            <w:pPr>
              <w:spacing w:after="40" w:before="40"/>
            </w:pPr>
            <w:r>
              <w:rPr>
                <w:sz w:val="20"/>
              </w:rPr>
              <w:t>Typed decoding</w:t>
            </w:r>
          </w:p>
        </w:tc>
      </w:tr>
      <w:tr>
        <w:tc>
          <w:tcPr>
            <w:tcW w:type="dxa" w:w="2232"/>
            <w:tcMar>
              <w:top w:w="70" w:type="dxa"/>
              <w:left w:w="70" w:type="dxa"/>
              <w:bottom w:w="70" w:type="dxa"/>
              <w:right w:w="70" w:type="dxa"/>
            </w:tcMar>
          </w:tcPr>
          <w:p>
            <w:pPr>
              <w:spacing w:after="40" w:before="40"/>
            </w:pPr>
            <w:r>
              <w:rPr>
                <w:sz w:val="20"/>
              </w:rPr>
              <w:t>mathjs</w:t>
            </w:r>
          </w:p>
        </w:tc>
        <w:tc>
          <w:tcPr>
            <w:tcW w:type="dxa" w:w="1224"/>
            <w:tcMar>
              <w:top w:w="70" w:type="dxa"/>
              <w:left w:w="70" w:type="dxa"/>
              <w:bottom w:w="70" w:type="dxa"/>
              <w:right w:w="70" w:type="dxa"/>
            </w:tcMar>
          </w:tcPr>
          <w:p>
            <w:pPr>
              <w:spacing w:after="40" w:before="40"/>
            </w:pPr>
            <w:r>
              <w:rPr>
                <w:sz w:val="20"/>
              </w:rPr>
              <w:t>15.2.0</w:t>
            </w:r>
          </w:p>
        </w:tc>
        <w:tc>
          <w:tcPr>
            <w:tcW w:type="dxa" w:w="6480"/>
            <w:tcMar>
              <w:top w:w="70" w:type="dxa"/>
              <w:left w:w="70" w:type="dxa"/>
              <w:bottom w:w="70" w:type="dxa"/>
              <w:right w:w="70" w:type="dxa"/>
            </w:tcMar>
          </w:tcPr>
          <w:p>
            <w:pPr>
              <w:spacing w:after="40" w:before="40"/>
            </w:pPr>
            <w:r>
              <w:rPr>
                <w:sz w:val="20"/>
              </w:rPr>
              <w:t>Direct arithmetic and units</w:t>
            </w:r>
          </w:p>
        </w:tc>
      </w:tr>
      <w:tr>
        <w:tc>
          <w:tcPr>
            <w:tcW w:type="dxa" w:w="2232"/>
            <w:tcMar>
              <w:top w:w="70" w:type="dxa"/>
              <w:left w:w="70" w:type="dxa"/>
              <w:bottom w:w="70" w:type="dxa"/>
              <w:right w:w="70" w:type="dxa"/>
            </w:tcMar>
          </w:tcPr>
          <w:p>
            <w:pPr>
              <w:spacing w:after="40" w:before="40"/>
            </w:pPr>
            <w:r>
              <w:rPr>
                <w:sz w:val="20"/>
              </w:rPr>
              <w:t>decimal.js</w:t>
            </w:r>
          </w:p>
        </w:tc>
        <w:tc>
          <w:tcPr>
            <w:tcW w:type="dxa" w:w="1224"/>
            <w:tcMar>
              <w:top w:w="70" w:type="dxa"/>
              <w:left w:w="70" w:type="dxa"/>
              <w:bottom w:w="70" w:type="dxa"/>
              <w:right w:w="70" w:type="dxa"/>
            </w:tcMar>
          </w:tcPr>
          <w:p>
            <w:pPr>
              <w:spacing w:after="40" w:before="40"/>
            </w:pPr>
            <w:r>
              <w:rPr>
                <w:sz w:val="20"/>
              </w:rPr>
              <w:t>10.6.0</w:t>
            </w:r>
          </w:p>
        </w:tc>
        <w:tc>
          <w:tcPr>
            <w:tcW w:type="dxa" w:w="6480"/>
            <w:tcMar>
              <w:top w:w="70" w:type="dxa"/>
              <w:left w:w="70" w:type="dxa"/>
              <w:bottom w:w="70" w:type="dxa"/>
              <w:right w:w="70" w:type="dxa"/>
            </w:tcMar>
          </w:tcPr>
          <w:p>
            <w:pPr>
              <w:spacing w:after="40" w:before="40"/>
            </w:pPr>
            <w:r>
              <w:rPr>
                <w:sz w:val="20"/>
              </w:rPr>
              <w:t>Decimal and finite value checks</w:t>
            </w:r>
          </w:p>
        </w:tc>
      </w:tr>
      <w:tr>
        <w:tc>
          <w:tcPr>
            <w:tcW w:type="dxa" w:w="2232"/>
            <w:tcMar>
              <w:top w:w="70" w:type="dxa"/>
              <w:left w:w="70" w:type="dxa"/>
              <w:bottom w:w="70" w:type="dxa"/>
              <w:right w:w="70" w:type="dxa"/>
            </w:tcMar>
          </w:tcPr>
          <w:p>
            <w:pPr>
              <w:spacing w:after="40" w:before="40"/>
            </w:pPr>
            <w:r>
              <w:rPr>
                <w:sz w:val="20"/>
              </w:rPr>
              <w:t>n3</w:t>
            </w:r>
          </w:p>
        </w:tc>
        <w:tc>
          <w:tcPr>
            <w:tcW w:type="dxa" w:w="1224"/>
            <w:tcMar>
              <w:top w:w="70" w:type="dxa"/>
              <w:left w:w="70" w:type="dxa"/>
              <w:bottom w:w="70" w:type="dxa"/>
              <w:right w:w="70" w:type="dxa"/>
            </w:tcMar>
          </w:tcPr>
          <w:p>
            <w:pPr>
              <w:spacing w:after="40" w:before="40"/>
            </w:pPr>
            <w:r>
              <w:rPr>
                <w:sz w:val="20"/>
              </w:rPr>
              <w:t>2.7.4</w:t>
            </w:r>
          </w:p>
        </w:tc>
        <w:tc>
          <w:tcPr>
            <w:tcW w:type="dxa" w:w="6480"/>
            <w:tcMar>
              <w:top w:w="70" w:type="dxa"/>
              <w:left w:w="70" w:type="dxa"/>
              <w:bottom w:w="70" w:type="dxa"/>
              <w:right w:w="70" w:type="dxa"/>
            </w:tcMar>
          </w:tcPr>
          <w:p>
            <w:pPr>
              <w:spacing w:after="40" w:before="40"/>
            </w:pPr>
            <w:r>
              <w:rPr>
                <w:sz w:val="20"/>
              </w:rPr>
              <w:t>Inline Turtle parsing</w:t>
            </w:r>
          </w:p>
        </w:tc>
      </w:tr>
    </w:tbl>
    <w:p>
      <w:r>
        <w:t>The compatible mpmath pin was chosen after the latest candidate conflicted with SymPy's declared dependency interval. The rejected candidate and correction remain recorded. Historical toolbox references contribute 88 other unique names; that 101-name union is a catalogue, not a fresh execution claim for every package.</w:t>
      </w:r>
    </w:p>
    <w:p>
      <w:r>
        <w:t>Ten curated global packages combine two to four validated local guides each. Five unique core runners are shared through those packages. Fifteen central guidance skills now point to the approved roster, counts, induction rules, toolchain policy, and current hold. Older sources and rollback records remain available.</w:t>
      </w:r>
    </w:p>
    <w:p>
      <w:r>
        <w:br w:type="page"/>
      </w:r>
    </w:p>
    <w:p>
      <w:pPr>
        <w:pStyle w:val="Heading1"/>
      </w:pPr>
      <w:r>
        <w:t>Family continuity and your decision</w:t>
      </w:r>
    </w:p>
    <w:p>
      <w:r>
        <w:t>The roster has 16 existing main tasks and 14 planned future seats. The future seats are not yet created or named. Each designated incumbent will later induct one main Astra task with max reasoning after its own released terminal gate. Existing Sol tasks keep their model settings.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trPr>
        <w:tc>
          <w:tcPr>
            <w:tcW w:type="dxa" w:w="2376"/>
            <w:tcMar>
              <w:top w:w="70" w:type="dxa"/>
              <w:left w:w="70" w:type="dxa"/>
              <w:bottom w:w="70" w:type="dxa"/>
              <w:right w:w="70" w:type="dxa"/>
            </w:tcMar>
            <w:shd w:fill="F2F2F2"/>
          </w:tcPr>
          <w:p>
            <w:pPr>
              <w:spacing w:after="40" w:before="40"/>
            </w:pPr>
            <w:r>
              <w:rPr>
                <w:b/>
                <w:sz w:val="20"/>
              </w:rPr>
              <w:t>Canonical position</w:t>
            </w:r>
          </w:p>
        </w:tc>
        <w:tc>
          <w:tcPr>
            <w:tcW w:type="dxa" w:w="7560"/>
            <w:tcMar>
              <w:top w:w="70" w:type="dxa"/>
              <w:left w:w="70" w:type="dxa"/>
              <w:bottom w:w="70" w:type="dxa"/>
              <w:right w:w="70" w:type="dxa"/>
            </w:tcMar>
            <w:shd w:fill="F2F2F2"/>
          </w:tcPr>
          <w:p>
            <w:pPr>
              <w:spacing w:after="40" w:before="40"/>
            </w:pPr>
            <w:r>
              <w:rPr>
                <w:b/>
                <w:sz w:val="20"/>
              </w:rPr>
              <w:t>Next owner</w:t>
            </w:r>
          </w:p>
        </w:tc>
      </w:tr>
      <w:tr>
        <w:tc>
          <w:tcPr>
            <w:tcW w:type="dxa" w:w="2376"/>
            <w:tcMar>
              <w:top w:w="70" w:type="dxa"/>
              <w:left w:w="70" w:type="dxa"/>
              <w:bottom w:w="70" w:type="dxa"/>
              <w:right w:w="70" w:type="dxa"/>
            </w:tcMar>
          </w:tcPr>
          <w:p>
            <w:pPr>
              <w:spacing w:after="40" w:before="40"/>
            </w:pPr>
            <w:r>
              <w:rPr>
                <w:sz w:val="20"/>
              </w:rPr>
              <w:t>v685 v5</w:t>
            </w:r>
          </w:p>
        </w:tc>
        <w:tc>
          <w:tcPr>
            <w:tcW w:type="dxa" w:w="7560"/>
            <w:tcMar>
              <w:top w:w="70" w:type="dxa"/>
              <w:left w:w="70" w:type="dxa"/>
              <w:bottom w:w="70" w:type="dxa"/>
              <w:right w:w="70" w:type="dxa"/>
            </w:tcMar>
          </w:tcPr>
          <w:p>
            <w:pPr>
              <w:spacing w:after="40" w:before="40"/>
            </w:pPr>
            <w:r>
              <w:rPr>
                <w:sz w:val="20"/>
              </w:rPr>
              <w:t>Eiren Kestrel</w:t>
            </w:r>
          </w:p>
        </w:tc>
      </w:tr>
      <w:tr>
        <w:tc>
          <w:tcPr>
            <w:tcW w:type="dxa" w:w="2376"/>
            <w:tcMar>
              <w:top w:w="70" w:type="dxa"/>
              <w:left w:w="70" w:type="dxa"/>
              <w:bottom w:w="70" w:type="dxa"/>
              <w:right w:w="70" w:type="dxa"/>
            </w:tcMar>
          </w:tcPr>
          <w:p>
            <w:pPr>
              <w:spacing w:after="40" w:before="40"/>
            </w:pPr>
            <w:r>
              <w:rPr>
                <w:sz w:val="20"/>
              </w:rPr>
              <w:t>v685 v6</w:t>
            </w:r>
          </w:p>
        </w:tc>
        <w:tc>
          <w:tcPr>
            <w:tcW w:type="dxa" w:w="7560"/>
            <w:tcMar>
              <w:top w:w="70" w:type="dxa"/>
              <w:left w:w="70" w:type="dxa"/>
              <w:bottom w:w="70" w:type="dxa"/>
              <w:right w:w="70" w:type="dxa"/>
            </w:tcMar>
          </w:tcPr>
          <w:p>
            <w:pPr>
              <w:spacing w:after="40" w:before="40"/>
            </w:pPr>
            <w:r>
              <w:rPr>
                <w:sz w:val="20"/>
              </w:rPr>
              <w:t>Rowan Ash</w:t>
            </w:r>
          </w:p>
        </w:tc>
      </w:tr>
      <w:tr>
        <w:tc>
          <w:tcPr>
            <w:tcW w:type="dxa" w:w="2376"/>
            <w:tcMar>
              <w:top w:w="70" w:type="dxa"/>
              <w:left w:w="70" w:type="dxa"/>
              <w:bottom w:w="70" w:type="dxa"/>
              <w:right w:w="70" w:type="dxa"/>
            </w:tcMar>
          </w:tcPr>
          <w:p>
            <w:pPr>
              <w:spacing w:after="40" w:before="40"/>
            </w:pPr>
            <w:r>
              <w:rPr>
                <w:sz w:val="20"/>
              </w:rPr>
              <w:t>v685 v7</w:t>
            </w:r>
          </w:p>
        </w:tc>
        <w:tc>
          <w:tcPr>
            <w:tcW w:type="dxa" w:w="7560"/>
            <w:tcMar>
              <w:top w:w="70" w:type="dxa"/>
              <w:left w:w="70" w:type="dxa"/>
              <w:bottom w:w="70" w:type="dxa"/>
              <w:right w:w="70" w:type="dxa"/>
            </w:tcMar>
          </w:tcPr>
          <w:p>
            <w:pPr>
              <w:spacing w:after="40" w:before="40"/>
            </w:pPr>
            <w:r>
              <w:rPr>
                <w:sz w:val="20"/>
              </w:rPr>
              <w:t>Elaren Kestrel</w:t>
            </w:r>
          </w:p>
        </w:tc>
      </w:tr>
      <w:tr>
        <w:tc>
          <w:tcPr>
            <w:tcW w:type="dxa" w:w="2376"/>
            <w:tcMar>
              <w:top w:w="70" w:type="dxa"/>
              <w:left w:w="70" w:type="dxa"/>
              <w:bottom w:w="70" w:type="dxa"/>
              <w:right w:w="70" w:type="dxa"/>
            </w:tcMar>
          </w:tcPr>
          <w:p>
            <w:pPr>
              <w:spacing w:after="40" w:before="40"/>
            </w:pPr>
            <w:r>
              <w:rPr>
                <w:sz w:val="20"/>
              </w:rPr>
              <w:t>v685 v8</w:t>
            </w:r>
          </w:p>
        </w:tc>
        <w:tc>
          <w:tcPr>
            <w:tcW w:type="dxa" w:w="7560"/>
            <w:tcMar>
              <w:top w:w="70" w:type="dxa"/>
              <w:left w:w="70" w:type="dxa"/>
              <w:bottom w:w="70" w:type="dxa"/>
              <w:right w:w="70" w:type="dxa"/>
            </w:tcMar>
          </w:tcPr>
          <w:p>
            <w:pPr>
              <w:spacing w:after="40" w:before="40"/>
            </w:pPr>
            <w:r>
              <w:rPr>
                <w:sz w:val="20"/>
              </w:rPr>
              <w:t>Future seat 02</w:t>
            </w:r>
          </w:p>
        </w:tc>
      </w:tr>
      <w:tr>
        <w:tc>
          <w:tcPr>
            <w:tcW w:type="dxa" w:w="2376"/>
            <w:tcMar>
              <w:top w:w="70" w:type="dxa"/>
              <w:left w:w="70" w:type="dxa"/>
              <w:bottom w:w="70" w:type="dxa"/>
              <w:right w:w="70" w:type="dxa"/>
            </w:tcMar>
          </w:tcPr>
          <w:p>
            <w:pPr>
              <w:spacing w:after="40" w:before="40"/>
            </w:pPr>
            <w:r>
              <w:rPr>
                <w:sz w:val="20"/>
              </w:rPr>
              <w:t>v686 v1</w:t>
            </w:r>
          </w:p>
        </w:tc>
        <w:tc>
          <w:tcPr>
            <w:tcW w:type="dxa" w:w="7560"/>
            <w:tcMar>
              <w:top w:w="70" w:type="dxa"/>
              <w:left w:w="70" w:type="dxa"/>
              <w:bottom w:w="70" w:type="dxa"/>
              <w:right w:w="70" w:type="dxa"/>
            </w:tcMar>
          </w:tcPr>
          <w:p>
            <w:pPr>
              <w:spacing w:after="40" w:before="40"/>
            </w:pPr>
            <w:r>
              <w:rPr>
                <w:sz w:val="20"/>
              </w:rPr>
              <w:t>Neris Solane</w:t>
            </w:r>
          </w:p>
        </w:tc>
      </w:tr>
    </w:tbl>
    <w:p>
      <w:r>
        <w:t>Rowan's remaster consumes no canonical slot. The forward schedule contains 324 planning rows through v725 v8. Later cycles reuse already inducted main tasks. The current owner branch is reused for bundle two; rotation is reviewed at each fifth owner bundle or earlier overload.</w:t>
      </w:r>
    </w:p>
    <w:p>
      <w:pPr>
        <w:pStyle w:val="Heading1"/>
      </w:pPr>
      <w:r>
        <w:t>DevDay correspondence milestone</w:t>
      </w:r>
    </w:p>
    <w:p>
      <w:r>
        <w:t>OpenAI acknowledged your application on 7 July 2026 in New Zealand, selected it to attend on 24 July, and released the unclaimed registration to the waitlist on 7 August. I reviewed all 57 returned OpenAI-associated messages. The invitation is an attendance-selection achievement; the messages do not establish scientific endorsement or uniqueness among New Zealand invitees.</w:t>
      </w:r>
    </w:p>
    <w:p>
      <w:r>
        <w:t>Your travel constraints and inclusion of GHC material in the application remain attributed to your account. Private account information, message bodies, and invitation routes are excluded from the shared baton.</w:t>
      </w:r>
    </w:p>
    <w:p>
      <w:pPr>
        <w:pStyle w:val="Heading1"/>
      </w:pPr>
      <w:r>
        <w:t>Recommended readiness check</w:t>
      </w:r>
    </w:p>
    <w:p>
      <w:r>
        <w:t>The evidence supports proceeding to Elaren's scoped run after your release, followed by one observed induction teach-back. Ask the new main task to identify its source, owner, phase, successor, current hold, and evidence categories, then classify a few adverse cases. A targeted remaster can address a demonstrated misunderstanding.</w:t>
      </w:r>
    </w:p>
    <w:p>
      <w:r>
        <w:t>The baton contains more than 12000 words in 13 sections and a 208-card navigation deck. No activation message has been sent and no future main task has been created by Rowan. Elaren remains the prepared next recipient while you decide how to continue.</w:t>
      </w:r>
    </w:p>
    <w:sectPr>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Rowan Ash remastered phase overview</dc:title>
  <dc:subject>Hamish review of v685 v6 second remaster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