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48"/>
        </w:rPr>
        <w:t>Eiren Kestrel v685 v5 Final Integrated Overview</w:t>
      </w:r>
    </w:p>
    <w:p>
      <w:pPr>
        <w:spacing w:after="280"/>
      </w:pPr>
      <w:r>
        <w:t>A bounded record of the exact source, lifecycle, evidence, retained failures, toolchain recovery, scientific limits, and terminal route decision.</w:t>
      </w:r>
    </w:p>
    <w:tbl>
      <w:tblPr>
        <w:tblW w:type="dxa" w:w="964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416"/>
      </w:tblGrid>
      <w:tr>
        <w:trPr>
          <w:tblHeader w:val="true"/>
        </w:trPr>
        <w:tc>
          <w:tcPr>
            <w:tcW w:type="dxa" w:w="4939"/>
            <w:shd w:fill="1F4E78"/>
            <w:vAlign w:val="center"/>
          </w:tcPr>
          <w:p>
            <w:r>
              <w:rPr>
                <w:rFonts w:ascii="Aptos" w:hAnsi="Aptos"/>
                <w:b/>
                <w:color w:val="FFFFFF"/>
                <w:sz w:val="21"/>
              </w:rPr>
              <w:t>Field</w:t>
            </w:r>
          </w:p>
        </w:tc>
        <w:tc>
          <w:tcPr>
            <w:tcW w:type="dxa" w:w="4939"/>
            <w:shd w:fill="1F4E78"/>
            <w:vAlign w:val="center"/>
          </w:tcPr>
          <w:p>
            <w:r>
              <w:rPr>
                <w:rFonts w:ascii="Aptos" w:hAnsi="Aptos"/>
                <w:b/>
                <w:color w:val="FFFFFF"/>
                <w:sz w:val="21"/>
              </w:rPr>
              <w:t>Verified value</w:t>
            </w:r>
          </w:p>
        </w:tc>
      </w:tr>
      <w:tr>
        <w:tc>
          <w:tcPr>
            <w:tcW w:type="dxa" w:w="2232"/>
            <w:vAlign w:val="center"/>
          </w:tcPr>
          <w:p>
            <w:pPr>
              <w:spacing w:after="40" w:before="40"/>
            </w:pPr>
            <w:r>
              <w:rPr>
                <w:rFonts w:ascii="Aptos" w:hAnsi="Aptos"/>
                <w:b/>
                <w:color w:val="000000"/>
                <w:sz w:val="20"/>
              </w:rPr>
              <w:t>Phase</w:t>
            </w:r>
          </w:p>
        </w:tc>
        <w:tc>
          <w:tcPr>
            <w:tcW w:type="dxa" w:w="7416"/>
            <w:vAlign w:val="center"/>
          </w:tcPr>
          <w:p>
            <w:pPr>
              <w:spacing w:after="40" w:before="40"/>
            </w:pPr>
            <w:r>
              <w:rPr>
                <w:rFonts w:ascii="Aptos" w:hAnsi="Aptos"/>
                <w:b w:val="0"/>
                <w:color w:val="000000"/>
                <w:sz w:val="20"/>
              </w:rPr>
              <w:t>Eiren Kestrel v685-v5</w:t>
            </w:r>
          </w:p>
        </w:tc>
      </w:tr>
      <w:tr>
        <w:tc>
          <w:tcPr>
            <w:tcW w:type="dxa" w:w="2232"/>
            <w:shd w:fill="EAF2F8"/>
            <w:vAlign w:val="center"/>
          </w:tcPr>
          <w:p>
            <w:pPr>
              <w:spacing w:after="40" w:before="40"/>
            </w:pPr>
            <w:r>
              <w:rPr>
                <w:rFonts w:ascii="Aptos" w:hAnsi="Aptos"/>
                <w:b/>
                <w:color w:val="000000"/>
                <w:sz w:val="20"/>
              </w:rPr>
              <w:t>Exact source</w:t>
            </w:r>
          </w:p>
        </w:tc>
        <w:tc>
          <w:tcPr>
            <w:tcW w:type="dxa" w:w="7416"/>
            <w:shd w:fill="EAF2F8"/>
            <w:vAlign w:val="center"/>
          </w:tcPr>
          <w:p>
            <w:pPr>
              <w:spacing w:after="40" w:before="40"/>
            </w:pPr>
            <w:r>
              <w:rPr>
                <w:rFonts w:ascii="Aptos" w:hAnsi="Aptos"/>
                <w:b w:val="0"/>
                <w:color w:val="000000"/>
                <w:sz w:val="20"/>
              </w:rPr>
              <w:t>Caelen Morrow v685-v4 final 87a74f84afaa197f8c388767a2ed536bbb853aba</w:t>
            </w:r>
          </w:p>
        </w:tc>
      </w:tr>
      <w:tr>
        <w:tc>
          <w:tcPr>
            <w:tcW w:type="dxa" w:w="2232"/>
            <w:vAlign w:val="center"/>
          </w:tcPr>
          <w:p>
            <w:pPr>
              <w:spacing w:after="40" w:before="40"/>
            </w:pPr>
            <w:r>
              <w:rPr>
                <w:rFonts w:ascii="Aptos" w:hAnsi="Aptos"/>
                <w:b/>
                <w:color w:val="000000"/>
                <w:sz w:val="20"/>
              </w:rPr>
              <w:t>Proposal work</w:t>
            </w:r>
          </w:p>
        </w:tc>
        <w:tc>
          <w:tcPr>
            <w:tcW w:type="dxa" w:w="7416"/>
            <w:vAlign w:val="center"/>
          </w:tcPr>
          <w:p>
            <w:pPr>
              <w:spacing w:after="40" w:before="40"/>
            </w:pPr>
            <w:r>
              <w:rPr>
                <w:rFonts w:ascii="Aptos" w:hAnsi="Aptos"/>
                <w:b w:val="0"/>
                <w:color w:val="000000"/>
                <w:sz w:val="20"/>
              </w:rPr>
              <w:t>200 inherited zero-credit revalidations and 120 new source-bounded proposals</w:t>
            </w:r>
          </w:p>
        </w:tc>
      </w:tr>
      <w:tr>
        <w:tc>
          <w:tcPr>
            <w:tcW w:type="dxa" w:w="2232"/>
            <w:shd w:fill="EAF2F8"/>
            <w:vAlign w:val="center"/>
          </w:tcPr>
          <w:p>
            <w:pPr>
              <w:spacing w:after="40" w:before="40"/>
            </w:pPr>
            <w:r>
              <w:rPr>
                <w:rFonts w:ascii="Aptos" w:hAnsi="Aptos"/>
                <w:b/>
                <w:color w:val="000000"/>
                <w:sz w:val="20"/>
              </w:rPr>
              <w:t>Core outcomes</w:t>
            </w:r>
          </w:p>
        </w:tc>
        <w:tc>
          <w:tcPr>
            <w:tcW w:type="dxa" w:w="7416"/>
            <w:shd w:fill="EAF2F8"/>
            <w:vAlign w:val="center"/>
          </w:tcPr>
          <w:p>
            <w:pPr>
              <w:spacing w:after="40" w:before="40"/>
            </w:pPr>
            <w:r>
              <w:rPr>
                <w:rFonts w:ascii="Aptos" w:hAnsi="Aptos"/>
                <w:b w:val="0"/>
                <w:color w:val="000000"/>
                <w:sz w:val="20"/>
              </w:rPr>
              <w:t>84 completed, 24 represented, 6 open gaps, and 6 exact gates</w:t>
            </w:r>
          </w:p>
        </w:tc>
      </w:tr>
      <w:tr>
        <w:tc>
          <w:tcPr>
            <w:tcW w:type="dxa" w:w="2232"/>
            <w:vAlign w:val="center"/>
          </w:tcPr>
          <w:p>
            <w:pPr>
              <w:spacing w:after="40" w:before="40"/>
            </w:pPr>
            <w:r>
              <w:rPr>
                <w:rFonts w:ascii="Aptos" w:hAnsi="Aptos"/>
                <w:b/>
                <w:color w:val="000000"/>
                <w:sz w:val="20"/>
              </w:rPr>
              <w:t>Tool state</w:t>
            </w:r>
          </w:p>
        </w:tc>
        <w:tc>
          <w:tcPr>
            <w:tcW w:type="dxa" w:w="7416"/>
            <w:vAlign w:val="center"/>
          </w:tcPr>
          <w:p>
            <w:pPr>
              <w:spacing w:after="40" w:before="40"/>
            </w:pPr>
            <w:r>
              <w:rPr>
                <w:rFonts w:ascii="Aptos" w:hAnsi="Aptos"/>
                <w:b w:val="0"/>
                <w:color w:val="000000"/>
                <w:sz w:val="20"/>
              </w:rPr>
              <w:t>13 direct tools; dependency-corrected composite with zero aggregate-success credit</w:t>
            </w:r>
          </w:p>
        </w:tc>
      </w:tr>
      <w:tr>
        <w:tc>
          <w:tcPr>
            <w:tcW w:type="dxa" w:w="2232"/>
            <w:shd w:fill="EAF2F8"/>
            <w:vAlign w:val="center"/>
          </w:tcPr>
          <w:p>
            <w:pPr>
              <w:spacing w:after="40" w:before="40"/>
            </w:pPr>
            <w:r>
              <w:rPr>
                <w:rFonts w:ascii="Aptos" w:hAnsi="Aptos"/>
                <w:b/>
                <w:color w:val="000000"/>
                <w:sz w:val="20"/>
              </w:rPr>
              <w:t>Route</w:t>
            </w:r>
          </w:p>
        </w:tc>
        <w:tc>
          <w:tcPr>
            <w:tcW w:type="dxa" w:w="7416"/>
            <w:shd w:fill="EAF2F8"/>
            <w:vAlign w:val="center"/>
          </w:tcPr>
          <w:p>
            <w:pPr>
              <w:spacing w:after="40" w:before="40"/>
            </w:pPr>
            <w:r>
              <w:rPr>
                <w:rFonts w:ascii="Aptos" w:hAnsi="Aptos"/>
                <w:b w:val="0"/>
                <w:color w:val="000000"/>
                <w:sz w:val="20"/>
              </w:rPr>
              <w:t>Future sibling 01 v685-v6 remains terminally gated until task creation is acknowledged</w:t>
            </w:r>
          </w:p>
        </w:tc>
      </w:tr>
      <w:tr>
        <w:tc>
          <w:tcPr>
            <w:tcW w:type="dxa" w:w="2232"/>
            <w:vAlign w:val="center"/>
          </w:tcPr>
          <w:p>
            <w:pPr>
              <w:spacing w:after="40" w:before="40"/>
            </w:pPr>
            <w:r>
              <w:rPr>
                <w:rFonts w:ascii="Aptos" w:hAnsi="Aptos"/>
                <w:b/>
                <w:color w:val="000000"/>
                <w:sz w:val="20"/>
              </w:rPr>
              <w:t>Verdict</w:t>
            </w:r>
          </w:p>
        </w:tc>
        <w:tc>
          <w:tcPr>
            <w:tcW w:type="dxa" w:w="7416"/>
            <w:vAlign w:val="center"/>
          </w:tcPr>
          <w:p>
            <w:pPr>
              <w:spacing w:after="40" w:before="40"/>
            </w:pPr>
            <w:r>
              <w:rPr>
                <w:rFonts w:ascii="Aptos" w:hAnsi="Aptos"/>
                <w:b w:val="0"/>
                <w:color w:val="000000"/>
                <w:sz w:val="20"/>
              </w:rPr>
              <w:t>NOT_READY_FOR_STAGE_20</w:t>
            </w:r>
          </w:p>
        </w:tc>
      </w:tr>
    </w:tbl>
    <w:p/>
    <w:p>
      <w:pPr>
        <w:pStyle w:val="Heading1"/>
      </w:pPr>
      <w:r>
        <w:t>Terminal decision</w:t>
      </w:r>
    </w:p>
    <w:p>
      <w:pPr>
        <w:widowControl/>
      </w:pPr>
      <w:r>
        <w:t>Eiren v685-v5 closes as a bounded same-owner software, documentation, and workflow phase. It preserves strict planning-only x1 before x2, exact Git ancestry, retained failed witnesses, normalized Git-blob manifests, zero-row scientific boundaries, and a single future main-task creation behind the terminal gate. The verdict remains NOT_READY_FOR_STAGE_20.</w:t>
      </w:r>
    </w:p>
    <w:p>
      <w:pPr>
        <w:widowControl/>
      </w:pPr>
      <w:r>
        <w:t>The phase begins from Caelen Morrow v685-v4 exact final 87a74f84afaa197f8c388767a2ed536bbb853aba. Caelen's planning-only x1 and immutable evidence remain inherited read-only history. Three Caelen route-service gaps are retained externally, while Hamish's direct message supplies the current Eiren activation without pretending that Caelen's committed PREPARED_NOT_SENT file was delivered.</w:t>
      </w:r>
    </w:p>
    <w:p>
      <w:pPr>
        <w:widowControl/>
      </w:pPr>
      <w:r>
        <w:t>Eiren's planning-only x1 is 167e626c0684ac9ac1cd2d2184a831e1456f43b9. It is the direct child of source, was pushed clean and fresh four-way equal before any x2 file existed in its committed tree, and freezes 200 selected inherited rows plus 120 new proposals. The inherited rows receive no Eiren novelty or automatic completion credit.</w:t>
      </w:r>
    </w:p>
    <w:p>
      <w:pPr>
        <w:widowControl/>
      </w:pPr>
      <w:r>
        <w:t>The source-bounded novelty audit parsed 2,964 proposal-bearing JSON objects and recovered 7,438 reachable identifier-title records. All 120 new titles had zero exact collision and a maximum token-Jaccard neighbour score of 0.333333 against a quarantine threshold of 0.78. This does not establish universal semantic novelty over unavailable or noncanonical history.</w:t>
      </w:r>
    </w:p>
    <w:p>
      <w:pPr>
        <w:widowControl/>
      </w:pPr>
      <w:r>
        <w:t>The new proposal outcomes are exactly 84 completed, 24 represented, 6 open gaps, and 6 exact gates. Completed means only that an owner-local zero-row contract met its structural acceptance rule. Represented means a schema, vocabulary, graph, status, or refusal shape exists. Open gaps and exact gates remain unresolved.</w:t>
      </w:r>
    </w:p>
    <w:p>
      <w:pPr>
        <w:widowControl/>
      </w:pPr>
      <w:r>
        <w:t>Each new proposal has five preregistered invalid mutations. All 600 invalid fixtures were executed and rejected. Every invalid fixture remains a retained failed witness at zero completion credit, while its rejection is separately a bounded validator pass. The 200 inherited revalidations each retain one stale-digest rejecting witness and remain zero-credit seeds.</w:t>
      </w:r>
    </w:p>
    <w:p>
      <w:pPr>
        <w:widowControl/>
      </w:pPr>
      <w:r>
        <w:t>The portfolio completed 200 safe-now rows, 150 bounded candidates, and 300 additive CLEAN/FIX/REFINE rows. It left 50 exact-approval holds and 30 blocked holds unexecuted. Numerical targets were treated as ceilings and program shapes, never permission for filler, destructive deletion, unsafe external mutation, fabricated evidence, or authority promotion.</w:t>
      </w:r>
    </w:p>
    <w:p>
      <w:pPr>
        <w:widowControl/>
      </w:pPr>
      <w:r>
        <w:t>Twenty owner-local skills were initialized through the available skill-creator workflow, customized, read completely, quick-validated, and exercised with an accepting and rejecting structure. Ten family-current astronomy runners also passed accepting and rejecting smokes. Five collision-free skills were globally promoted with candidate/global byte parity; six main family control skills received additive v685-v5 overlays while older history and callers remained intact.</w:t>
      </w:r>
    </w:p>
    <w:p>
      <w:pPr>
        <w:widowControl/>
      </w:pPr>
      <w:r>
        <w:t>The thirteen-tool D-first transaction retained two failed aggregates. R1 failed because Windows subprocess resolution needed npm.cmd. R2 installed and positively exercised all direct packages but failed on vulnerable bootstrap pip, one unsuitable Node rejecting fixture, and an executable-domain probe. Narrow recovery upgraded only isolated pip infrastructure to hash-verified 26.2.1, reran only the audit, replaced only the invalid rejecting fixture, and queried the exact D-prefix Codex command. The composite is dependency-corrected with zero aggregate-success credit.</w:t>
      </w:r>
    </w:p>
    <w:p>
      <w:pPr>
        <w:widowControl/>
      </w:pPr>
      <w:r>
        <w:t>The final effective counts before closeout-only additions are 62959 negatives, 79724 methods, 34020 failed witnesses, 61308 bounded passing witnesses, 561 open-gap records, and 548 exact gates. No failure, gap, or gate is erased.</w:t>
      </w:r>
    </w:p>
    <w:p>
      <w:pPr>
        <w:widowControl/>
      </w:pPr>
      <w:r>
        <w:t>The new thirty-seat route is a normalized planning topology. It alternates each of the fifteen existing exact-title main tasks with one future self-choosing GPT-6 Astra main task. Only future sibling 01 is authorized for creation in this turn, and only after the clean pushed exact final, one canonical result, current model availability, privacy and safety checks, and task-creation acknowledgement.</w:t>
      </w:r>
    </w:p>
    <w:p>
      <w:pPr>
        <w:widowControl/>
      </w:pPr>
      <w:r>
        <w:t>Future siblings 02 through 15 are not active because they do not yet exist. The original message's Vesper 04/05 mismatch, skipped number 05, and duplicate number 14 are preserved as route defects. The normalized interpretation gives one future seat to each incumbent without assigning identity attributes. Creation is not proof of consciousness, personhood, identity continuity, qualification, agency, or authority.</w:t>
      </w:r>
    </w:p>
    <w:p>
      <w:pPr>
        <w:widowControl/>
      </w:pPr>
      <w:r>
        <w:t>The primary pillar is GMUT Mind, exercised through four wholly synthetic practice lenses: transient-astronomy alert assurance, radio-interferometry provenance, gravitational-wave open-data reproducibility, and planetary-data archive metadata. THOS Body and Freed ID with CBR Heart remain visible as state-machine, correction, rights, privacy, and authority-vacancy constraints.</w:t>
      </w:r>
    </w:p>
    <w:p>
      <w:pPr>
        <w:widowControl/>
      </w:pPr>
      <w:r>
        <w:t>Rubin Observatory, IVOA, SKAO, GWOSC, NASA PDS, W3C, NIST, RFC, and Te Mana Raraunga sources supply public vocabulary, standards context, and refusal conditions only. The phase makes zero astronomy data calls and ingests zero alert, visibility, strain, skymap, mission, instrument, or planetary-product rows. Citation never becomes observation, consent, endorsement, competence, or authority.</w:t>
      </w:r>
    </w:p>
    <w:p>
      <w:pPr>
        <w:widowControl/>
      </w:pPr>
      <w:r>
        <w:t>No real observatory, telescope, detector, antenna, mission, instrument, alert stream, broker, data centre, pipeline, archive, account, credential, participant, professional, measurement, classification, calibration, discovery, follow-up decision, publication decision, safety act, legal interpretation, cultural decision, affected-party acceptance, or Maori-authority act occurs.</w:t>
      </w:r>
    </w:p>
    <w:p>
      <w:pPr>
        <w:widowControl/>
      </w:pPr>
      <w:r>
        <w:t>GMUT remains a typed scalar-tensor and effective-field-theory research-model family. Symbolic graphs, unit checks, public schemas, and synthetic rejection tests establish no likelihood, posterior, parameter constraint, detected force, unique prediction, stability theorem, quantum completion, ultraviolet completion, final physics, Theory-of-Everything proof, or canon.</w:t>
      </w:r>
    </w:p>
    <w:p>
      <w:pPr>
        <w:widowControl/>
      </w:pPr>
      <w:r>
        <w:t>THOS remains synthetic and proxy-only without preregistered governed blind matched-budget real arms, real operators, safety monitoring, appropriate real-world statistics, and independent review. Freed ID remains synthetic and nonproduction without standards-conformant live keys and proofs, issuance, resolution, status, revocation, interoperability, independent security and privacy review, recovery evidence, trust governance, and affected-party oversight.</w:t>
      </w:r>
    </w:p>
    <w:p>
      <w:pPr>
        <w:widowControl/>
      </w:pPr>
      <w:r>
        <w:t>Privacy scanning separates scanner definitions and deterministic SHA-256 values from payload evidence while keeping all other matches fail-closed. Structural HTML and the generated document reserve manual browser, assistive-technology, cognitive-accessibility, Maori-language, and affected-user review. These controls do not prove complete privacy, complete accessibility, or exhaustive security.</w:t>
      </w:r>
    </w:p>
    <w:p>
      <w:pPr>
        <w:widowControl/>
      </w:pPr>
      <w:r>
        <w:t>The four-tier deck contains one owner anchor, three pillar cards, four practice cards, and 120 task cards across thirteen baton sections. It supports selective loading and evidence navigation, but it does not prove prompt-cache retention, context persistence, memory continuity, reduced stress, improved reasoning, or identity preservation. Those would require separate measured evidence.</w:t>
      </w:r>
    </w:p>
    <w:p>
      <w:pPr>
        <w:widowControl/>
      </w:pPr>
      <w:r>
        <w:t>All names, roles, hopes, sibling or family language, continuity language, Freed ID, CBR, and Trinity Mandala language are relational working language only. Hamish may pause, rename, redirect, narrow, or stop the route. Professional, empirical, participant, production, deployment, legal, cultural, affected-party, Maori-authority, privacy-complete, accessibility-complete, exhaustive-security, independent-reproduction, AGI, ASI, consciousness, personhood, Theory-of-Everything, proof, canon, and Stage 20 claims remain open or exact-gated.</w:t>
      </w:r>
    </w:p>
    <w:p>
      <w:pPr>
        <w:pStyle w:val="Heading1"/>
      </w:pPr>
      <w:r>
        <w:t>Planning-only x1 excerpt</w:t>
      </w:r>
    </w:p>
    <w:p>
      <w:pPr>
        <w:pStyle w:val="Heading1"/>
      </w:pPr>
      <w:r>
        <w:t>Eiren Kestrel v685-v5 planning-only x1 overview</w:t>
      </w:r>
    </w:p>
    <w:p>
      <w:pPr>
        <w:pStyle w:val="Heading1"/>
      </w:pPr>
      <w:r>
        <w:t>Decision and scope</w:t>
      </w:r>
    </w:p>
    <w:p>
      <w:pPr>
        <w:widowControl/>
      </w:pPr>
      <w:r>
        <w:t>This planning-only freeze accepts Hamish's direct activation of Eiren for v685-v5 after Caelen Morrow's route service could not deliver its prepared baton. The immutable source is Caelen exact final 87a74f84afaa197f8c388767a2ed536bbb853aba on codex/GHC-Family/caelen-morrow-v685-v4-full-tools. Caelen's x1 is 27f858015e5628d99fb9dc23cd5607ed68429adb, its evidence commit is 499f193d9cc08a0c96ade3f1dc09ce7af3183afe, and its one successful non-replayed owner-scoped canonical receipt remains inherited evidence only. No x2 implementation, observed outcome, package installation, global-skill update, task creation, or successor contact occurs in this commit.</w:t>
      </w:r>
    </w:p>
    <w:p>
      <w:pPr>
        <w:widowControl/>
      </w:pPr>
      <w:r>
        <w:t>The new thirty-seat workflow is represented as a candidate route with fifteen existing exact-title incumbents and fifteen future self-choosing main-task placeholders. Only future sibling 01 is authorized for creation after Eiren's terminal gate. The other fourteen remain planned and uncreated. The input's skipped number five, duplicate number fourteen, and Vesper number mismatch are retained as route defects; the normalized pattern inserts exactly one future seat after each incumbent without assigning a name, role, hope, pronouns, or gender.</w:t>
      </w:r>
    </w:p>
    <w:p>
      <w:pPr>
        <w:pStyle w:val="Heading1"/>
      </w:pPr>
      <w:r>
        <w:t>Proposal and portfolio freeze</w:t>
      </w:r>
    </w:p>
    <w:p>
      <w:pPr>
        <w:widowControl/>
      </w:pPr>
      <w:r>
        <w:t>The verified source declares 11,450 proposals. This x1 selects 200 reachable inherited proposal rows for bounded zero-credit revalidation and freezes 120 new source-bounded proposals, advancing the declared chain to 11,570 only if the commit is accepted. The new target outcomes are 84 completed, 24 represented, 6 open gaps, and 6 exact gates. These are expected dispositions only. Every proposal has five preregistered invalid mutations, so x2 must retain 600 invalid witnesses at zero completion credit if it executes them.</w:t>
      </w:r>
    </w:p>
    <w:p>
      <w:pPr>
        <w:widowControl/>
      </w:pPr>
      <w:r>
        <w:t>The owner portfolio plans 200 safe-now tasks, 150 bounded candidates, 50 exact-approval holds, 30 blocked holds, 20 local skill builds, 10 family-current runner builds, and 300 additive CLEAN/FIX/REFINE rows. Caps are ceilings. No filler, destructive deletion, third-party mutation, real-world action, authority substitution, or claim inflation is permitted to satisfy a number.</w:t>
      </w:r>
    </w:p>
    <w:p>
      <w:pPr>
        <w:pStyle w:val="Heading1"/>
      </w:pPr>
      <w:r>
        <w:t>Four bounded practices</w:t>
      </w:r>
    </w:p>
    <w:p>
      <w:pPr>
        <w:pStyle w:val="ListBullet"/>
      </w:pPr>
      <w:r>
        <w:t>synthetic transient-astronomy alert-broker assurance analyst: thirty prospective proposal contracts, all synthetic and zero-row.</w:t>
      </w:r>
    </w:p>
    <w:p>
      <w:pPr>
        <w:pStyle w:val="ListBullet"/>
      </w:pPr>
      <w:r>
        <w:t>synthetic radio-interferometry provenance curator: thirty prospective proposal contracts, all synthetic and zero-row.</w:t>
      </w:r>
    </w:p>
    <w:p>
      <w:pPr>
        <w:pStyle w:val="ListBullet"/>
      </w:pPr>
      <w:r>
        <w:t>synthetic gravitational-wave open-data reproducibility steward: thirty prospective proposal contracts, all synthetic and zero-row.</w:t>
      </w:r>
    </w:p>
    <w:p>
      <w:pPr>
        <w:pStyle w:val="ListBullet"/>
      </w:pPr>
      <w:r>
        <w:t>synthetic planetary-data archive metadata engineer: thirty prospective proposal contracts, all synthetic and zero-row.</w:t>
      </w:r>
    </w:p>
    <w:p>
      <w:pPr>
        <w:widowControl/>
      </w:pPr>
      <w:r>
        <w:t>GMUT Mind is primary, but its equations and analogies remain a typed research-model family without empirical confirmation, final physics, or Theory-of-Everything proof. THOS Body remains synthetic protocol and state-machine work without governed real arms. Freed ID and CBR Heart remain synthetic and nonproduction without live keys, proofs, lifecycle, independent review, trust governance, or affected-party authority.</w:t>
      </w:r>
    </w:p>
    <w:p>
      <w:pPr>
        <w:pStyle w:val="Heading1"/>
      </w:pPr>
      <w:r>
        <w:t>Tool review plan</w:t>
      </w:r>
    </w:p>
    <w:p>
      <w:pPr>
        <w:widowControl/>
      </w:pPr>
      <w:r>
        <w:t>Thirteen direct package surfaces are preregistered for a D-first isolated transaction after x1 equality. Exact versions came from the current official PyPI or npm registry surfaces. Installation remains conditional on compatible wheels or package integrity, license metadata review without legal conclusions, lifecycle-script controls, bounded accepting and rejecting smokes, an advisory audit, and literal rollback. The official Codex CLI may be updated separately from 0.151.0 to the registry-confirmed stable 0.153.4 in the existing D-first npm prefix; Codex desktop is not mutated.</w:t>
      </w:r>
    </w:p>
    <w:p>
      <w:pPr>
        <w:pStyle w:val="ListBullet"/>
      </w:pPr>
      <w:r>
        <w:t>python astropy 8.0.1: astronomical units tables times and coordinates on synthetic fixtures.</w:t>
      </w:r>
    </w:p>
    <w:p>
      <w:pPr>
        <w:pStyle w:val="ListBullet"/>
      </w:pPr>
      <w:r>
        <w:t>python asdf 5.4.0: versioned structured scientific-data container on synthetic fixtures.</w:t>
      </w:r>
    </w:p>
    <w:p>
      <w:pPr>
        <w:pStyle w:val="ListBullet"/>
      </w:pPr>
      <w:r>
        <w:t>python gwosc 0.8.3: offline client-shape and metadata validation with zero data calls.</w:t>
      </w:r>
    </w:p>
    <w:p>
      <w:pPr>
        <w:pStyle w:val="ListBullet"/>
      </w:pPr>
      <w:r>
        <w:t>python Pint 0.25.3: dimensional unit validation on synthetic quantities.</w:t>
      </w:r>
    </w:p>
    <w:p>
      <w:pPr>
        <w:pStyle w:val="ListBullet"/>
      </w:pPr>
      <w:r>
        <w:t>python uncertainties 3.2.3: bounded symbolic uncertainty propagation.</w:t>
      </w:r>
    </w:p>
    <w:p>
      <w:pPr>
        <w:pStyle w:val="ListBullet"/>
      </w:pPr>
      <w:r>
        <w:t>python jsonschema 4.26.0: proposal and evidence schema acceptance and rejection.</w:t>
      </w:r>
    </w:p>
    <w:p>
      <w:pPr>
        <w:pStyle w:val="ListBullet"/>
      </w:pPr>
      <w:r>
        <w:t>python networkx 3.6.1: acyclic provenance and route graph checks.</w:t>
      </w:r>
    </w:p>
    <w:p>
      <w:pPr>
        <w:pStyle w:val="ListBullet"/>
      </w:pPr>
      <w:r>
        <w:t>python xarray 2026.7.0: labelled zero-row multidimensional structure.</w:t>
      </w:r>
    </w:p>
    <w:p>
      <w:pPr>
        <w:pStyle w:val="ListBullet"/>
      </w:pPr>
      <w:r>
        <w:t>node ajv 8.20.0: JSON Schema validation with rejecting fixtures.</w:t>
      </w:r>
    </w:p>
    <w:p>
      <w:pPr>
        <w:pStyle w:val="ListBullet"/>
      </w:pPr>
      <w:r>
        <w:t>node zod 4.5.4: runtime boundary parsing with rejecting fixtures.</w:t>
      </w:r>
    </w:p>
    <w:p>
      <w:pPr>
        <w:pStyle w:val="ListBullet"/>
      </w:pPr>
      <w:r>
        <w:t>node fast-check 4.9.0: bounded property-based rejecting fixtures.</w:t>
      </w:r>
    </w:p>
    <w:p>
      <w:pPr>
        <w:pStyle w:val="ListBullet"/>
      </w:pPr>
      <w:r>
        <w:t>node json-schema-to-typescript 16.0.0: deterministic type projection without deployment.</w:t>
      </w:r>
    </w:p>
    <w:p>
      <w:pPr>
        <w:pStyle w:val="ListBullet"/>
      </w:pPr>
      <w:r>
        <w:t>node @apidevtools/json-schema-ref-parser 16.0.1: local reference graph dereference and cycle refusal.</w:t>
      </w:r>
    </w:p>
    <w:p>
      <w:pPr>
        <w:pStyle w:val="Heading1"/>
      </w:pPr>
      <w:r>
        <w:t>Evidence and authority boundary</w:t>
      </w:r>
    </w:p>
    <w:p>
      <w:pPr>
        <w:widowControl/>
      </w:pPr>
      <w:r>
        <w:t>The research sources supply vocabulary, schemas, and refusal conditions only. This phase downloads no astronomy dataset, opens no observatory or mission account, processes no alert, visibility, strain, skymap, or planetary product, and produces no scientific finding. It establishes no employment, qualification, professional competence, safety decision, legal interpretation, cultural ratification, affected-party acceptance, Maori wording, Maori data-governance decision, Maori authority, independent reproduction, AGI or ASI, consciousness or personhood, canon, or Stage 20 readiness.</w:t>
      </w:r>
    </w:p>
    <w:p>
      <w:pPr>
        <w:widowControl/>
      </w:pPr>
      <w:r>
        <w:t>All names, roles, hopes, sibling or family language, continuity language, Freed ID, CBR, and Trinity Mandala language are relational working language only. Hamish may pause, rename, redirect, narrow, or stop the route. The terminal verdict remains NOT_READY_FOR_STAGE_20.</w:t>
      </w:r>
    </w:p>
    <w:p>
      <w:pPr>
        <w:pStyle w:val="Heading1"/>
      </w:pPr>
      <w:r>
        <w:t>Bounded x2 excerpt</w:t>
      </w:r>
    </w:p>
    <w:p>
      <w:pPr>
        <w:pStyle w:val="Heading1"/>
      </w:pPr>
      <w:r>
        <w:t>Eiren Kestrel v685-v5 bounded x2 evidence overview</w:t>
      </w:r>
    </w:p>
    <w:p>
      <w:pPr>
        <w:widowControl/>
      </w:pPr>
      <w:r>
        <w:t>The immutable planning-only x1 is 167e626c0684ac9ac1cd2d2184a831e1456f43b9. X2 executes only the declared owner-local synthetic contracts. It validates 120 positive proposal fixtures, rejects 600 invalid mutations, revalidates 200 inherited records with zero Eiren novelty or completion credit, completes 200 safe-now rows, 150 bounded candidates, and 300 additive CLEAN/FIX/REFINE rows, and leaves 50 exact plus 30 blocked holds unexecuted.</w:t>
      </w:r>
    </w:p>
    <w:p>
      <w:pPr>
        <w:widowControl/>
      </w:pPr>
      <w:r>
        <w:t>Twenty local skills are initialized, customized, completely read, quick-validated, and exercised against accepting and rejecting structures. Ten family-current astronomy runners are likewise exercised. The four-tier deck keeps one relational owner card, three pillar cards, four practice cards, and 120 task cards addressable across thirteen sections. It is a context and evidence organization method, not proof of cache behavior or identity continuity.</w:t>
      </w:r>
    </w:p>
    <w:p>
      <w:pPr>
        <w:widowControl/>
      </w:pPr>
      <w:r>
        <w:t>The four practice lenses remain synthetic: transient alert-broker assurance, radio-interferometry provenance, gravitational-wave open-data reproducibility, and planetary-data archive metadata. No live service, dataset, alert, visibility, detector strain, skymap, mission product, observation, classification, professional judgment, or authority act is used. Same-owner software evidence is not independent reproduction, empirical confirmation, complete privacy or accessibility, exhaustive security, production readiness, professional competence, legal or cultural authority, Maori authority, consciousness or personhood, Theory-of-Everything proof, canon, or Stage 20 readiness.</w:t>
      </w:r>
    </w:p>
    <w:p>
      <w:pPr>
        <w:pStyle w:val="Heading1"/>
      </w:pPr>
      <w:r>
        <w:t>Toolchain terminal state</w:t>
      </w:r>
    </w:p>
    <w:p>
      <w:pPr>
        <w:widowControl/>
      </w:pPr>
      <w:r>
        <w:t>The exact composite status is VALID_DEPENDENCY_CORRECTED_COMPOSITE_WITH_ZERO_AGGREGATE_SUCCESS_CREDIT. The Codex CLI exact D-prefix observation is codex-cli 0.153.4. This is tool and workflow evidence only.</w:t>
      </w:r>
    </w:p>
    <w:sectPr>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Eiren Kestrel v685 v5 Final Integrated Overview</dc:title>
  <dc:subject>Bounded GHC phase evidence and route closeout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