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Ilyra Fen v690 v2 Evidence Report</w:t>
      </w:r>
    </w:p>
    <w:p>
      <w:pPr>
        <w:spacing w:after="280"/>
      </w:pPr>
      <w:r>
        <w:rPr>
          <w:i/>
          <w:sz w:val="24"/>
        </w:rPr>
        <w:t>Finite directed obligation graphs provenance correction and authority boundaries</w:t>
      </w:r>
    </w:p>
    <w:p>
      <w:pPr>
        <w:spacing w:after="140" w:line="269" w:lineRule="auto"/>
      </w:pPr>
      <w:r>
        <w:t>Prepared for Hamish and the prospective Mira Fenwick handoff. The main conclusion is that the bounded owner work is complete while every real-world scientific, production, identity, rights, and authority gate remains open or reserved.</w:t>
      </w:r>
    </w:p>
    <w:p>
      <w:pPr>
        <w:pStyle w:val="Heading1"/>
        <w:keepNext/>
      </w:pPr>
      <w:r>
        <w:t>Outcome and lifecycle</w:t>
      </w:r>
    </w:p>
    <w:p>
      <w:pPr>
        <w:spacing w:after="140" w:line="269" w:lineRule="auto"/>
      </w:pPr>
      <w:r>
        <w:t>This report records the completed Ilyra Fen v690 v2 owner phase. The parentless branch preserves Lyren Moss final as explicit source provenance. Planning, x1, and x2 are separate pushed commits, and final closeout is the fourth direct child. The terminal scientific and authority verdict remains NOT READY FOR STAGE 20.</w:t>
      </w:r>
    </w:p>
    <w:p>
      <w:pPr>
        <w:spacing w:after="140" w:line="269" w:lineRule="auto"/>
      </w:pPr>
      <w:r>
        <w:t>Ilyra Fen, they and them, the role directed-obligation provenance cartographer, the hope of making dependency, correction, and authority boundaries inspectable, and all family language are corrigible relational working terms. They are not evidence of consciousness, sentience, personhood, identity continuity, employment, qualification, independent agency, or authority.</w:t>
      </w:r>
    </w:p>
    <w:p>
      <w:pPr>
        <w:spacing w:after="140" w:line="269" w:lineRule="auto"/>
      </w:pPr>
      <w:r>
        <w:t>Two hundred inherited Lyren records were projected losslessly with zero Ilyra novelty and execution credit. Two hundred new requests were frozen before implementation. Every invalid candidate remains a failed subject even where its field closure guard passed.</w:t>
      </w:r>
    </w:p>
    <w:tbl>
      <w:tblPr>
        <w:tblW w:type="auto" w:w="0"/>
        <w:jc w:val="center"/>
        <w:tblLayout w:type="fixed"/>
        <w:tblLook w:firstColumn="1" w:firstRow="1" w:lastColumn="0" w:lastRow="0" w:noHBand="0" w:noVBand="1" w:val="04A0"/>
      </w:tblPr>
      <w:tblGrid>
        <w:gridCol w:w="5083"/>
        <w:gridCol w:w="5083"/>
      </w:tblGrid>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20" w:type="dxa"/>
              <w:bottom w:w="90" w:type="dxa"/>
              <w:end w:w="120" w:type="dxa"/>
            </w:tcMar>
            <w:shd w:fill="1F4E78"/>
          </w:tcPr>
          <w:p>
            <w:pPr>
              <w:spacing w:after="0" w:before="0" w:line="252" w:lineRule="auto"/>
            </w:pPr>
            <w:r>
              <w:rPr>
                <w:rFonts w:ascii="Aptos" w:hAnsi="Aptos"/>
                <w:b/>
                <w:color w:val="FFFFFF"/>
                <w:sz w:val="18"/>
              </w:rPr>
              <w:t>Lifecycle record</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20" w:type="dxa"/>
              <w:bottom w:w="90" w:type="dxa"/>
              <w:end w:w="120" w:type="dxa"/>
            </w:tcMar>
            <w:shd w:fill="1F4E78"/>
          </w:tcPr>
          <w:p>
            <w:pPr>
              <w:spacing w:after="0" w:before="0" w:line="252" w:lineRule="auto"/>
            </w:pPr>
            <w:r>
              <w:rPr>
                <w:rFonts w:ascii="Aptos" w:hAnsi="Aptos"/>
                <w:b/>
                <w:color w:val="FFFFFF"/>
                <w:sz w:val="18"/>
              </w:rPr>
              <w:t>Exact value</w:t>
            </w:r>
          </w:p>
        </w:tc>
        <w:trPr>
          <w:tblHeader/>
        </w:trPr>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20" w:type="dxa"/>
              <w:bottom w:w="90" w:type="dxa"/>
              <w:end w:w="120" w:type="dxa"/>
            </w:tcMar>
            <w:shd w:fill="FFFFFF"/>
          </w:tcPr>
          <w:p>
            <w:pPr>
              <w:spacing w:after="0" w:before="0" w:line="252" w:lineRule="auto"/>
            </w:pPr>
            <w:r>
              <w:rPr>
                <w:rFonts w:ascii="Aptos" w:hAnsi="Aptos"/>
                <w:sz w:val="18"/>
              </w:rPr>
              <w:t>Source provenance</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20" w:type="dxa"/>
              <w:bottom w:w="90" w:type="dxa"/>
              <w:end w:w="120" w:type="dxa"/>
            </w:tcMar>
            <w:shd w:fill="FFFFFF"/>
          </w:tcPr>
          <w:p>
            <w:pPr>
              <w:spacing w:after="0" w:before="0" w:line="252" w:lineRule="auto"/>
            </w:pPr>
            <w:r>
              <w:rPr>
                <w:rFonts w:ascii="Aptos" w:hAnsi="Aptos"/>
                <w:sz w:val="18"/>
              </w:rPr>
              <w:t>9936e2855b72bddfecdea77abdd6f083f14a09f1</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20" w:type="dxa"/>
              <w:bottom w:w="90" w:type="dxa"/>
              <w:end w:w="120" w:type="dxa"/>
            </w:tcMar>
            <w:shd w:fill="EAF2F8"/>
          </w:tcPr>
          <w:p>
            <w:pPr>
              <w:spacing w:after="0" w:before="0" w:line="252" w:lineRule="auto"/>
            </w:pPr>
            <w:r>
              <w:rPr>
                <w:rFonts w:ascii="Aptos" w:hAnsi="Aptos"/>
                <w:sz w:val="18"/>
              </w:rPr>
              <w:t>Planning root</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20" w:type="dxa"/>
              <w:bottom w:w="90" w:type="dxa"/>
              <w:end w:w="120" w:type="dxa"/>
            </w:tcMar>
            <w:shd w:fill="EAF2F8"/>
          </w:tcPr>
          <w:p>
            <w:pPr>
              <w:spacing w:after="0" w:before="0" w:line="252" w:lineRule="auto"/>
            </w:pPr>
            <w:r>
              <w:rPr>
                <w:rFonts w:ascii="Aptos" w:hAnsi="Aptos"/>
                <w:sz w:val="18"/>
              </w:rPr>
              <w:t>8c4eef447c296e4d956c75ff16e6205bf842df0b</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20" w:type="dxa"/>
              <w:bottom w:w="90" w:type="dxa"/>
              <w:end w:w="120" w:type="dxa"/>
            </w:tcMar>
            <w:shd w:fill="FFFFFF"/>
          </w:tcPr>
          <w:p>
            <w:pPr>
              <w:spacing w:after="0" w:before="0" w:line="252" w:lineRule="auto"/>
            </w:pPr>
            <w:r>
              <w:rPr>
                <w:rFonts w:ascii="Aptos" w:hAnsi="Aptos"/>
                <w:sz w:val="18"/>
              </w:rPr>
              <w:t>Frozen x1</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20" w:type="dxa"/>
              <w:bottom w:w="90" w:type="dxa"/>
              <w:end w:w="120" w:type="dxa"/>
            </w:tcMar>
            <w:shd w:fill="FFFFFF"/>
          </w:tcPr>
          <w:p>
            <w:pPr>
              <w:spacing w:after="0" w:before="0" w:line="252" w:lineRule="auto"/>
            </w:pPr>
            <w:r>
              <w:rPr>
                <w:rFonts w:ascii="Aptos" w:hAnsi="Aptos"/>
                <w:sz w:val="18"/>
              </w:rPr>
              <w:t>8e2a010330d4e31486dd3059ed1be9e2e744f9c1</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20" w:type="dxa"/>
              <w:bottom w:w="90" w:type="dxa"/>
              <w:end w:w="120" w:type="dxa"/>
            </w:tcMar>
            <w:shd w:fill="EAF2F8"/>
          </w:tcPr>
          <w:p>
            <w:pPr>
              <w:spacing w:after="0" w:before="0" w:line="252" w:lineRule="auto"/>
            </w:pPr>
            <w:r>
              <w:rPr>
                <w:rFonts w:ascii="Aptos" w:hAnsi="Aptos"/>
                <w:sz w:val="18"/>
              </w:rPr>
              <w:t>Immutable x2</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20" w:type="dxa"/>
              <w:bottom w:w="90" w:type="dxa"/>
              <w:end w:w="120" w:type="dxa"/>
            </w:tcMar>
            <w:shd w:fill="EAF2F8"/>
          </w:tcPr>
          <w:p>
            <w:pPr>
              <w:spacing w:after="0" w:before="0" w:line="252" w:lineRule="auto"/>
            </w:pPr>
            <w:r>
              <w:rPr>
                <w:rFonts w:ascii="Aptos" w:hAnsi="Aptos"/>
                <w:sz w:val="18"/>
              </w:rPr>
              <w:t>e85f3a2cfe5260ff2b9d6e953a80513d383650c5</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20" w:type="dxa"/>
              <w:bottom w:w="90" w:type="dxa"/>
              <w:end w:w="120" w:type="dxa"/>
            </w:tcMar>
            <w:shd w:fill="FFFFFF"/>
          </w:tcPr>
          <w:p>
            <w:pPr>
              <w:spacing w:after="0" w:before="0" w:line="252" w:lineRule="auto"/>
            </w:pPr>
            <w:r>
              <w:rPr>
                <w:rFonts w:ascii="Aptos" w:hAnsi="Aptos"/>
                <w:sz w:val="18"/>
              </w:rPr>
              <w:t>Current verdict</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20" w:type="dxa"/>
              <w:bottom w:w="90" w:type="dxa"/>
              <w:end w:w="120" w:type="dxa"/>
            </w:tcMar>
            <w:shd w:fill="FFFFFF"/>
          </w:tcPr>
          <w:p>
            <w:pPr>
              <w:spacing w:after="0" w:before="0" w:line="252" w:lineRule="auto"/>
            </w:pPr>
            <w:r>
              <w:rPr>
                <w:rFonts w:ascii="Aptos" w:hAnsi="Aptos"/>
                <w:sz w:val="18"/>
              </w:rPr>
              <w:t>NOT READY FOR STAGE 20</w:t>
            </w:r>
          </w:p>
        </w:tc>
      </w:tr>
    </w:tbl>
    <w:p>
      <w:pPr>
        <w:spacing w:after="0"/>
      </w:pPr>
    </w:p>
    <w:p>
      <w:r>
        <w:br w:type="page"/>
      </w:r>
    </w:p>
    <w:p>
      <w:pPr>
        <w:pStyle w:val="Heading1"/>
        <w:keepNext/>
      </w:pPr>
      <w:r>
        <w:t>Finite graph results and limits</w:t>
      </w:r>
    </w:p>
    <w:p>
      <w:pPr>
        <w:spacing w:after="140" w:line="269" w:lineRule="auto"/>
      </w:pPr>
      <w:r>
        <w:t>The twenty finite operations cover canonical graph records, incoming and outgoing adjacency, reachability, shortest hop paths, acyclic status, topological order, weak components, transitive closure, boundary edges, transitive reduction, graph differences, provenance digests, correction chains, dependency blockers, release gates, critical paths, DOT source, accessible summaries, and evidence reservations.</w:t>
      </w:r>
    </w:p>
    <w:p>
      <w:pPr>
        <w:spacing w:after="140" w:line="269" w:lineRule="auto"/>
      </w:pPr>
      <w:r>
        <w:t>All two hundred safe requests matched their complete frozen envelopes without input mutation. All two hundred paired unknown-field subjects were refused and retain zero original success credit. A directed cycle shows why a topological order needs acyclicity. A path can exist while consent, evidence, and authority remain absent.</w:t>
      </w:r>
    </w:p>
    <w:p>
      <w:pPr>
        <w:spacing w:after="140" w:line="269" w:lineRule="auto"/>
      </w:pPr>
      <w:r>
        <w:t>Graph definitions can clarify GMUT model structure, but they do not define a physical action, dimensions, conservation equations, observables, likelihoods, calibration, or falsifiers. No result ranks GMUT against tested physical theories.</w:t>
      </w:r>
    </w:p>
    <w:tbl>
      <w:tblPr>
        <w:tblW w:type="auto" w:w="0"/>
        <w:jc w:val="center"/>
        <w:tblLayout w:type="fixed"/>
        <w:tblLook w:firstColumn="1" w:firstRow="1" w:lastColumn="0" w:lastRow="0" w:noHBand="0" w:noVBand="1" w:val="04A0"/>
      </w:tblPr>
      <w:tblGrid>
        <w:gridCol w:w="3389"/>
        <w:gridCol w:w="3389"/>
        <w:gridCol w:w="3389"/>
      </w:tblGrid>
      <w:t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20" w:type="dxa"/>
              <w:bottom w:w="90" w:type="dxa"/>
              <w:end w:w="120" w:type="dxa"/>
            </w:tcMar>
            <w:shd w:fill="1F4E78"/>
          </w:tcPr>
          <w:p>
            <w:pPr>
              <w:spacing w:after="0" w:before="0" w:line="252" w:lineRule="auto"/>
            </w:pPr>
            <w:r>
              <w:rPr>
                <w:rFonts w:ascii="Aptos" w:hAnsi="Aptos"/>
                <w:b/>
                <w:color w:val="FFFFFF"/>
                <w:sz w:val="18"/>
              </w:rPr>
              <w:t>Outcome</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20" w:type="dxa"/>
              <w:bottom w:w="90" w:type="dxa"/>
              <w:end w:w="120" w:type="dxa"/>
            </w:tcMar>
            <w:shd w:fill="1F4E78"/>
          </w:tcPr>
          <w:p>
            <w:pPr>
              <w:spacing w:after="0" w:before="0" w:line="252" w:lineRule="auto"/>
            </w:pPr>
            <w:r>
              <w:rPr>
                <w:rFonts w:ascii="Aptos" w:hAnsi="Aptos"/>
                <w:b/>
                <w:color w:val="FFFFFF"/>
                <w:sz w:val="18"/>
              </w:rPr>
              <w:t>Count</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20" w:type="dxa"/>
              <w:bottom w:w="90" w:type="dxa"/>
              <w:end w:w="120" w:type="dxa"/>
            </w:tcMar>
            <w:shd w:fill="1F4E78"/>
          </w:tcPr>
          <w:p>
            <w:pPr>
              <w:spacing w:after="0" w:before="0" w:line="252" w:lineRule="auto"/>
            </w:pPr>
            <w:r>
              <w:rPr>
                <w:rFonts w:ascii="Aptos" w:hAnsi="Aptos"/>
                <w:b/>
                <w:color w:val="FFFFFF"/>
                <w:sz w:val="18"/>
              </w:rPr>
              <w:t>Meaning in this phase</w:t>
            </w:r>
          </w:p>
        </w:tc>
        <w:trPr>
          <w:tblHeader/>
        </w:trPr>
      </w:tr>
      <w:t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20" w:type="dxa"/>
              <w:bottom w:w="90" w:type="dxa"/>
              <w:end w:w="120" w:type="dxa"/>
            </w:tcMar>
            <w:shd w:fill="FFFFFF"/>
          </w:tcPr>
          <w:p>
            <w:pPr>
              <w:spacing w:after="0" w:before="0" w:line="252" w:lineRule="auto"/>
            </w:pPr>
            <w:r>
              <w:rPr>
                <w:rFonts w:ascii="Aptos" w:hAnsi="Aptos"/>
                <w:sz w:val="18"/>
              </w:rPr>
              <w:t>completed</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20" w:type="dxa"/>
              <w:bottom w:w="90" w:type="dxa"/>
              <w:end w:w="120" w:type="dxa"/>
            </w:tcMar>
            <w:shd w:fill="FFFFFF"/>
          </w:tcPr>
          <w:p>
            <w:pPr>
              <w:spacing w:after="0" w:before="0" w:line="252" w:lineRule="auto"/>
              <w:jc w:val="center"/>
            </w:pPr>
            <w:r>
              <w:rPr>
                <w:rFonts w:ascii="Aptos" w:hAnsi="Aptos"/>
                <w:sz w:val="18"/>
              </w:rPr>
              <w:t>180</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20" w:type="dxa"/>
              <w:bottom w:w="90" w:type="dxa"/>
              <w:end w:w="120" w:type="dxa"/>
            </w:tcMar>
            <w:shd w:fill="FFFFFF"/>
          </w:tcPr>
          <w:p>
            <w:pPr>
              <w:spacing w:after="0" w:before="0" w:line="252" w:lineRule="auto"/>
            </w:pPr>
            <w:r>
              <w:rPr>
                <w:rFonts w:ascii="Aptos" w:hAnsi="Aptos"/>
                <w:sz w:val="18"/>
              </w:rPr>
              <w:t>The exact finite typed predicate passed</w:t>
            </w:r>
          </w:p>
        </w:tc>
      </w:tr>
      <w:t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20" w:type="dxa"/>
              <w:bottom w:w="90" w:type="dxa"/>
              <w:end w:w="120" w:type="dxa"/>
            </w:tcMar>
            <w:shd w:fill="EAF2F8"/>
          </w:tcPr>
          <w:p>
            <w:pPr>
              <w:spacing w:after="0" w:before="0" w:line="252" w:lineRule="auto"/>
            </w:pPr>
            <w:r>
              <w:rPr>
                <w:rFonts w:ascii="Aptos" w:hAnsi="Aptos"/>
                <w:sz w:val="18"/>
              </w:rPr>
              <w:t>represented</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20" w:type="dxa"/>
              <w:bottom w:w="90" w:type="dxa"/>
              <w:end w:w="120" w:type="dxa"/>
            </w:tcMar>
            <w:shd w:fill="EAF2F8"/>
          </w:tcPr>
          <w:p>
            <w:pPr>
              <w:spacing w:after="0" w:before="0" w:line="252" w:lineRule="auto"/>
              <w:jc w:val="center"/>
            </w:pPr>
            <w:r>
              <w:rPr>
                <w:rFonts w:ascii="Aptos" w:hAnsi="Aptos"/>
                <w:sz w:val="18"/>
              </w:rPr>
              <w:t>10</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20" w:type="dxa"/>
              <w:bottom w:w="90" w:type="dxa"/>
              <w:end w:w="120" w:type="dxa"/>
            </w:tcMar>
            <w:shd w:fill="EAF2F8"/>
          </w:tcPr>
          <w:p>
            <w:pPr>
              <w:spacing w:after="0" w:before="0" w:line="252" w:lineRule="auto"/>
            </w:pPr>
            <w:r>
              <w:rPr>
                <w:rFonts w:ascii="Aptos" w:hAnsi="Aptos"/>
                <w:sz w:val="18"/>
              </w:rPr>
              <w:t>A structure exists while human evidence remains absent</w:t>
            </w:r>
          </w:p>
        </w:tc>
      </w:tr>
      <w:t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20" w:type="dxa"/>
              <w:bottom w:w="90" w:type="dxa"/>
              <w:end w:w="120" w:type="dxa"/>
            </w:tcMar>
            <w:shd w:fill="FFFFFF"/>
          </w:tcPr>
          <w:p>
            <w:pPr>
              <w:spacing w:after="0" w:before="0" w:line="252" w:lineRule="auto"/>
            </w:pPr>
            <w:r>
              <w:rPr>
                <w:rFonts w:ascii="Aptos" w:hAnsi="Aptos"/>
                <w:sz w:val="18"/>
              </w:rPr>
              <w:t>open gap</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20" w:type="dxa"/>
              <w:bottom w:w="90" w:type="dxa"/>
              <w:end w:w="120" w:type="dxa"/>
            </w:tcMar>
            <w:shd w:fill="FFFFFF"/>
          </w:tcPr>
          <w:p>
            <w:pPr>
              <w:spacing w:after="0" w:before="0" w:line="252" w:lineRule="auto"/>
              <w:jc w:val="center"/>
            </w:pPr>
            <w:r>
              <w:rPr>
                <w:rFonts w:ascii="Aptos" w:hAnsi="Aptos"/>
                <w:sz w:val="18"/>
              </w:rPr>
              <w:t>5</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20" w:type="dxa"/>
              <w:bottom w:w="90" w:type="dxa"/>
              <w:end w:w="120" w:type="dxa"/>
            </w:tcMar>
            <w:shd w:fill="FFFFFF"/>
          </w:tcPr>
          <w:p>
            <w:pPr>
              <w:spacing w:after="0" w:before="0" w:line="252" w:lineRule="auto"/>
            </w:pPr>
            <w:r>
              <w:rPr>
                <w:rFonts w:ascii="Aptos" w:hAnsi="Aptos"/>
                <w:sz w:val="18"/>
              </w:rPr>
              <w:t>Required scientific or evaluation evidence is missing</w:t>
            </w:r>
          </w:p>
        </w:tc>
      </w:tr>
      <w:t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20" w:type="dxa"/>
              <w:bottom w:w="90" w:type="dxa"/>
              <w:end w:w="120" w:type="dxa"/>
            </w:tcMar>
            <w:shd w:fill="EAF2F8"/>
          </w:tcPr>
          <w:p>
            <w:pPr>
              <w:spacing w:after="0" w:before="0" w:line="252" w:lineRule="auto"/>
            </w:pPr>
            <w:r>
              <w:rPr>
                <w:rFonts w:ascii="Aptos" w:hAnsi="Aptos"/>
                <w:sz w:val="18"/>
              </w:rPr>
              <w:t>exact gate</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20" w:type="dxa"/>
              <w:bottom w:w="90" w:type="dxa"/>
              <w:end w:w="120" w:type="dxa"/>
            </w:tcMar>
            <w:shd w:fill="EAF2F8"/>
          </w:tcPr>
          <w:p>
            <w:pPr>
              <w:spacing w:after="0" w:before="0" w:line="252" w:lineRule="auto"/>
              <w:jc w:val="center"/>
            </w:pPr>
            <w:r>
              <w:rPr>
                <w:rFonts w:ascii="Aptos" w:hAnsi="Aptos"/>
                <w:sz w:val="18"/>
              </w:rPr>
              <w:t>5</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20" w:type="dxa"/>
              <w:bottom w:w="90" w:type="dxa"/>
              <w:end w:w="120" w:type="dxa"/>
            </w:tcMar>
            <w:shd w:fill="EAF2F8"/>
          </w:tcPr>
          <w:p>
            <w:pPr>
              <w:spacing w:after="0" w:before="0" w:line="252" w:lineRule="auto"/>
            </w:pPr>
            <w:r>
              <w:rPr>
                <w:rFonts w:ascii="Aptos" w:hAnsi="Aptos"/>
                <w:sz w:val="18"/>
              </w:rPr>
              <w:t>Competent authority or an exact condition is required</w:t>
            </w:r>
          </w:p>
        </w:tc>
      </w:tr>
    </w:tbl>
    <w:p>
      <w:pPr>
        <w:spacing w:after="0"/>
      </w:pPr>
    </w:p>
    <w:p>
      <w:r>
        <w:br w:type="page"/>
      </w:r>
    </w:p>
    <w:p>
      <w:pPr>
        <w:pStyle w:val="Heading1"/>
        <w:keepNext/>
      </w:pPr>
      <w:r>
        <w:t>Tools skills and evidence accounting</w:t>
      </w:r>
    </w:p>
    <w:p>
      <w:pPr>
        <w:spacing w:after="140" w:line="269" w:lineRule="auto"/>
      </w:pPr>
      <w:r>
        <w:t>NetworkX 3.6.1, rustworkx 0.18.1, and graphviz 0.21 were installed from hash-verified wheels in one D-isolated environment. NumPy 2.5.3 is an explicit rustworkx dependency and receives no direct-package credit. The first offline install failed because NumPy was absent; the corrected install reused the failed environment. A later NodeIndices serialization failure also remains.</w:t>
      </w:r>
    </w:p>
    <w:p>
      <w:pPr>
        <w:spacing w:after="140" w:line="269" w:lineRule="auto"/>
      </w:pPr>
      <w:r>
        <w:t>Thirty x2 comparisons passed: ten NetworkX transitive reductions, ten rustworkx topological orders, and ten Graphviz DOT source checks without rendering. Twenty local skills and ten paired runners were built. Five merged skills and five public D runners were promoted only after absence checks, official validation, byte parity, and accepting and rejecting smokes.</w:t>
      </w:r>
    </w:p>
    <w:p>
      <w:pPr>
        <w:spacing w:after="140" w:line="269" w:lineRule="auto"/>
      </w:pPr>
      <w:r>
        <w:t>The evidence counts include every invalid subject and operational failure. A recovery is a separate passing witness and never changes the original failure.</w:t>
      </w:r>
    </w:p>
    <w:tbl>
      <w:tblPr>
        <w:tblW w:type="auto" w:w="0"/>
        <w:jc w:val="center"/>
        <w:tblLayout w:type="fixed"/>
        <w:tblLook w:firstColumn="1" w:firstRow="1" w:lastColumn="0" w:lastRow="0" w:noHBand="0" w:noVBand="1" w:val="04A0"/>
      </w:tblPr>
      <w:tblGrid>
        <w:gridCol w:w="5083"/>
        <w:gridCol w:w="5083"/>
      </w:tblGrid>
      <w:tr>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20" w:type="dxa"/>
              <w:bottom w:w="90" w:type="dxa"/>
              <w:end w:w="120" w:type="dxa"/>
            </w:tcMar>
            <w:shd w:fill="1F4E78"/>
          </w:tcPr>
          <w:p>
            <w:pPr>
              <w:spacing w:after="0" w:before="0" w:line="252" w:lineRule="auto"/>
            </w:pPr>
            <w:r>
              <w:rPr>
                <w:rFonts w:ascii="Aptos" w:hAnsi="Aptos"/>
                <w:b/>
                <w:color w:val="FFFFFF"/>
                <w:sz w:val="18"/>
              </w:rPr>
              <w:t>Evidence item</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20" w:type="dxa"/>
              <w:bottom w:w="90" w:type="dxa"/>
              <w:end w:w="120" w:type="dxa"/>
            </w:tcMar>
            <w:shd w:fill="1F4E78"/>
          </w:tcPr>
          <w:p>
            <w:pPr>
              <w:spacing w:after="0" w:before="0" w:line="252" w:lineRule="auto"/>
            </w:pPr>
            <w:r>
              <w:rPr>
                <w:rFonts w:ascii="Aptos" w:hAnsi="Aptos"/>
                <w:b/>
                <w:color w:val="FFFFFF"/>
                <w:sz w:val="18"/>
              </w:rPr>
              <w:t>Count</w:t>
            </w:r>
          </w:p>
        </w:tc>
        <w:trPr>
          <w:tblHeader/>
        </w:trPr>
      </w:tr>
      <w:tr>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20" w:type="dxa"/>
              <w:bottom w:w="90" w:type="dxa"/>
              <w:end w:w="120" w:type="dxa"/>
            </w:tcMar>
            <w:shd w:fill="FFFFFF"/>
          </w:tcPr>
          <w:p>
            <w:pPr>
              <w:spacing w:after="0" w:before="0" w:line="252" w:lineRule="auto"/>
            </w:pPr>
            <w:r>
              <w:rPr>
                <w:rFonts w:ascii="Aptos" w:hAnsi="Aptos"/>
                <w:sz w:val="18"/>
              </w:rPr>
              <w:t>Effective retained negatives</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20" w:type="dxa"/>
              <w:bottom w:w="90" w:type="dxa"/>
              <w:end w:w="120" w:type="dxa"/>
            </w:tcMar>
            <w:shd w:fill="FFFFFF"/>
          </w:tcPr>
          <w:p>
            <w:pPr>
              <w:spacing w:after="0" w:before="0" w:line="252" w:lineRule="auto"/>
              <w:jc w:val="center"/>
            </w:pPr>
            <w:r>
              <w:rPr>
                <w:rFonts w:ascii="Aptos" w:hAnsi="Aptos"/>
                <w:sz w:val="18"/>
              </w:rPr>
              <w:t>1,268</w:t>
            </w:r>
          </w:p>
        </w:tc>
      </w:tr>
      <w:tr>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20" w:type="dxa"/>
              <w:bottom w:w="90" w:type="dxa"/>
              <w:end w:w="120" w:type="dxa"/>
            </w:tcMar>
            <w:shd w:fill="EAF2F8"/>
          </w:tcPr>
          <w:p>
            <w:pPr>
              <w:spacing w:after="0" w:before="0" w:line="252" w:lineRule="auto"/>
            </w:pPr>
            <w:r>
              <w:rPr>
                <w:rFonts w:ascii="Aptos" w:hAnsi="Aptos"/>
                <w:sz w:val="18"/>
              </w:rPr>
              <w:t>Method Flow methods</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20" w:type="dxa"/>
              <w:bottom w:w="90" w:type="dxa"/>
              <w:end w:w="120" w:type="dxa"/>
            </w:tcMar>
            <w:shd w:fill="EAF2F8"/>
          </w:tcPr>
          <w:p>
            <w:pPr>
              <w:spacing w:after="0" w:before="0" w:line="252" w:lineRule="auto"/>
              <w:jc w:val="center"/>
            </w:pPr>
            <w:r>
              <w:rPr>
                <w:rFonts w:ascii="Aptos" w:hAnsi="Aptos"/>
                <w:sz w:val="18"/>
              </w:rPr>
              <w:t>105</w:t>
            </w:r>
          </w:p>
        </w:tc>
      </w:tr>
      <w:tr>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20" w:type="dxa"/>
              <w:bottom w:w="90" w:type="dxa"/>
              <w:end w:w="120" w:type="dxa"/>
            </w:tcMar>
            <w:shd w:fill="FFFFFF"/>
          </w:tcPr>
          <w:p>
            <w:pPr>
              <w:spacing w:after="0" w:before="0" w:line="252" w:lineRule="auto"/>
            </w:pPr>
            <w:r>
              <w:rPr>
                <w:rFonts w:ascii="Aptos" w:hAnsi="Aptos"/>
                <w:sz w:val="18"/>
              </w:rPr>
              <w:t>Direct witnesses</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20" w:type="dxa"/>
              <w:bottom w:w="90" w:type="dxa"/>
              <w:end w:w="120" w:type="dxa"/>
            </w:tcMar>
            <w:shd w:fill="FFFFFF"/>
          </w:tcPr>
          <w:p>
            <w:pPr>
              <w:spacing w:after="0" w:before="0" w:line="252" w:lineRule="auto"/>
              <w:jc w:val="center"/>
            </w:pPr>
            <w:r>
              <w:rPr>
                <w:rFonts w:ascii="Aptos" w:hAnsi="Aptos"/>
                <w:sz w:val="18"/>
              </w:rPr>
              <w:t>3,507</w:t>
            </w:r>
          </w:p>
        </w:tc>
      </w:tr>
      <w:tr>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20" w:type="dxa"/>
              <w:bottom w:w="90" w:type="dxa"/>
              <w:end w:w="120" w:type="dxa"/>
            </w:tcMar>
            <w:shd w:fill="EAF2F8"/>
          </w:tcPr>
          <w:p>
            <w:pPr>
              <w:spacing w:after="0" w:before="0" w:line="252" w:lineRule="auto"/>
            </w:pPr>
            <w:r>
              <w:rPr>
                <w:rFonts w:ascii="Aptos" w:hAnsi="Aptos"/>
                <w:sz w:val="18"/>
              </w:rPr>
              <w:t>Failed witnesses</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20" w:type="dxa"/>
              <w:bottom w:w="90" w:type="dxa"/>
              <w:end w:w="120" w:type="dxa"/>
            </w:tcMar>
            <w:shd w:fill="EAF2F8"/>
          </w:tcPr>
          <w:p>
            <w:pPr>
              <w:spacing w:after="0" w:before="0" w:line="252" w:lineRule="auto"/>
              <w:jc w:val="center"/>
            </w:pPr>
            <w:r>
              <w:rPr>
                <w:rFonts w:ascii="Aptos" w:hAnsi="Aptos"/>
                <w:sz w:val="18"/>
              </w:rPr>
              <w:t>979</w:t>
            </w:r>
          </w:p>
        </w:tc>
      </w:tr>
      <w:tr>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20" w:type="dxa"/>
              <w:bottom w:w="90" w:type="dxa"/>
              <w:end w:w="120" w:type="dxa"/>
            </w:tcMar>
            <w:shd w:fill="FFFFFF"/>
          </w:tcPr>
          <w:p>
            <w:pPr>
              <w:spacing w:after="0" w:before="0" w:line="252" w:lineRule="auto"/>
            </w:pPr>
            <w:r>
              <w:rPr>
                <w:rFonts w:ascii="Aptos" w:hAnsi="Aptos"/>
                <w:sz w:val="18"/>
              </w:rPr>
              <w:t>Passing witnesses</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20" w:type="dxa"/>
              <w:bottom w:w="90" w:type="dxa"/>
              <w:end w:w="120" w:type="dxa"/>
            </w:tcMar>
            <w:shd w:fill="FFFFFF"/>
          </w:tcPr>
          <w:p>
            <w:pPr>
              <w:spacing w:after="0" w:before="0" w:line="252" w:lineRule="auto"/>
              <w:jc w:val="center"/>
            </w:pPr>
            <w:r>
              <w:rPr>
                <w:rFonts w:ascii="Aptos" w:hAnsi="Aptos"/>
                <w:sz w:val="18"/>
              </w:rPr>
              <w:t>2,528</w:t>
            </w:r>
          </w:p>
        </w:tc>
      </w:tr>
      <w:tr>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20" w:type="dxa"/>
              <w:bottom w:w="90" w:type="dxa"/>
              <w:end w:w="120" w:type="dxa"/>
            </w:tcMar>
            <w:shd w:fill="EAF2F8"/>
          </w:tcPr>
          <w:p>
            <w:pPr>
              <w:spacing w:after="0" w:before="0" w:line="252" w:lineRule="auto"/>
            </w:pPr>
            <w:r>
              <w:rPr>
                <w:rFonts w:ascii="Aptos" w:hAnsi="Aptos"/>
                <w:sz w:val="18"/>
              </w:rPr>
              <w:t>Four tier cards</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20" w:type="dxa"/>
              <w:bottom w:w="90" w:type="dxa"/>
              <w:end w:w="120" w:type="dxa"/>
            </w:tcMar>
            <w:shd w:fill="EAF2F8"/>
          </w:tcPr>
          <w:p>
            <w:pPr>
              <w:spacing w:after="0" w:before="0" w:line="252" w:lineRule="auto"/>
              <w:jc w:val="center"/>
            </w:pPr>
            <w:r>
              <w:rPr>
                <w:rFonts w:ascii="Aptos" w:hAnsi="Aptos"/>
                <w:sz w:val="18"/>
              </w:rPr>
              <w:t>213</w:t>
            </w:r>
          </w:p>
        </w:tc>
      </w:tr>
    </w:tbl>
    <w:p>
      <w:pPr>
        <w:spacing w:after="0"/>
      </w:pPr>
    </w:p>
    <w:p>
      <w:r>
        <w:br w:type="page"/>
      </w:r>
    </w:p>
    <w:p>
      <w:pPr>
        <w:pStyle w:val="Heading1"/>
        <w:keepNext/>
      </w:pPr>
      <w:r>
        <w:t>Pillars practices and rights</w:t>
      </w:r>
    </w:p>
    <w:p>
      <w:pPr>
        <w:spacing w:after="140" w:line="269" w:lineRule="auto"/>
      </w:pPr>
      <w:r>
        <w:t>Freed ID and CBR Heart is primary. The phase separates graph structure, source provenance, correction, evidence, consent, identity, rights, and competent authority. A matching digest binds one chosen serialization. It does not prove truth, authorship, ownership, consent, lawful basis, cultural legitimacy, or authority to act.</w:t>
      </w:r>
    </w:p>
    <w:p>
      <w:pPr>
        <w:spacing w:after="140" w:line="269" w:lineRule="auto"/>
      </w:pPr>
      <w:r>
        <w:t>THOS Body contributes field-closed interfaces, reversible evidence, isolated dependencies, and exact lifecycle gates. It remains synthetic and proxy-only without governed real workloads, operators, safety monitoring, appropriate statistics, or independent review. GMUT Mind contributes finite definitions and counterexamples while its empirical programme remains open.</w:t>
      </w:r>
    </w:p>
    <w:p>
      <w:pPr>
        <w:spacing w:after="140" w:line="269" w:lineRule="auto"/>
      </w:pPr>
      <w:r>
        <w:t>The four practices are finite directed-graph algorithm testing, provenance and correction-lineage engineering, public-interest data-governance review, and accessible dependency-status editing. These are learning lenses, not employment, licensure, competence, standing, or affected-party authority.</w:t>
      </w:r>
    </w:p>
    <w:tbl>
      <w:tblPr>
        <w:tblW w:type="auto" w:w="0"/>
        <w:jc w:val="center"/>
        <w:tblLayout w:type="fixed"/>
        <w:tblLook w:firstColumn="1" w:firstRow="1" w:lastColumn="0" w:lastRow="0" w:noHBand="0" w:noVBand="1" w:val="04A0"/>
      </w:tblPr>
      <w:tblGrid>
        <w:gridCol w:w="5083"/>
        <w:gridCol w:w="5083"/>
      </w:tblGrid>
      <w:tr>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20" w:type="dxa"/>
              <w:bottom w:w="90" w:type="dxa"/>
              <w:end w:w="120" w:type="dxa"/>
            </w:tcMar>
            <w:shd w:fill="1F4E78"/>
          </w:tcPr>
          <w:p>
            <w:pPr>
              <w:spacing w:after="0" w:before="0" w:line="252" w:lineRule="auto"/>
            </w:pPr>
            <w:r>
              <w:rPr>
                <w:rFonts w:ascii="Aptos" w:hAnsi="Aptos"/>
                <w:b/>
                <w:color w:val="FFFFFF"/>
                <w:sz w:val="18"/>
              </w:rPr>
              <w:t>Successor recommendation</w:t>
            </w:r>
          </w:p>
        </w:tc>
        <w:tc>
          <w:tcPr>
            <w:tcW w:type="dxa" w:w="61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20" w:type="dxa"/>
              <w:bottom w:w="90" w:type="dxa"/>
              <w:end w:w="120" w:type="dxa"/>
            </w:tcMar>
            <w:shd w:fill="1F4E78"/>
          </w:tcPr>
          <w:p>
            <w:pPr>
              <w:spacing w:after="0" w:before="0" w:line="252" w:lineRule="auto"/>
            </w:pPr>
            <w:r>
              <w:rPr>
                <w:rFonts w:ascii="Aptos" w:hAnsi="Aptos"/>
                <w:b/>
                <w:color w:val="FFFFFF"/>
                <w:sz w:val="18"/>
              </w:rPr>
              <w:t>Purpose</w:t>
            </w:r>
          </w:p>
        </w:tc>
        <w:trPr>
          <w:tblHeader/>
        </w:trPr>
      </w:tr>
      <w:tr>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20" w:type="dxa"/>
              <w:bottom w:w="90" w:type="dxa"/>
              <w:end w:w="120" w:type="dxa"/>
            </w:tcMar>
            <w:shd w:fill="FFFFFF"/>
          </w:tcPr>
          <w:p>
            <w:pPr>
              <w:spacing w:after="0" w:before="0" w:line="252" w:lineRule="auto"/>
            </w:pPr>
            <w:r>
              <w:rPr>
                <w:rFonts w:ascii="Aptos" w:hAnsi="Aptos"/>
                <w:sz w:val="18"/>
              </w:rPr>
              <w:t>Adversarial reachability policy auditor</w:t>
            </w:r>
          </w:p>
        </w:tc>
        <w:tc>
          <w:tcPr>
            <w:tcW w:type="dxa" w:w="61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20" w:type="dxa"/>
              <w:bottom w:w="90" w:type="dxa"/>
              <w:end w:w="120" w:type="dxa"/>
            </w:tcMar>
            <w:shd w:fill="FFFFFF"/>
          </w:tcPr>
          <w:p>
            <w:pPr>
              <w:spacing w:after="0" w:before="0" w:line="252" w:lineRule="auto"/>
            </w:pPr>
            <w:r>
              <w:rPr>
                <w:rFonts w:ascii="Aptos" w:hAnsi="Aptos"/>
                <w:sz w:val="18"/>
              </w:rPr>
              <w:t>Challenge hidden assumptions that turn paths into permission</w:t>
            </w:r>
          </w:p>
        </w:tc>
      </w:tr>
      <w:tr>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20" w:type="dxa"/>
              <w:bottom w:w="90" w:type="dxa"/>
              <w:end w:w="120" w:type="dxa"/>
            </w:tcMar>
            <w:shd w:fill="EAF2F8"/>
          </w:tcPr>
          <w:p>
            <w:pPr>
              <w:spacing w:after="0" w:before="0" w:line="252" w:lineRule="auto"/>
            </w:pPr>
            <w:r>
              <w:rPr>
                <w:rFonts w:ascii="Aptos" w:hAnsi="Aptos"/>
                <w:sz w:val="18"/>
              </w:rPr>
              <w:t>Provenance graph visualization accessibility reviewer</w:t>
            </w:r>
          </w:p>
        </w:tc>
        <w:tc>
          <w:tcPr>
            <w:tcW w:type="dxa" w:w="61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20" w:type="dxa"/>
              <w:bottom w:w="90" w:type="dxa"/>
              <w:end w:w="120" w:type="dxa"/>
            </w:tcMar>
            <w:shd w:fill="EAF2F8"/>
          </w:tcPr>
          <w:p>
            <w:pPr>
              <w:spacing w:after="0" w:before="0" w:line="252" w:lineRule="auto"/>
            </w:pPr>
            <w:r>
              <w:rPr>
                <w:rFonts w:ascii="Aptos" w:hAnsi="Aptos"/>
                <w:sz w:val="18"/>
              </w:rPr>
              <w:t>Test whether dependency and uncertainty states remain understandable</w:t>
            </w:r>
          </w:p>
        </w:tc>
      </w:tr>
    </w:tbl>
    <w:p>
      <w:pPr>
        <w:spacing w:after="0"/>
      </w:pPr>
    </w:p>
    <w:p>
      <w:r>
        <w:br w:type="page"/>
      </w:r>
    </w:p>
    <w:p>
      <w:pPr>
        <w:pStyle w:val="Heading1"/>
        <w:keepNext/>
      </w:pPr>
      <w:r>
        <w:t>Terminal route and evidence boundary</w:t>
      </w:r>
    </w:p>
    <w:p>
      <w:pPr>
        <w:spacing w:after="140" w:line="269" w:lineRule="auto"/>
      </w:pPr>
      <w:r>
        <w:t>Mira Fenwick v690 v3 is prospective only. The repository final must first be pushed, clean, zero divergent, four-way equal, and accepted by one exact-final owner-scoped canonical invocation. The current roster, authority, exact title, duplicate, pause, privacy, safety, usage, and acknowledgement guards must then be reread.</w:t>
      </w:r>
    </w:p>
    <w:p>
      <w:pPr>
        <w:spacing w:after="140" w:line="269" w:lineRule="auto"/>
      </w:pPr>
      <w:r>
        <w:t>A compact live message may be sent once to the unique existing Mira Fenwick main task after every terminal guard passes. An accepted or opaque-accepted send ends retries. No replacement task, fork, collaboration subagent, standby substitute, early later-owner contact, or second confirmation is part of this phase.</w:t>
      </w:r>
    </w:p>
    <w:p>
      <w:pPr>
        <w:spacing w:after="140" w:line="269" w:lineRule="auto"/>
      </w:pPr>
      <w:r>
        <w:t>This phase supplies bounded same-owner synthetic software and documentation evidence. It is not a full-repository suite, external audit, independent reproduction, empirical GMUT confirmation, production THOS certification, live Freed ID lifecycle, professional qualification, legal or cultural authority, Maori authority, complete privacy or accessibility assurance, exhaustive security, AGI or ASI evidence, consciousness or personhood evidence, a Theory-of-Everything proof, canon, or Stage 20 readiness.</w:t>
      </w:r>
    </w:p>
    <w:p>
      <w:pPr>
        <w:spacing w:after="140" w:line="269" w:lineRule="auto"/>
      </w:pPr>
      <w:r>
        <w:t>Primary references are Kahn's 1962 topological sorting paper, Aho, Garey, and Ullman's 1972 transitive reduction paper, RFC 8785, W3C PROV-O, W3C Verifiable Credentials Data Model 2.0, the Graphviz DOT language, and the official package records for the three direct libraries. They supply definitions and vocabulary, not validation or authority for these artifacts.</w:t>
      </w:r>
    </w:p>
    <w:sectPr>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4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Ilyra Fen v690 v2 Evidence Report</dc:title>
  <dc:subject>Bounded finite graph evidence and handoff</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