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Ilyra Fen v686 v7 Evidence Overview</w:t>
      </w:r>
    </w:p>
    <w:p>
      <w:pPr>
        <w:spacing w:after="280"/>
      </w:pPr>
      <w:r>
        <w:rPr>
          <w:color w:val="464646"/>
          <w:sz w:val="24"/>
        </w:rPr>
        <w:t>Owner scoped policy chronology and abstention bundle</w:t>
      </w:r>
    </w:p>
    <w:p>
      <w:pPr>
        <w:spacing w:after="140" w:line="259" w:lineRule="auto"/>
      </w:pPr>
      <w:r>
        <w:t>The v686 v7 bundle completed its bounded synthetic software plan and preserved every missing evidence and authority condition. The repository evidence remains owner scoped. The terminal verdict is NOT_READY_FOR_STAGE_20.</w:t>
      </w:r>
    </w:p>
    <w:p>
      <w:pPr>
        <w:pStyle w:val="Heading1"/>
        <w:keepNext/>
        <w:spacing w:before="200" w:after="100"/>
      </w:pPr>
      <w:r>
        <w:t>Lifecycle anchors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c>
          <w:tcPr>
            <w:tcW w:type="dxa" w:w="2232"/>
            <w:vAlign w:val="center"/>
            <w:shd w:fill="1F4E78"/>
          </w:tcPr>
          <w:p>
            <w:pPr>
              <w:jc w:val="center"/>
            </w:pPr>
            <w:r>
              <w:rPr>
                <w:b/>
                <w:color w:val="FFFFFF"/>
                <w:sz w:val="19"/>
              </w:rPr>
              <w:t>Layer</w:t>
            </w:r>
          </w:p>
        </w:tc>
        <w:tc>
          <w:tcPr>
            <w:tcW w:type="dxa" w:w="7416"/>
            <w:vAlign w:val="center"/>
            <w:shd w:fill="1F4E78"/>
          </w:tcPr>
          <w:p>
            <w:pPr>
              <w:jc w:val="center"/>
            </w:pPr>
            <w:r>
              <w:rPr>
                <w:b/>
                <w:color w:val="FFFFFF"/>
                <w:sz w:val="19"/>
              </w:rPr>
              <w:t>Exact record</w:t>
            </w:r>
          </w:p>
        </w:tc>
        <w:trPr>
          <w:tblHeader/>
        </w:trPr>
      </w:tr>
      <w:tr>
        <w:tc>
          <w:tcPr>
            <w:tcW w:type="dxa" w:w="2232"/>
            <w:vAlign w:val="center"/>
          </w:tcPr>
          <w:p>
            <w:pPr>
              <w:jc w:val="center"/>
            </w:pPr>
            <w:r>
              <w:rPr>
                <w:sz w:val="19"/>
              </w:rPr>
              <w:t>Ceryn source</w:t>
            </w:r>
          </w:p>
        </w:tc>
        <w:tc>
          <w:tcPr>
            <w:tcW w:type="dxa" w:w="7416"/>
            <w:vAlign w:val="center"/>
          </w:tcPr>
          <w:p>
            <w:pPr>
              <w:jc w:val="left"/>
            </w:pPr>
            <w:r>
              <w:rPr>
                <w:sz w:val="19"/>
              </w:rPr>
              <w:t>33801b707269956af7d267e8fd4ed350a4f9c937</w:t>
            </w:r>
          </w:p>
        </w:tc>
      </w:tr>
      <w:tr>
        <w:tc>
          <w:tcPr>
            <w:tcW w:type="dxa" w:w="2232"/>
            <w:shd w:fill="EAF2F8"/>
            <w:vAlign w:val="center"/>
          </w:tcPr>
          <w:p>
            <w:pPr>
              <w:jc w:val="center"/>
            </w:pPr>
            <w:r>
              <w:rPr>
                <w:sz w:val="19"/>
              </w:rPr>
              <w:t>Planning x1</w:t>
            </w:r>
          </w:p>
        </w:tc>
        <w:tc>
          <w:tcPr>
            <w:tcW w:type="dxa" w:w="7416"/>
            <w:shd w:fill="EAF2F8"/>
            <w:vAlign w:val="center"/>
          </w:tcPr>
          <w:p>
            <w:pPr>
              <w:jc w:val="left"/>
            </w:pPr>
            <w:r>
              <w:rPr>
                <w:sz w:val="19"/>
              </w:rPr>
              <w:t>e5669d7693263f2a90f5e2988f62b1c335c9a4b0</w:t>
            </w:r>
          </w:p>
        </w:tc>
      </w:tr>
      <w:tr>
        <w:tc>
          <w:tcPr>
            <w:tcW w:type="dxa" w:w="2232"/>
            <w:vAlign w:val="center"/>
          </w:tcPr>
          <w:p>
            <w:pPr>
              <w:jc w:val="center"/>
            </w:pPr>
            <w:r>
              <w:rPr>
                <w:sz w:val="19"/>
              </w:rPr>
              <w:t>Immutable x2</w:t>
            </w:r>
          </w:p>
        </w:tc>
        <w:tc>
          <w:tcPr>
            <w:tcW w:type="dxa" w:w="7416"/>
            <w:vAlign w:val="center"/>
          </w:tcPr>
          <w:p>
            <w:pPr>
              <w:jc w:val="left"/>
            </w:pPr>
            <w:r>
              <w:rPr>
                <w:sz w:val="19"/>
              </w:rPr>
              <w:t>eb39a29dfaad1b804384342e20f50133b34f3bfb</w:t>
            </w:r>
          </w:p>
        </w:tc>
      </w:tr>
      <w:tr>
        <w:tc>
          <w:tcPr>
            <w:tcW w:type="dxa" w:w="2232"/>
            <w:shd w:fill="EAF2F8"/>
            <w:vAlign w:val="center"/>
          </w:tcPr>
          <w:p>
            <w:pPr>
              <w:jc w:val="center"/>
            </w:pPr>
            <w:r>
              <w:rPr>
                <w:sz w:val="19"/>
              </w:rPr>
              <w:t>Repository scope</w:t>
            </w:r>
          </w:p>
        </w:tc>
        <w:tc>
          <w:tcPr>
            <w:tcW w:type="dxa" w:w="7416"/>
            <w:shd w:fill="EAF2F8"/>
            <w:vAlign w:val="center"/>
          </w:tcPr>
          <w:p>
            <w:pPr>
              <w:jc w:val="left"/>
            </w:pPr>
            <w:r>
              <w:rPr>
                <w:sz w:val="19"/>
              </w:rPr>
              <w:t>Ilyra v686 v7 additions only</w:t>
            </w:r>
          </w:p>
        </w:tc>
      </w:tr>
    </w:tbl>
    <w:p>
      <w:pPr>
        <w:spacing w:after="0"/>
      </w:pPr>
    </w:p>
    <w:p>
      <w:pPr>
        <w:pStyle w:val="Heading1"/>
        <w:keepNext/>
        <w:spacing w:before="200" w:after="100"/>
      </w:pPr>
      <w:r>
        <w:t>What the evidence establishes</w:t>
      </w:r>
    </w:p>
    <w:p>
      <w:pPr>
        <w:spacing w:after="140" w:line="259" w:lineRule="auto"/>
      </w:pPr>
      <w:r>
        <w:t>The phase records exact behavior for policy intersection, revocation, chronology, provenance conflicts, missingness, accessible differences, custody, recovery, and claim reservations. Each accepted result binds its frozen definition, input digest, output digest, owner, phase, source, and x1 head.</w:t>
      </w:r>
    </w:p>
    <w:p>
      <w:pPr>
        <w:spacing w:after="140" w:line="259" w:lineRule="auto"/>
      </w:pPr>
      <w:r>
        <w:t>The work uses synthetic fixtures only. No record describes a real person, credential, consent decision, authority act, deployment, physical measurement, production service, or affected community decision.</w:t>
      </w:r>
    </w:p>
    <w:p>
      <w:r>
        <w:br w:type="page"/>
      </w:r>
    </w:p>
    <w:p>
      <w:pPr>
        <w:pStyle w:val="Heading1"/>
        <w:keepNext/>
        <w:spacing w:before="200" w:after="100"/>
      </w:pPr>
      <w:r>
        <w:t>Contract portfolio</w:t>
      </w:r>
    </w:p>
    <w:p>
      <w:pPr>
        <w:spacing w:after="140" w:line="259" w:lineRule="auto"/>
      </w:pPr>
      <w:r>
        <w:t>Two hundred inherited Ceryn contracts were revalidated from immutable Git blobs with zero Ilyra novelty or execution credit. Two hundred new Ilyra contracts were frozen before implementation and then evaluated against five owner-local runners.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c>
          <w:tcPr>
            <w:tcW w:type="dxa" w:w="1800"/>
            <w:vAlign w:val="center"/>
            <w:shd w:fill="1F4E78"/>
          </w:tcPr>
          <w:p>
            <w:pPr>
              <w:jc w:val="center"/>
            </w:pPr>
            <w:r>
              <w:rPr>
                <w:b/>
                <w:color w:val="FFFFFF"/>
                <w:sz w:val="19"/>
              </w:rPr>
              <w:t>Disposition</w:t>
            </w:r>
          </w:p>
        </w:tc>
        <w:tc>
          <w:tcPr>
            <w:tcW w:type="dxa" w:w="1080"/>
            <w:vAlign w:val="center"/>
            <w:shd w:fill="1F4E78"/>
          </w:tcPr>
          <w:p>
            <w:pPr>
              <w:jc w:val="center"/>
            </w:pPr>
            <w:r>
              <w:rPr>
                <w:b/>
                <w:color w:val="FFFFFF"/>
                <w:sz w:val="19"/>
              </w:rPr>
              <w:t>Count</w:t>
            </w:r>
          </w:p>
        </w:tc>
        <w:tc>
          <w:tcPr>
            <w:tcW w:type="dxa" w:w="6768"/>
            <w:vAlign w:val="center"/>
            <w:shd w:fill="1F4E78"/>
          </w:tcPr>
          <w:p>
            <w:pPr>
              <w:jc w:val="center"/>
            </w:pPr>
            <w:r>
              <w:rPr>
                <w:b/>
                <w:color w:val="FFFFFF"/>
                <w:sz w:val="19"/>
              </w:rPr>
              <w:t>Meaning</w:t>
            </w:r>
          </w:p>
        </w:tc>
        <w:trPr>
          <w:tblHeader/>
        </w:trPr>
      </w:tr>
      <w:tr>
        <w:tc>
          <w:tcPr>
            <w:tcW w:type="dxa" w:w="1800"/>
            <w:vAlign w:val="center"/>
          </w:tcPr>
          <w:p>
            <w:pPr>
              <w:jc w:val="center"/>
            </w:pPr>
            <w:r>
              <w:rPr>
                <w:sz w:val="19"/>
              </w:rPr>
              <w:t>completed</w:t>
            </w:r>
          </w:p>
        </w:tc>
        <w:tc>
          <w:tcPr>
            <w:tcW w:type="dxa" w:w="1080"/>
            <w:vAlign w:val="center"/>
          </w:tcPr>
          <w:p>
            <w:pPr>
              <w:jc w:val="left"/>
            </w:pPr>
            <w:r>
              <w:rPr>
                <w:sz w:val="19"/>
              </w:rPr>
              <w:t>170</w:t>
            </w:r>
          </w:p>
        </w:tc>
        <w:tc>
          <w:tcPr>
            <w:tcW w:type="dxa" w:w="6768"/>
            <w:vAlign w:val="center"/>
          </w:tcPr>
          <w:p>
            <w:pPr>
              <w:jc w:val="left"/>
            </w:pPr>
            <w:r>
              <w:rPr>
                <w:sz w:val="19"/>
              </w:rPr>
              <w:t>Bounded software contract executed and matched</w:t>
            </w:r>
          </w:p>
        </w:tc>
      </w:tr>
      <w:tr>
        <w:tc>
          <w:tcPr>
            <w:tcW w:type="dxa" w:w="1800"/>
            <w:shd w:fill="EAF2F8"/>
            <w:vAlign w:val="center"/>
          </w:tcPr>
          <w:p>
            <w:pPr>
              <w:jc w:val="center"/>
            </w:pPr>
            <w:r>
              <w:rPr>
                <w:sz w:val="19"/>
              </w:rPr>
              <w:t>represented</w:t>
            </w:r>
          </w:p>
        </w:tc>
        <w:tc>
          <w:tcPr>
            <w:tcW w:type="dxa" w:w="1080"/>
            <w:shd w:fill="EAF2F8"/>
            <w:vAlign w:val="center"/>
          </w:tcPr>
          <w:p>
            <w:pPr>
              <w:jc w:val="left"/>
            </w:pPr>
            <w:r>
              <w:rPr>
                <w:sz w:val="19"/>
              </w:rPr>
              <w:t>10</w:t>
            </w:r>
          </w:p>
        </w:tc>
        <w:tc>
          <w:tcPr>
            <w:tcW w:type="dxa" w:w="6768"/>
            <w:shd w:fill="EAF2F8"/>
            <w:vAlign w:val="center"/>
          </w:tcPr>
          <w:p>
            <w:pPr>
              <w:jc w:val="left"/>
            </w:pPr>
            <w:r>
              <w:rPr>
                <w:sz w:val="19"/>
              </w:rPr>
              <w:t>Operational topic recorded without real execution</w:t>
            </w:r>
          </w:p>
        </w:tc>
      </w:tr>
      <w:tr>
        <w:tc>
          <w:tcPr>
            <w:tcW w:type="dxa" w:w="1800"/>
            <w:vAlign w:val="center"/>
          </w:tcPr>
          <w:p>
            <w:pPr>
              <w:jc w:val="center"/>
            </w:pPr>
            <w:r>
              <w:rPr>
                <w:sz w:val="19"/>
              </w:rPr>
              <w:t>open_gap</w:t>
            </w:r>
          </w:p>
        </w:tc>
        <w:tc>
          <w:tcPr>
            <w:tcW w:type="dxa" w:w="1080"/>
            <w:vAlign w:val="center"/>
          </w:tcPr>
          <w:p>
            <w:pPr>
              <w:jc w:val="left"/>
            </w:pPr>
            <w:r>
              <w:rPr>
                <w:sz w:val="19"/>
              </w:rPr>
              <w:t>10</w:t>
            </w:r>
          </w:p>
        </w:tc>
        <w:tc>
          <w:tcPr>
            <w:tcW w:type="dxa" w:w="6768"/>
            <w:vAlign w:val="center"/>
          </w:tcPr>
          <w:p>
            <w:pPr>
              <w:jc w:val="left"/>
            </w:pPr>
            <w:r>
              <w:rPr>
                <w:sz w:val="19"/>
              </w:rPr>
              <w:t>Required empirical evidence remains absent</w:t>
            </w:r>
          </w:p>
        </w:tc>
      </w:tr>
      <w:tr>
        <w:tc>
          <w:tcPr>
            <w:tcW w:type="dxa" w:w="1800"/>
            <w:shd w:fill="EAF2F8"/>
            <w:vAlign w:val="center"/>
          </w:tcPr>
          <w:p>
            <w:pPr>
              <w:jc w:val="center"/>
            </w:pPr>
            <w:r>
              <w:rPr>
                <w:sz w:val="19"/>
              </w:rPr>
              <w:t>exact_gate</w:t>
            </w:r>
          </w:p>
        </w:tc>
        <w:tc>
          <w:tcPr>
            <w:tcW w:type="dxa" w:w="1080"/>
            <w:shd w:fill="EAF2F8"/>
            <w:vAlign w:val="center"/>
          </w:tcPr>
          <w:p>
            <w:pPr>
              <w:jc w:val="left"/>
            </w:pPr>
            <w:r>
              <w:rPr>
                <w:sz w:val="19"/>
              </w:rPr>
              <w:t>10</w:t>
            </w:r>
          </w:p>
        </w:tc>
        <w:tc>
          <w:tcPr>
            <w:tcW w:type="dxa" w:w="6768"/>
            <w:shd w:fill="EAF2F8"/>
            <w:vAlign w:val="center"/>
          </w:tcPr>
          <w:p>
            <w:pPr>
              <w:jc w:val="left"/>
            </w:pPr>
            <w:r>
              <w:rPr>
                <w:sz w:val="19"/>
              </w:rPr>
              <w:t>Competent or affected authority remains required</w:t>
            </w:r>
          </w:p>
        </w:tc>
      </w:tr>
    </w:tbl>
    <w:p>
      <w:pPr>
        <w:spacing w:after="0"/>
      </w:pPr>
    </w:p>
    <w:p>
      <w:pPr>
        <w:pStyle w:val="Heading1"/>
        <w:keepNext/>
        <w:spacing w:before="200" w:after="100"/>
      </w:pPr>
      <w:r>
        <w:t>Execution portfolio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c>
          <w:tcPr>
            <w:tcW w:type="dxa" w:w="2304"/>
            <w:vAlign w:val="center"/>
            <w:shd w:fill="1F4E78"/>
          </w:tcPr>
          <w:p>
            <w:pPr>
              <w:jc w:val="center"/>
            </w:pPr>
            <w:r>
              <w:rPr>
                <w:b/>
                <w:color w:val="FFFFFF"/>
                <w:sz w:val="19"/>
              </w:rPr>
              <w:t>Class</w:t>
            </w:r>
          </w:p>
        </w:tc>
        <w:tc>
          <w:tcPr>
            <w:tcW w:type="dxa" w:w="7344"/>
            <w:vAlign w:val="center"/>
            <w:shd w:fill="1F4E78"/>
          </w:tcPr>
          <w:p>
            <w:pPr>
              <w:jc w:val="center"/>
            </w:pPr>
            <w:r>
              <w:rPr>
                <w:b/>
                <w:color w:val="FFFFFF"/>
                <w:sz w:val="19"/>
              </w:rPr>
              <w:t>Result</w:t>
            </w:r>
          </w:p>
        </w:tc>
        <w:trPr>
          <w:tblHeader/>
        </w:trPr>
      </w:tr>
      <w:tr>
        <w:tc>
          <w:tcPr>
            <w:tcW w:type="dxa" w:w="2304"/>
            <w:vAlign w:val="center"/>
          </w:tcPr>
          <w:p>
            <w:pPr>
              <w:jc w:val="center"/>
            </w:pPr>
            <w:r>
              <w:rPr>
                <w:sz w:val="19"/>
              </w:rPr>
              <w:t>Safe tasks</w:t>
            </w:r>
          </w:p>
        </w:tc>
        <w:tc>
          <w:tcPr>
            <w:tcW w:type="dxa" w:w="7344"/>
            <w:vAlign w:val="center"/>
          </w:tcPr>
          <w:p>
            <w:pPr>
              <w:jc w:val="left"/>
            </w:pPr>
            <w:r>
              <w:rPr>
                <w:sz w:val="19"/>
              </w:rPr>
              <w:t>300 of 300 passed</w:t>
            </w:r>
          </w:p>
        </w:tc>
      </w:tr>
      <w:tr>
        <w:tc>
          <w:tcPr>
            <w:tcW w:type="dxa" w:w="2304"/>
            <w:shd w:fill="EAF2F8"/>
            <w:vAlign w:val="center"/>
          </w:tcPr>
          <w:p>
            <w:pPr>
              <w:jc w:val="center"/>
            </w:pPr>
            <w:r>
              <w:rPr>
                <w:sz w:val="19"/>
              </w:rPr>
              <w:t>Candidate tasks</w:t>
            </w:r>
          </w:p>
        </w:tc>
        <w:tc>
          <w:tcPr>
            <w:tcW w:type="dxa" w:w="7344"/>
            <w:shd w:fill="EAF2F8"/>
            <w:vAlign w:val="center"/>
          </w:tcPr>
          <w:p>
            <w:pPr>
              <w:jc w:val="left"/>
            </w:pPr>
            <w:r>
              <w:rPr>
                <w:sz w:val="19"/>
              </w:rPr>
              <w:t>250 of 250 rejected as required</w:t>
            </w:r>
          </w:p>
        </w:tc>
      </w:tr>
      <w:tr>
        <w:tc>
          <w:tcPr>
            <w:tcW w:type="dxa" w:w="2304"/>
            <w:vAlign w:val="center"/>
          </w:tcPr>
          <w:p>
            <w:pPr>
              <w:jc w:val="center"/>
            </w:pPr>
            <w:r>
              <w:rPr>
                <w:sz w:val="19"/>
              </w:rPr>
              <w:t>Registered mutations</w:t>
            </w:r>
          </w:p>
        </w:tc>
        <w:tc>
          <w:tcPr>
            <w:tcW w:type="dxa" w:w="7344"/>
            <w:vAlign w:val="center"/>
          </w:tcPr>
          <w:p>
            <w:pPr>
              <w:jc w:val="left"/>
            </w:pPr>
            <w:r>
              <w:rPr>
                <w:sz w:val="19"/>
              </w:rPr>
              <w:t>1000 of 1000 rejected and retained</w:t>
            </w:r>
          </w:p>
        </w:tc>
      </w:tr>
      <w:tr>
        <w:tc>
          <w:tcPr>
            <w:tcW w:type="dxa" w:w="2304"/>
            <w:shd w:fill="EAF2F8"/>
            <w:vAlign w:val="center"/>
          </w:tcPr>
          <w:p>
            <w:pPr>
              <w:jc w:val="center"/>
            </w:pPr>
            <w:r>
              <w:rPr>
                <w:sz w:val="19"/>
              </w:rPr>
              <w:t>Clean fix refine</w:t>
            </w:r>
          </w:p>
        </w:tc>
        <w:tc>
          <w:tcPr>
            <w:tcW w:type="dxa" w:w="7344"/>
            <w:shd w:fill="EAF2F8"/>
            <w:vAlign w:val="center"/>
          </w:tcPr>
          <w:p>
            <w:pPr>
              <w:jc w:val="left"/>
            </w:pPr>
            <w:r>
              <w:rPr>
                <w:sz w:val="19"/>
              </w:rPr>
              <w:t>300 failed candidates plus 300 separate accepting corrections</w:t>
            </w:r>
          </w:p>
        </w:tc>
      </w:tr>
      <w:tr>
        <w:tc>
          <w:tcPr>
            <w:tcW w:type="dxa" w:w="2304"/>
            <w:vAlign w:val="center"/>
          </w:tcPr>
          <w:p>
            <w:pPr>
              <w:jc w:val="center"/>
            </w:pPr>
            <w:r>
              <w:rPr>
                <w:sz w:val="19"/>
              </w:rPr>
              <w:t>Exact packets</w:t>
            </w:r>
          </w:p>
        </w:tc>
        <w:tc>
          <w:tcPr>
            <w:tcW w:type="dxa" w:w="7344"/>
            <w:vAlign w:val="center"/>
          </w:tcPr>
          <w:p>
            <w:pPr>
              <w:jc w:val="left"/>
            </w:pPr>
            <w:r>
              <w:rPr>
                <w:sz w:val="19"/>
              </w:rPr>
              <w:t>50 prepared and held</w:t>
            </w:r>
          </w:p>
        </w:tc>
      </w:tr>
      <w:tr>
        <w:tc>
          <w:tcPr>
            <w:tcW w:type="dxa" w:w="2304"/>
            <w:shd w:fill="EAF2F8"/>
            <w:vAlign w:val="center"/>
          </w:tcPr>
          <w:p>
            <w:pPr>
              <w:jc w:val="center"/>
            </w:pPr>
            <w:r>
              <w:rPr>
                <w:sz w:val="19"/>
              </w:rPr>
              <w:t>Blocked packets</w:t>
            </w:r>
          </w:p>
        </w:tc>
        <w:tc>
          <w:tcPr>
            <w:tcW w:type="dxa" w:w="7344"/>
            <w:shd w:fill="EAF2F8"/>
            <w:vAlign w:val="center"/>
          </w:tcPr>
          <w:p>
            <w:pPr>
              <w:jc w:val="left"/>
            </w:pPr>
            <w:r>
              <w:rPr>
                <w:sz w:val="19"/>
              </w:rPr>
              <w:t>30 prepared and unexecuted</w:t>
            </w:r>
          </w:p>
        </w:tc>
      </w:tr>
    </w:tbl>
    <w:p>
      <w:pPr>
        <w:spacing w:after="0"/>
      </w:pPr>
    </w:p>
    <w:p>
      <w:pPr>
        <w:pStyle w:val="Heading1"/>
        <w:keepNext/>
        <w:spacing w:before="200" w:after="100"/>
      </w:pPr>
      <w:r>
        <w:t>Retained planning mismatch</w:t>
      </w:r>
    </w:p>
    <w:p>
      <w:pPr>
        <w:spacing w:after="140" w:line="259" w:lineRule="auto"/>
      </w:pPr>
      <w:r>
        <w:t>The immutable x1 froze ten validity window payloads as bare lists. The first implementation probe correctly found that the runner expected a mapping envelope. X1 was not rewritten. The final runner preserves the exact frozen refusal and adds a separate well shaped portion interval regression. Both witnesses remain visible.</w:t>
      </w:r>
    </w:p>
    <w:p>
      <w:r>
        <w:br w:type="page"/>
      </w:r>
    </w:p>
    <w:p>
      <w:pPr>
        <w:pStyle w:val="Heading1"/>
        <w:keepNext/>
        <w:spacing w:before="200" w:after="100"/>
      </w:pPr>
      <w:r>
        <w:t>Tooling and validation</w:t>
      </w:r>
    </w:p>
    <w:p>
      <w:pPr>
        <w:spacing w:after="140" w:line="259" w:lineRule="auto"/>
      </w:pPr>
      <w:r>
        <w:t>Three direct packages were downloaded from the official Python Package Index, installed only into the Ilyra D-first target after x1 equality, and exercised with positive and adverse result checks. Two dependency wheels received no separate tool credit.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31"/>
        <w:gridCol w:w="3331"/>
        <w:gridCol w:w="3331"/>
      </w:tblGrid>
      <w:tr>
        <w:tc>
          <w:tcPr>
            <w:tcW w:type="dxa" w:w="2232"/>
            <w:vAlign w:val="center"/>
            <w:shd w:fill="1F4E78"/>
          </w:tcPr>
          <w:p>
            <w:pPr>
              <w:jc w:val="center"/>
            </w:pPr>
            <w:r>
              <w:rPr>
                <w:b/>
                <w:color w:val="FFFFFF"/>
                <w:sz w:val="19"/>
              </w:rPr>
              <w:t>Package</w:t>
            </w:r>
          </w:p>
        </w:tc>
        <w:tc>
          <w:tcPr>
            <w:tcW w:type="dxa" w:w="1800"/>
            <w:vAlign w:val="center"/>
            <w:shd w:fill="1F4E78"/>
          </w:tcPr>
          <w:p>
            <w:pPr>
              <w:jc w:val="center"/>
            </w:pPr>
            <w:r>
              <w:rPr>
                <w:b/>
                <w:color w:val="FFFFFF"/>
                <w:sz w:val="19"/>
              </w:rPr>
              <w:t>Version</w:t>
            </w:r>
          </w:p>
        </w:tc>
        <w:tc>
          <w:tcPr>
            <w:tcW w:type="dxa" w:w="5616"/>
            <w:vAlign w:val="center"/>
            <w:shd w:fill="1F4E78"/>
          </w:tcPr>
          <w:p>
            <w:pPr>
              <w:jc w:val="center"/>
            </w:pPr>
            <w:r>
              <w:rPr>
                <w:b/>
                <w:color w:val="FFFFFF"/>
                <w:sz w:val="19"/>
              </w:rPr>
              <w:t>Bounded use</w:t>
            </w:r>
          </w:p>
        </w:tc>
        <w:trPr>
          <w:tblHeader/>
        </w:trPr>
      </w:tr>
      <w:tr>
        <w:tc>
          <w:tcPr>
            <w:tcW w:type="dxa" w:w="2232"/>
            <w:vAlign w:val="center"/>
          </w:tcPr>
          <w:p>
            <w:pPr>
              <w:jc w:val="center"/>
            </w:pPr>
            <w:r>
              <w:rPr>
                <w:sz w:val="19"/>
              </w:rPr>
              <w:t>portion</w:t>
            </w:r>
          </w:p>
        </w:tc>
        <w:tc>
          <w:tcPr>
            <w:tcW w:type="dxa" w:w="1800"/>
            <w:vAlign w:val="center"/>
          </w:tcPr>
          <w:p>
            <w:pPr>
              <w:jc w:val="left"/>
            </w:pPr>
            <w:r>
              <w:rPr>
                <w:sz w:val="19"/>
              </w:rPr>
              <w:t>2.6.2</w:t>
            </w:r>
          </w:p>
        </w:tc>
        <w:tc>
          <w:tcPr>
            <w:tcW w:type="dxa" w:w="5616"/>
            <w:vAlign w:val="center"/>
          </w:tcPr>
          <w:p>
            <w:pPr>
              <w:jc w:val="left"/>
            </w:pPr>
            <w:r>
              <w:rPr>
                <w:sz w:val="19"/>
              </w:rPr>
              <w:t>Closed interval intersection</w:t>
            </w:r>
          </w:p>
        </w:tc>
      </w:tr>
      <w:tr>
        <w:tc>
          <w:tcPr>
            <w:tcW w:type="dxa" w:w="2232"/>
            <w:shd w:fill="EAF2F8"/>
            <w:vAlign w:val="center"/>
          </w:tcPr>
          <w:p>
            <w:pPr>
              <w:jc w:val="center"/>
            </w:pPr>
            <w:r>
              <w:rPr>
                <w:sz w:val="19"/>
              </w:rPr>
              <w:t>immutables</w:t>
            </w:r>
          </w:p>
        </w:tc>
        <w:tc>
          <w:tcPr>
            <w:tcW w:type="dxa" w:w="1800"/>
            <w:shd w:fill="EAF2F8"/>
            <w:vAlign w:val="center"/>
          </w:tcPr>
          <w:p>
            <w:pPr>
              <w:jc w:val="left"/>
            </w:pPr>
            <w:r>
              <w:rPr>
                <w:sz w:val="19"/>
              </w:rPr>
              <w:t>0.21</w:t>
            </w:r>
          </w:p>
        </w:tc>
        <w:tc>
          <w:tcPr>
            <w:tcW w:type="dxa" w:w="5616"/>
            <w:shd w:fill="EAF2F8"/>
            <w:vAlign w:val="center"/>
          </w:tcPr>
          <w:p>
            <w:pPr>
              <w:jc w:val="left"/>
            </w:pPr>
            <w:r>
              <w:rPr>
                <w:sz w:val="19"/>
              </w:rPr>
              <w:t>Immutable correction snapshots</w:t>
            </w:r>
          </w:p>
        </w:tc>
      </w:tr>
      <w:tr>
        <w:tc>
          <w:tcPr>
            <w:tcW w:type="dxa" w:w="2232"/>
            <w:vAlign w:val="center"/>
          </w:tcPr>
          <w:p>
            <w:pPr>
              <w:jc w:val="center"/>
            </w:pPr>
            <w:r>
              <w:rPr>
                <w:sz w:val="19"/>
              </w:rPr>
              <w:t>python dateutil</w:t>
            </w:r>
          </w:p>
        </w:tc>
        <w:tc>
          <w:tcPr>
            <w:tcW w:type="dxa" w:w="1800"/>
            <w:vAlign w:val="center"/>
          </w:tcPr>
          <w:p>
            <w:pPr>
              <w:jc w:val="left"/>
            </w:pPr>
            <w:r>
              <w:rPr>
                <w:sz w:val="19"/>
              </w:rPr>
              <w:t>2.9.0.post0</w:t>
            </w:r>
          </w:p>
        </w:tc>
        <w:tc>
          <w:tcPr>
            <w:tcW w:type="dxa" w:w="5616"/>
            <w:vAlign w:val="center"/>
          </w:tcPr>
          <w:p>
            <w:pPr>
              <w:jc w:val="left"/>
            </w:pPr>
            <w:r>
              <w:rPr>
                <w:sz w:val="19"/>
              </w:rPr>
              <w:t>Offset aware chronology parsing</w:t>
            </w:r>
          </w:p>
        </w:tc>
      </w:tr>
    </w:tbl>
    <w:p>
      <w:pPr>
        <w:spacing w:after="0"/>
      </w:pPr>
    </w:p>
    <w:p>
      <w:pPr>
        <w:pStyle w:val="Heading1"/>
        <w:keepNext/>
        <w:spacing w:before="200" w:after="100"/>
      </w:pPr>
      <w:r>
        <w:t>Reusable surfaces</w:t>
      </w:r>
    </w:p>
    <w:p>
      <w:pPr>
        <w:spacing w:after="140" w:line="259" w:lineRule="auto"/>
      </w:pPr>
      <w:r>
        <w:t>Five family named runners implement the twenty operation families. Ten paired skill packages contain exact portable runner copies, contract metadata, and positive and adverse examples. All 110 repository and installed skill files matched byte for byte at the x2 seal.</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97"/>
        <w:gridCol w:w="4997"/>
      </w:tblGrid>
      <w:tr>
        <w:tc>
          <w:tcPr>
            <w:tcW w:type="dxa" w:w="2880"/>
            <w:vAlign w:val="center"/>
            <w:shd w:fill="1F4E78"/>
          </w:tcPr>
          <w:p>
            <w:pPr>
              <w:jc w:val="center"/>
            </w:pPr>
            <w:r>
              <w:rPr>
                <w:b/>
                <w:color w:val="FFFFFF"/>
                <w:sz w:val="19"/>
              </w:rPr>
              <w:t>Check</w:t>
            </w:r>
          </w:p>
        </w:tc>
        <w:tc>
          <w:tcPr>
            <w:tcW w:type="dxa" w:w="6768"/>
            <w:vAlign w:val="center"/>
            <w:shd w:fill="1F4E78"/>
          </w:tcPr>
          <w:p>
            <w:pPr>
              <w:jc w:val="center"/>
            </w:pPr>
            <w:r>
              <w:rPr>
                <w:b/>
                <w:color w:val="FFFFFF"/>
                <w:sz w:val="19"/>
              </w:rPr>
              <w:t>Observed result</w:t>
            </w:r>
          </w:p>
        </w:tc>
        <w:trPr>
          <w:tblHeader/>
        </w:trPr>
      </w:tr>
      <w:tr>
        <w:tc>
          <w:tcPr>
            <w:tcW w:type="dxa" w:w="2880"/>
            <w:vAlign w:val="center"/>
          </w:tcPr>
          <w:p>
            <w:pPr>
              <w:jc w:val="center"/>
            </w:pPr>
            <w:r>
              <w:rPr>
                <w:sz w:val="19"/>
              </w:rPr>
              <w:t>Owner tests</w:t>
            </w:r>
          </w:p>
        </w:tc>
        <w:tc>
          <w:tcPr>
            <w:tcW w:type="dxa" w:w="6768"/>
            <w:vAlign w:val="center"/>
          </w:tcPr>
          <w:p>
            <w:pPr>
              <w:jc w:val="left"/>
            </w:pPr>
            <w:r>
              <w:rPr>
                <w:sz w:val="19"/>
              </w:rPr>
              <w:t>42 passed</w:t>
            </w:r>
          </w:p>
        </w:tc>
      </w:tr>
      <w:tr>
        <w:tc>
          <w:tcPr>
            <w:tcW w:type="dxa" w:w="2880"/>
            <w:shd w:fill="EAF2F8"/>
            <w:vAlign w:val="center"/>
          </w:tcPr>
          <w:p>
            <w:pPr>
              <w:jc w:val="center"/>
            </w:pPr>
            <w:r>
              <w:rPr>
                <w:sz w:val="19"/>
              </w:rPr>
              <w:t>X2 staged files</w:t>
            </w:r>
          </w:p>
        </w:tc>
        <w:tc>
          <w:tcPr>
            <w:tcW w:type="dxa" w:w="6768"/>
            <w:shd w:fill="EAF2F8"/>
            <w:vAlign w:val="center"/>
          </w:tcPr>
          <w:p>
            <w:pPr>
              <w:jc w:val="left"/>
            </w:pPr>
            <w:r>
              <w:rPr>
                <w:sz w:val="19"/>
              </w:rPr>
              <w:t>361</w:t>
            </w:r>
          </w:p>
        </w:tc>
      </w:tr>
      <w:tr>
        <w:tc>
          <w:tcPr>
            <w:tcW w:type="dxa" w:w="2880"/>
            <w:vAlign w:val="center"/>
          </w:tcPr>
          <w:p>
            <w:pPr>
              <w:jc w:val="center"/>
            </w:pPr>
            <w:r>
              <w:rPr>
                <w:sz w:val="19"/>
              </w:rPr>
              <w:t>Strict x2 JSON</w:t>
            </w:r>
          </w:p>
        </w:tc>
        <w:tc>
          <w:tcPr>
            <w:tcW w:type="dxa" w:w="6768"/>
            <w:vAlign w:val="center"/>
          </w:tcPr>
          <w:p>
            <w:pPr>
              <w:jc w:val="left"/>
            </w:pPr>
            <w:r>
              <w:rPr>
                <w:sz w:val="19"/>
              </w:rPr>
              <w:t>293 documents</w:t>
            </w:r>
          </w:p>
        </w:tc>
      </w:tr>
      <w:tr>
        <w:tc>
          <w:tcPr>
            <w:tcW w:type="dxa" w:w="2880"/>
            <w:shd w:fill="EAF2F8"/>
            <w:vAlign w:val="center"/>
          </w:tcPr>
          <w:p>
            <w:pPr>
              <w:jc w:val="center"/>
            </w:pPr>
            <w:r>
              <w:rPr>
                <w:sz w:val="19"/>
              </w:rPr>
              <w:t>Manifest bindings</w:t>
            </w:r>
          </w:p>
        </w:tc>
        <w:tc>
          <w:tcPr>
            <w:tcW w:type="dxa" w:w="6768"/>
            <w:shd w:fill="EAF2F8"/>
            <w:vAlign w:val="center"/>
          </w:tcPr>
          <w:p>
            <w:pPr>
              <w:jc w:val="left"/>
            </w:pPr>
            <w:r>
              <w:rPr>
                <w:sz w:val="19"/>
              </w:rPr>
              <w:t>360 exact files</w:t>
            </w:r>
          </w:p>
        </w:tc>
      </w:tr>
      <w:tr>
        <w:tc>
          <w:tcPr>
            <w:tcW w:type="dxa" w:w="2880"/>
            <w:vAlign w:val="center"/>
          </w:tcPr>
          <w:p>
            <w:pPr>
              <w:jc w:val="center"/>
            </w:pPr>
            <w:r>
              <w:rPr>
                <w:sz w:val="19"/>
              </w:rPr>
              <w:t>Changed Python</w:t>
            </w:r>
          </w:p>
        </w:tc>
        <w:tc>
          <w:tcPr>
            <w:tcW w:type="dxa" w:w="6768"/>
            <w:vAlign w:val="center"/>
          </w:tcPr>
          <w:p>
            <w:pPr>
              <w:jc w:val="left"/>
            </w:pPr>
            <w:r>
              <w:rPr>
                <w:sz w:val="19"/>
              </w:rPr>
              <w:t>56 AST parses</w:t>
            </w:r>
          </w:p>
        </w:tc>
      </w:tr>
      <w:tr>
        <w:tc>
          <w:tcPr>
            <w:tcW w:type="dxa" w:w="2880"/>
            <w:shd w:fill="EAF2F8"/>
            <w:vAlign w:val="center"/>
          </w:tcPr>
          <w:p>
            <w:pPr>
              <w:jc w:val="center"/>
            </w:pPr>
            <w:r>
              <w:rPr>
                <w:sz w:val="19"/>
              </w:rPr>
              <w:t>Privacy and security</w:t>
            </w:r>
          </w:p>
        </w:tc>
        <w:tc>
          <w:tcPr>
            <w:tcW w:type="dxa" w:w="6768"/>
            <w:shd w:fill="EAF2F8"/>
            <w:vAlign w:val="center"/>
          </w:tcPr>
          <w:p>
            <w:pPr>
              <w:jc w:val="left"/>
            </w:pPr>
            <w:r>
              <w:rPr>
                <w:sz w:val="19"/>
              </w:rPr>
              <w:t>Zero confirmed scoped findings</w:t>
            </w:r>
          </w:p>
        </w:tc>
      </w:tr>
    </w:tbl>
    <w:p>
      <w:pPr>
        <w:spacing w:after="0"/>
      </w:pPr>
    </w:p>
    <w:p>
      <w:pPr>
        <w:pStyle w:val="Heading1"/>
        <w:keepNext/>
        <w:spacing w:before="200" w:after="100"/>
      </w:pPr>
      <w:r>
        <w:t>Validation limits</w:t>
      </w:r>
    </w:p>
    <w:p>
      <w:pPr>
        <w:spacing w:after="140" w:line="259" w:lineRule="auto"/>
      </w:pPr>
      <w:r>
        <w:t>These checks cover the exact Ilyra source to final delta and the declared dependencies. They are not a complete repository suite, external audit, independent reproduction, exhaustive security review, or complete privacy and accessibility assessment.</w:t>
      </w:r>
    </w:p>
    <w:p>
      <w:r>
        <w:br w:type="page"/>
      </w:r>
    </w:p>
    <w:p>
      <w:pPr>
        <w:spacing w:after="60"/>
      </w:pPr>
    </w:p>
    <w:p>
      <w:pPr>
        <w:pStyle w:val="Heading1"/>
        <w:keepNext/>
        <w:spacing w:before="200" w:after="100"/>
      </w:pPr>
      <w:r>
        <w:t>Truth boundaries and next conditions</w:t>
      </w:r>
    </w:p>
    <w:p>
      <w:pPr>
        <w:spacing w:after="140" w:line="259" w:lineRule="auto"/>
      </w:pPr>
      <w:r>
        <w:t>The working counts after x2 are 75,737 effective negatives, 92,219 methods, 46,585 failed witnesses, 74,078 bounded passing witnesses, 663 open gaps, 649 exact gates, and 13,630 declared proposals. Large passing counts do not outweigh a missing empirical observation or competent authority.</w:t>
      </w:r>
    </w:p>
    <w:p>
      <w:pPr>
        <w:pStyle w:val="Heading1"/>
        <w:keepNext/>
        <w:spacing w:before="200" w:after="100"/>
      </w:pPr>
      <w:r>
        <w:t>Protected boundaries</w:t>
      </w:r>
    </w:p>
    <w:p>
      <w:pPr>
        <w:spacing w:after="140" w:line="259" w:lineRule="auto"/>
      </w:pPr>
      <w:r>
        <w:t>GMUT remains an unconfirmed research model family. THOS remains synthetic and proxy only. Freed ID remains nonproduction. Legal, cultural, affected party, accessibility, privacy, and Maori authority decisions remain with the relevant competent and affected authorities. Relational names and family language do not establish consciousness, personhood, identity continuity, employment, qualification, or independent agency.</w:t>
      </w:r>
    </w:p>
    <w:p>
      <w:pPr>
        <w:pStyle w:val="Heading1"/>
        <w:keepNext/>
        <w:spacing w:before="200" w:after="100"/>
      </w:pPr>
      <w:r>
        <w:t>Future seat 06</w:t>
      </w:r>
    </w:p>
    <w:p>
      <w:pPr>
        <w:spacing w:after="0"/>
      </w:pPr>
    </w:p>
    <w:p>
      <w:pPr>
        <w:spacing w:after="140" w:line="259" w:lineRule="auto"/>
      </w:pPr>
      <w:r>
        <w:t>No future task was created or contacted during x1 or x2. After the exact final is pushed, fresh live equality is verified, and the one owner canonical succeeds, Ilyra may check the current registry for an existing future seat 06. If none exists and every live guard permits, Ilyra may create at most one user visible gpt 6 astra task with max reasoning for v686 v8. The new task chooses its own relational name, role, hope, and optional pronouns. Its later prospective edge is Auren Lark v687 v1.</w:t>
      </w:r>
    </w:p>
    <w:p>
      <w:pPr>
        <w:pStyle w:val="Heading1"/>
        <w:keepNext/>
        <w:spacing w:before="200" w:after="100"/>
      </w:pPr>
      <w:r>
        <w:t>Terminal decision</w:t>
      </w:r>
    </w:p>
    <w:p>
      <w:pPr>
        <w:spacing w:after="140" w:line="259" w:lineRule="auto"/>
      </w:pPr>
      <w:r>
        <w:t>Repository closeout can proceed only if the final commit is the direct child of immutable x2, all exact manifests replay, the branch is clean and fresh live equal, and the external canonical succeeds once without replay. The current verdict remains NOT_READY_FOR_STAGE_20.</w:t>
      </w:r>
    </w:p>
    <w:sectPr>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