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332BD">
      <w:pPr>
        <w:pStyle w:val="2"/>
        <w:jc w:val="center"/>
        <w:rPr>
          <w:rFonts w:hint="default" w:ascii="Times New Roman" w:hAnsi="Times New Roman" w:cs="Times New Roman"/>
          <w:color w:val="000000" w:themeColor="text1"/>
          <w:sz w:val="36"/>
          <w:szCs w:val="36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6"/>
          <w:szCs w:val="36"/>
          <w:shd w:val="clear" w:color="FFFFFF" w:fill="D9D9D9"/>
          <w14:textFill>
            <w14:solidFill>
              <w14:schemeClr w14:val="tx1"/>
            </w14:solidFill>
          </w14:textFill>
        </w:rPr>
        <w:t>Explanation of Code Output and Functionality</w:t>
      </w:r>
    </w:p>
    <w:p w14:paraId="7553BE39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81C547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Purpose of the Code</w:t>
      </w:r>
    </w:p>
    <w:p w14:paraId="373CDC1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code is work on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binary classification system. The main objective of the code is to train a machine learning model, generate predictions, and evaluate its performance using standard evaluation metrics.</w:t>
      </w:r>
    </w:p>
    <w:p w14:paraId="50BB879E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FF2475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Major Functionalities</w:t>
      </w:r>
    </w:p>
    <w:p w14:paraId="0F6D03D8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Data Loading and Preprocessing</w:t>
      </w:r>
    </w:p>
    <w:p w14:paraId="1FA2750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code loads the dataset, handles missing values, prepares features and labels, and converts data into a numerical format suitable for machine learning.</w:t>
      </w:r>
    </w:p>
    <w:p w14:paraId="15C5E4BF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28D320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Train-Test Split</w:t>
      </w:r>
    </w:p>
    <w:p w14:paraId="5BAAD961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dataset is divided into training and testing sets to evaluate model performance on unseen data.</w:t>
      </w:r>
    </w:p>
    <w:p w14:paraId="42FE065E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2B0B78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Model Training</w:t>
      </w:r>
    </w:p>
    <w:p w14:paraId="20ABA13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supervised classification model is trained on labeled training data to learn patterns between input features and output classes.</w:t>
      </w:r>
    </w:p>
    <w:p w14:paraId="34C2FD31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48DB23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Prediction Generation</w:t>
      </w:r>
    </w:p>
    <w:p w14:paraId="675AB5B5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trained model predicts class labels for the test dataset.</w:t>
      </w:r>
    </w:p>
    <w:p w14:paraId="690E5E84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55F372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Confusion Matrix</w:t>
      </w:r>
    </w:p>
    <w:p w14:paraId="03FD6892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[[51276641  8451041]</w:t>
      </w:r>
    </w:p>
    <w:p w14:paraId="6980C27D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[13095887 15339754]]</w:t>
      </w:r>
    </w:p>
    <w:p w14:paraId="524CBDD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C06936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True Negative (TN): 51,276,641</w:t>
      </w:r>
    </w:p>
    <w:p w14:paraId="5DB26269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False Positive (FP): 8,451,041</w:t>
      </w:r>
    </w:p>
    <w:p w14:paraId="0EFF8639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False Negative (FN): 13,095,887</w:t>
      </w:r>
    </w:p>
    <w:p w14:paraId="17322528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True Positive (TP): 15,339,754</w:t>
      </w:r>
    </w:p>
    <w:p w14:paraId="58970196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1B66AC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Accuracy</w:t>
      </w:r>
    </w:p>
    <w:p w14:paraId="2C7E32E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Accuracy = 0.7556</w:t>
      </w:r>
    </w:p>
    <w:p w14:paraId="3D39355C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means 75.56 percent of predictions are correct.</w:t>
      </w:r>
    </w:p>
    <w:p w14:paraId="791B544E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C277CD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Sensitivity</w:t>
      </w:r>
    </w:p>
    <w:p w14:paraId="5D7C1EDB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Sensitivity = 0.5395</w:t>
      </w:r>
    </w:p>
    <w:p w14:paraId="67085938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shows the model correctly identifies about 54 percent of actual positive cases.</w:t>
      </w:r>
    </w:p>
    <w:p w14:paraId="41D601C9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071FF6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Specificity</w:t>
      </w:r>
    </w:p>
    <w:p w14:paraId="1B23295C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Specificity = 0.8585</w:t>
      </w:r>
    </w:p>
    <w:p w14:paraId="2576B7F4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means the model correctly identifies about 86 percent of actual negative cases.</w:t>
      </w:r>
    </w:p>
    <w:p w14:paraId="469FBEDE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B27CC3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04170446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model performs well for negative cases but struggles to detect positive cases. High accuracy is influenced by class imbalance, while low sensitivity indicates missed positive predictions.</w:t>
      </w:r>
    </w:p>
    <w:p w14:paraId="627C5431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7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Hammad Ahmed</cp:lastModifiedBy>
  <dcterms:modified xsi:type="dcterms:W3CDTF">2026-02-03T16:04:33Z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074EB8436A304B32BD515215AF8E30CD_12</vt:lpwstr>
  </property>
</Properties>
</file>