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jc w:val="center"/>
      </w:pPr>
      <w:r>
        <w:rPr>
          <w:rFonts w:ascii="Calibri" w:hAnsi="Calibri"/>
          <w:b/>
          <w:color w:val="EA580C"/>
          <w:sz w:val="44"/>
        </w:rPr>
        <w:t>PROJECT DELIVERY INVOICE</w:t>
      </w:r>
    </w:p>
    <w:p>
      <w:pPr>
        <w:spacing w:after="360"/>
      </w:pPr>
      <w:r>
        <w:rPr>
          <w:b/>
          <w:sz w:val="21"/>
        </w:rPr>
        <w:t xml:space="preserve">CLIENT: </w:t>
      </w:r>
      <w:r>
        <w:rPr>
          <w:sz w:val="21"/>
        </w:rPr>
        <w:t>Zaiqah Mahal Restaurant, Hasilpur, Pakistan</w:t>
        <w:br/>
      </w:r>
      <w:r>
        <w:rPr>
          <w:b/>
          <w:sz w:val="21"/>
        </w:rPr>
        <w:t xml:space="preserve">PROJECT: </w:t>
      </w:r>
      <w:r>
        <w:rPr>
          <w:sz w:val="21"/>
        </w:rPr>
        <w:t>Zaiqah POS – Complete Restaurant Management System</w:t>
        <w:br/>
      </w:r>
      <w:r>
        <w:rPr>
          <w:b/>
          <w:sz w:val="21"/>
        </w:rPr>
        <w:t xml:space="preserve">DATE: </w:t>
      </w:r>
      <w:r>
        <w:rPr>
          <w:sz w:val="21"/>
        </w:rPr>
        <w:t>June 2025</w:t>
      </w:r>
    </w:p>
    <w:p>
      <w:pPr>
        <w:pStyle w:val="Heading1"/>
        <w:spacing w:before="360" w:after="120"/>
      </w:pPr>
      <w:r>
        <w:rPr>
          <w:color w:val="0F172A"/>
          <w:sz w:val="28"/>
        </w:rPr>
        <w:t>1. WHAT WAS DELIVERED</w:t>
      </w:r>
    </w:p>
    <w:p>
      <w:pPr>
        <w:spacing w:after="80"/>
      </w:pPr>
      <w:r>
        <w:rPr>
          <w:b/>
          <w:color w:val="EA580C"/>
          <w:sz w:val="22"/>
        </w:rPr>
        <w:t>1.1 Web POS Application</w:t>
        <w:br/>
      </w:r>
    </w:p>
    <w:p>
      <w:pPr>
        <w:pStyle w:val="ListBullet"/>
        <w:spacing w:after="60"/>
      </w:pPr>
      <w:r>
        <w:rPr>
          <w:sz w:val="20"/>
        </w:rPr>
        <w:t>Live interactive floor map with dine-in table management</w:t>
      </w:r>
    </w:p>
    <w:p>
      <w:pPr>
        <w:pStyle w:val="ListBullet"/>
        <w:spacing w:after="60"/>
      </w:pPr>
      <w:r>
        <w:rPr>
          <w:sz w:val="20"/>
        </w:rPr>
        <w:t>Order creation workflows for dine-in, delivery, and takeaway sales</w:t>
      </w:r>
    </w:p>
    <w:p>
      <w:pPr>
        <w:pStyle w:val="ListBullet"/>
        <w:spacing w:after="60"/>
      </w:pPr>
      <w:r>
        <w:rPr>
          <w:sz w:val="20"/>
        </w:rPr>
        <w:t>Thermal receipt printing with GST format alignment</w:t>
      </w:r>
    </w:p>
    <w:p>
      <w:pPr>
        <w:pStyle w:val="ListBullet"/>
        <w:spacing w:after="60"/>
      </w:pPr>
      <w:r>
        <w:rPr>
          <w:sz w:val="20"/>
        </w:rPr>
        <w:t>Delivery queue tracking and rider assignment modules</w:t>
      </w:r>
    </w:p>
    <w:p>
      <w:pPr>
        <w:pStyle w:val="ListBullet"/>
        <w:spacing w:after="60"/>
      </w:pPr>
      <w:r>
        <w:rPr>
          <w:sz w:val="20"/>
        </w:rPr>
        <w:t>Inventory &amp; stock management with BOM recipe auto-deductions</w:t>
      </w:r>
    </w:p>
    <w:p>
      <w:pPr>
        <w:pStyle w:val="ListBullet"/>
        <w:spacing w:after="60"/>
      </w:pPr>
      <w:r>
        <w:rPr>
          <w:sz w:val="20"/>
        </w:rPr>
        <w:t>Customer Khata (credit ledger) and supplier balance sheets</w:t>
      </w:r>
    </w:p>
    <w:p>
      <w:pPr>
        <w:pStyle w:val="ListBullet"/>
        <w:spacing w:after="60"/>
      </w:pPr>
      <w:r>
        <w:rPr>
          <w:sz w:val="20"/>
        </w:rPr>
        <w:t>Sales reports, GST tax export console (CSV/PDF), and admin dashboard</w:t>
      </w:r>
    </w:p>
    <w:p>
      <w:pPr>
        <w:spacing w:before="160" w:after="80"/>
      </w:pPr>
      <w:r>
        <w:rPr>
          <w:b/>
          <w:color w:val="EA580C"/>
          <w:sz w:val="22"/>
        </w:rPr>
        <w:t>1.2 Desktop Application (Electron Wrapper)</w:t>
        <w:br/>
      </w:r>
    </w:p>
    <w:p>
      <w:pPr>
        <w:pStyle w:val="ListBullet"/>
        <w:spacing w:after="60"/>
      </w:pPr>
      <w:r>
        <w:rPr>
          <w:sz w:val="20"/>
        </w:rPr>
        <w:t>The Web POS is packaged as a standalone Windows desktop app — it installs like a normal application on the restaurant PC and operates offline inside the local network.</w:t>
      </w:r>
    </w:p>
    <w:p>
      <w:pPr>
        <w:spacing w:before="160" w:after="80"/>
      </w:pPr>
      <w:r>
        <w:rPr>
          <w:b/>
          <w:color w:val="EA580C"/>
          <w:sz w:val="22"/>
        </w:rPr>
        <w:t>1.3 Mobile Application (Android - Multi-Role Dashboard)</w:t>
        <w:br/>
      </w:r>
    </w:p>
    <w:p>
      <w:pPr>
        <w:pStyle w:val="ListBullet"/>
        <w:spacing w:after="60"/>
      </w:pPr>
      <w:r>
        <w:rPr>
          <w:sz w:val="20"/>
        </w:rPr>
        <w:t>Waiter Workspace: Dining area selector, menu ordering, active ticket editor, and bill request trigger.</w:t>
      </w:r>
    </w:p>
    <w:p>
      <w:pPr>
        <w:pStyle w:val="ListBullet"/>
        <w:spacing w:after="60"/>
      </w:pPr>
      <w:r>
        <w:rPr>
          <w:sz w:val="20"/>
        </w:rPr>
        <w:t>Kitchen Display System (KDS): Live prep queue, item preparation checkmarks, and 1-minute correction lock on new tickets.</w:t>
      </w:r>
    </w:p>
    <w:p>
      <w:pPr>
        <w:pStyle w:val="ListBullet"/>
        <w:spacing w:after="60"/>
      </w:pPr>
      <w:r>
        <w:rPr>
          <w:sz w:val="20"/>
        </w:rPr>
        <w:t>Rider App: Delivery queue details, delivery status update controls (Out for Delivery/Delivered), customer call &amp; navigation links.</w:t>
      </w:r>
    </w:p>
    <w:p>
      <w:pPr>
        <w:pStyle w:val="ListBullet"/>
        <w:spacing w:after="60"/>
      </w:pPr>
      <w:r>
        <w:rPr>
          <w:sz w:val="20"/>
        </w:rPr>
        <w:t>Admin App: Business statistics dashboard, live table occupancy map, stock level audit, and expenses panel.</w:t>
      </w:r>
    </w:p>
    <w:p>
      <w:pPr>
        <w:pStyle w:val="Heading1"/>
        <w:spacing w:before="400" w:after="200"/>
      </w:pPr>
      <w:r>
        <w:rPr>
          <w:color w:val="0F172A"/>
          <w:sz w:val="28"/>
        </w:rPr>
        <w:t>2. PRICING BREAKDOWN</w:t>
      </w:r>
    </w:p>
    <w:tbl>
      <w:tblPr>
        <w:tblStyle w:val="LightShading-Accent1"/>
        <w:tblW w:type="auto" w:w="0"/>
        <w:tblLook w:firstColumn="1" w:firstRow="1" w:lastColumn="0" w:lastRow="0" w:noHBand="0" w:noVBand="1" w:val="04A0"/>
      </w:tblPr>
      <w:tblGrid>
        <w:gridCol w:w="3312"/>
        <w:gridCol w:w="3312"/>
        <w:gridCol w:w="3312"/>
      </w:tblGrid>
      <w:tr>
        <w:tc>
          <w:tcPr>
            <w:tcW w:type="dxa" w:w="3312"/>
            <w:shd w:val="clear" w:color="auto" w:fill="0F172A"/>
          </w:tcPr>
          <w:p>
            <w:pPr>
              <w:jc w:val="left"/>
            </w:pPr>
            <w:r>
              <w:rPr>
                <w:b/>
                <w:color w:val="FFFFFF"/>
              </w:rPr>
              <w:t>Module Description</w:t>
            </w:r>
          </w:p>
        </w:tc>
        <w:tc>
          <w:tcPr>
            <w:tcW w:type="dxa" w:w="3312"/>
            <w:shd w:val="clear" w:color="auto" w:fill="0F172A"/>
          </w:tcPr>
          <w:p>
            <w:pPr>
              <w:jc w:val="center"/>
            </w:pPr>
            <w:r>
              <w:rPr>
                <w:b/>
                <w:color w:val="FFFFFF"/>
              </w:rPr>
              <w:t>Market Price</w:t>
            </w:r>
          </w:p>
        </w:tc>
        <w:tc>
          <w:tcPr>
            <w:tcW w:type="dxa" w:w="3312"/>
            <w:shd w:val="clear" w:color="auto" w:fill="0F172A"/>
          </w:tcPr>
          <w:p>
            <w:pPr>
              <w:jc w:val="center"/>
            </w:pPr>
            <w:r>
              <w:rPr>
                <w:b/>
                <w:color w:val="FFFFFF"/>
              </w:rPr>
              <w:t>Charged Price</w:t>
            </w:r>
          </w:p>
        </w:tc>
      </w:tr>
      <w:tr>
        <w:tc>
          <w:tcPr>
            <w:tcW w:type="dxa" w:w="3312"/>
          </w:tcPr>
          <w:p>
            <w:pPr>
              <w:jc w:val="left"/>
            </w:pPr>
            <w:r>
              <w:t>Web POS Application (Dine-in, Ledgers, Reports)</w:t>
            </w:r>
          </w:p>
        </w:tc>
        <w:tc>
          <w:tcPr>
            <w:tcW w:type="dxa" w:w="3312"/>
          </w:tcPr>
          <w:p>
            <w:pPr>
              <w:jc w:val="center"/>
            </w:pPr>
            <w:r>
              <w:t>PKR 120,000</w:t>
            </w:r>
          </w:p>
        </w:tc>
        <w:tc>
          <w:tcPr>
            <w:tcW w:type="dxa" w:w="3312"/>
          </w:tcPr>
          <w:p>
            <w:pPr>
              <w:jc w:val="center"/>
            </w:pPr>
            <w:r>
              <w:t>PKR 35,000</w:t>
            </w:r>
          </w:p>
        </w:tc>
      </w:tr>
      <w:tr>
        <w:tc>
          <w:tcPr>
            <w:tcW w:type="dxa" w:w="3312"/>
          </w:tcPr>
          <w:p>
            <w:pPr>
              <w:jc w:val="left"/>
            </w:pPr>
            <w:r>
              <w:t>Desktop Application Wrapper (Electron Offline)</w:t>
            </w:r>
          </w:p>
        </w:tc>
        <w:tc>
          <w:tcPr>
            <w:tcW w:type="dxa" w:w="3312"/>
          </w:tcPr>
          <w:p>
            <w:pPr>
              <w:jc w:val="center"/>
            </w:pPr>
            <w:r>
              <w:t>PKR 80,000</w:t>
            </w:r>
          </w:p>
        </w:tc>
        <w:tc>
          <w:tcPr>
            <w:tcW w:type="dxa" w:w="3312"/>
          </w:tcPr>
          <w:p>
            <w:pPr>
              <w:jc w:val="center"/>
            </w:pPr>
            <w:r>
              <w:t>PKR 20,000</w:t>
            </w:r>
          </w:p>
        </w:tc>
      </w:tr>
      <w:tr>
        <w:tc>
          <w:tcPr>
            <w:tcW w:type="dxa" w:w="3312"/>
          </w:tcPr>
          <w:p>
            <w:pPr>
              <w:jc w:val="left"/>
            </w:pPr>
            <w:r>
              <w:t>Mobile Application (Multi-role: Waiter, Kitchen, Rider, Admin)</w:t>
            </w:r>
          </w:p>
        </w:tc>
        <w:tc>
          <w:tcPr>
            <w:tcW w:type="dxa" w:w="3312"/>
          </w:tcPr>
          <w:p>
            <w:pPr>
              <w:jc w:val="center"/>
            </w:pPr>
            <w:r>
              <w:t>PKR 180,000</w:t>
            </w:r>
          </w:p>
        </w:tc>
        <w:tc>
          <w:tcPr>
            <w:tcW w:type="dxa" w:w="3312"/>
          </w:tcPr>
          <w:p>
            <w:pPr>
              <w:jc w:val="center"/>
            </w:pPr>
            <w:r>
              <w:t>PKR 55,000</w:t>
            </w:r>
          </w:p>
        </w:tc>
      </w:tr>
      <w:tr>
        <w:tc>
          <w:tcPr>
            <w:tcW w:type="dxa" w:w="3312"/>
            <w:shd w:val="clear" w:color="auto" w:fill="F1F5F9"/>
          </w:tcPr>
          <w:p>
            <w:r>
              <w:rPr>
                <w:b/>
              </w:rPr>
              <w:t>TOTAL AMOUNT DUE</w:t>
            </w:r>
          </w:p>
        </w:tc>
        <w:tc>
          <w:tcPr>
            <w:tcW w:type="dxa" w:w="3312"/>
            <w:shd w:val="clear" w:color="auto" w:fill="F1F5F9"/>
          </w:tcPr>
          <w:p>
            <w:pPr>
              <w:jc w:val="center"/>
            </w:pPr>
            <w:r>
              <w:rPr>
                <w:b/>
              </w:rPr>
              <w:t>PKR 380,000</w:t>
            </w:r>
          </w:p>
        </w:tc>
        <w:tc>
          <w:tcPr>
            <w:tcW w:type="dxa" w:w="3312"/>
            <w:shd w:val="clear" w:color="auto" w:fill="FFE5D9"/>
          </w:tcPr>
          <w:p>
            <w:pPr>
              <w:jc w:val="center"/>
            </w:pPr>
            <w:r>
              <w:rPr>
                <w:b/>
              </w:rPr>
              <w:t>PKR 110,000</w:t>
            </w:r>
          </w:p>
        </w:tc>
      </w:tr>
    </w:tbl>
    <w:p>
      <w:pPr>
        <w:spacing w:before="200"/>
      </w:pPr>
      <w:r>
        <w:rPr>
          <w:b/>
          <w:i/>
          <w:color w:val="16A34A"/>
          <w:sz w:val="19"/>
        </w:rPr>
        <w:t>Special Discount Applied: PKR 270,000 (71% Off value saving as a special client)</w:t>
      </w:r>
    </w:p>
    <w:p>
      <w:pPr>
        <w:pStyle w:val="Heading1"/>
        <w:spacing w:before="400" w:after="120"/>
      </w:pPr>
      <w:r>
        <w:rPr>
          <w:color w:val="0F172A"/>
          <w:sz w:val="28"/>
        </w:rPr>
        <w:t>3. COMPLIMENTARY VALUE-ADDS (NO CHARGE)</w:t>
      </w:r>
    </w:p>
    <w:p>
      <w:pPr>
        <w:pStyle w:val="ListBullet"/>
        <w:spacing w:after="60"/>
      </w:pPr>
      <w:r>
        <w:rPr>
          <w:sz w:val="20"/>
        </w:rPr>
        <w:t>Supabase Cloud Syncing: Real-time cloud database backup for reports and analytics. Free tier covered, zero monthly costs.</w:t>
      </w:r>
    </w:p>
    <w:p>
      <w:pPr>
        <w:pStyle w:val="ListBullet"/>
        <w:spacing w:after="60"/>
      </w:pPr>
      <w:r>
        <w:rPr>
          <w:sz w:val="20"/>
        </w:rPr>
        <w:t>Firebase Messaging (FCM): Cloud push alerts connecting Waiters, Riders, and Kitchen terminals. Completely free tier.</w:t>
      </w:r>
    </w:p>
    <w:p>
      <w:pPr>
        <w:pStyle w:val="ListBullet"/>
        <w:spacing w:after="60"/>
      </w:pPr>
      <w:r>
        <w:rPr>
          <w:sz w:val="20"/>
        </w:rPr>
        <w:t>WebSocket Engine: Live table occupancy map synchronization across all devices instantly.</w:t>
      </w:r>
    </w:p>
    <w:p>
      <w:pPr>
        <w:pStyle w:val="ListBullet"/>
        <w:spacing w:after="60"/>
      </w:pPr>
      <w:r>
        <w:rPr>
          <w:sz w:val="20"/>
        </w:rPr>
        <w:t>3 Months Support Warranty: Complete bugs, issues, and server troubleshooting support covered at no extra charge.</w:t>
      </w:r>
    </w:p>
    <w:p>
      <w:pPr>
        <w:pStyle w:val="Heading1"/>
        <w:spacing w:before="320" w:after="120"/>
      </w:pPr>
      <w:r>
        <w:rPr>
          <w:color w:val="0F172A"/>
          <w:sz w:val="28"/>
        </w:rPr>
        <w:t>4. FUTURE SUPPORT &amp; MAINTENANCE TERMS</w:t>
      </w:r>
    </w:p>
    <w:p>
      <w:pPr>
        <w:spacing w:after="320"/>
      </w:pPr>
      <w:r>
        <w:rPr>
          <w:sz w:val="20"/>
        </w:rPr>
        <w:t>After the 3-month free warranty support period, any scope changes, feature additions, or UI updates will be billed separately. Optional ongoing technical support and server maintenance contracts are available starting from PKR 15,000 – 25,000 per month depending on support response hours.</w:t>
      </w:r>
    </w:p>
    <w:p>
      <w:pPr>
        <w:spacing w:before="560"/>
      </w:pPr>
      <w:r>
        <w:rPr>
          <w:sz w:val="21"/>
        </w:rPr>
        <w:t>Prepared by:</w:t>
        <w:br/>
      </w:r>
      <w:r>
        <w:rPr>
          <w:b/>
          <w:sz w:val="22"/>
        </w:rPr>
        <w:t>Hammad Aslam</w:t>
        <w:br/>
      </w:r>
      <w:r>
        <w:rPr>
          <w:color w:val="64748B"/>
          <w:sz w:val="20"/>
        </w:rPr>
        <w:t>Software Engineer  |  Asper InfoTech (Pvt.) Ltd.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(+92) 302-1655553  |  support@asperinfotech.com  |  www.asperinfotech.com</w:t>
      <w:br/>
    </w:r>
    <w:r>
      <w:rPr>
        <w:rFonts w:ascii="Calibri" w:hAnsi="Calibri"/>
        <w:color w:val="94A3B8"/>
        <w:sz w:val="16"/>
      </w:rPr>
      <w:t>Office 1343, 182-184 High Street North, East Ham, London, United Kingdom, E6 2JA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0F172A"/>
        <w:sz w:val="22"/>
      </w:rPr>
      <w:t>Asper InfoTech (Pvt.) Ltd.</w:t>
      <w:br/>
    </w:r>
    <w:r>
      <w:rPr>
        <w:rFonts w:ascii="Calibri" w:hAnsi="Calibri"/>
        <w:i/>
        <w:color w:val="64748B"/>
        <w:sz w:val="17"/>
      </w:rPr>
      <w:t>Software Company / IT Training School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