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  <w:lang w:val="en-US"/>
        </w:rPr>
      </w:pPr>
      <w:r>
        <w:rPr>
          <w:b/>
          <w:sz w:val="28"/>
          <w:lang w:val="en-US"/>
        </w:rPr>
        <w:t>Appendix – List of Legal, Regulatory, Contractual and Other Requirements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595"/>
        <w:gridCol w:w="1508"/>
        <w:gridCol w:w="1431"/>
        <w:gridCol w:w="1406"/>
        <w:gridCol w:w="14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5" w:type="dxa"/>
            <w:shd w:val="clear" w:color="auto" w:fill="D9D9D9"/>
          </w:tcPr>
          <w:p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Requirement</w:t>
            </w:r>
          </w:p>
        </w:tc>
        <w:tc>
          <w:tcPr>
            <w:tcW w:w="1606" w:type="dxa"/>
            <w:shd w:val="clear" w:color="auto" w:fill="D9D9D9"/>
          </w:tcPr>
          <w:p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Document stipulating the requirement</w:t>
            </w:r>
          </w:p>
        </w:tc>
        <w:tc>
          <w:tcPr>
            <w:tcW w:w="1508" w:type="dxa"/>
            <w:shd w:val="clear" w:color="auto" w:fill="D9D9D9"/>
          </w:tcPr>
          <w:p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Countries where the requirement is applicable</w:t>
            </w:r>
          </w:p>
        </w:tc>
        <w:tc>
          <w:tcPr>
            <w:tcW w:w="1431" w:type="dxa"/>
            <w:shd w:val="clear" w:color="auto" w:fill="D9D9D9"/>
          </w:tcPr>
          <w:p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Person responsible for compliance</w:t>
            </w:r>
          </w:p>
        </w:tc>
        <w:tc>
          <w:tcPr>
            <w:tcW w:w="1406" w:type="dxa"/>
            <w:shd w:val="clear" w:color="auto" w:fill="D9D9D9"/>
          </w:tcPr>
          <w:p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Deadlines</w:t>
            </w:r>
          </w:p>
        </w:tc>
        <w:tc>
          <w:tcPr>
            <w:tcW w:w="1382" w:type="dxa"/>
            <w:shd w:val="clear" w:color="auto" w:fill="D9D9D9"/>
          </w:tcPr>
          <w:p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Interested parties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PCI DSS</w:t>
            </w:r>
          </w:p>
        </w:tc>
        <w:tc>
          <w:tcPr>
            <w:tcW w:w="1606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Bank / Payment Card Standards</w:t>
            </w:r>
          </w:p>
        </w:tc>
        <w:tc>
          <w:tcPr>
            <w:tcW w:w="150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Canada, USA, Saudi Arabia</w:t>
            </w:r>
          </w:p>
        </w:tc>
        <w:tc>
          <w:tcPr>
            <w:tcW w:w="143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CISO / Payment Security Lead</w:t>
            </w:r>
          </w:p>
        </w:tc>
        <w:tc>
          <w:tcPr>
            <w:tcW w:w="1406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2025/12/30</w:t>
            </w:r>
          </w:p>
        </w:tc>
        <w:tc>
          <w:tcPr>
            <w:tcW w:w="1382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Banks, Customers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GDPR</w:t>
            </w:r>
          </w:p>
        </w:tc>
        <w:tc>
          <w:tcPr>
            <w:tcW w:w="1606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EU Regulation</w:t>
            </w:r>
          </w:p>
        </w:tc>
        <w:tc>
          <w:tcPr>
            <w:tcW w:w="1508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EU / Any company processing EU citizens’ data</w:t>
            </w:r>
          </w:p>
        </w:tc>
        <w:tc>
          <w:tcPr>
            <w:tcW w:w="1431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Data Protection Officer</w:t>
            </w:r>
          </w:p>
        </w:tc>
        <w:tc>
          <w:tcPr>
            <w:tcW w:w="1406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Ongoing</w:t>
            </w:r>
          </w:p>
        </w:tc>
        <w:tc>
          <w:tcPr>
            <w:tcW w:w="1382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Customers, Regulators, Supervisory Authorities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5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NIST CSF (Cybersecurity Framework)</w:t>
            </w:r>
          </w:p>
        </w:tc>
        <w:tc>
          <w:tcPr>
            <w:tcW w:w="1606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Voluntary Framework</w:t>
            </w:r>
          </w:p>
        </w:tc>
        <w:tc>
          <w:tcPr>
            <w:tcW w:w="1508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USA (adopted globally)</w:t>
            </w:r>
          </w:p>
        </w:tc>
        <w:tc>
          <w:tcPr>
            <w:tcW w:w="1431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CISO / Risk Manager</w:t>
            </w:r>
          </w:p>
        </w:tc>
        <w:tc>
          <w:tcPr>
            <w:tcW w:w="1406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Ongoing</w:t>
            </w:r>
          </w:p>
        </w:tc>
        <w:tc>
          <w:tcPr>
            <w:tcW w:w="1382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Customers, Regulators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5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ISO/IEC 27032 (Cybersecurity)</w:t>
            </w:r>
          </w:p>
        </w:tc>
        <w:tc>
          <w:tcPr>
            <w:tcW w:w="1606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Cybersecurity management guidelines</w:t>
            </w:r>
          </w:p>
        </w:tc>
        <w:tc>
          <w:tcPr>
            <w:tcW w:w="1508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Global</w:t>
            </w:r>
          </w:p>
        </w:tc>
        <w:tc>
          <w:tcPr>
            <w:tcW w:w="1431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SOC Manager</w:t>
            </w:r>
          </w:p>
        </w:tc>
        <w:tc>
          <w:tcPr>
            <w:tcW w:w="1406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Ongoing</w:t>
            </w:r>
          </w:p>
        </w:tc>
        <w:tc>
          <w:tcPr>
            <w:tcW w:w="1382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Regulators, Customers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5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ISO/IEC 27017 (Cloud Security)</w:t>
            </w:r>
          </w:p>
        </w:tc>
        <w:tc>
          <w:tcPr>
            <w:tcW w:w="1606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Standard for cloud service security</w:t>
            </w:r>
          </w:p>
        </w:tc>
        <w:tc>
          <w:tcPr>
            <w:tcW w:w="150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Global</w:t>
            </w:r>
          </w:p>
        </w:tc>
        <w:tc>
          <w:tcPr>
            <w:tcW w:w="1431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Cloud Security Lead</w:t>
            </w:r>
          </w:p>
        </w:tc>
        <w:tc>
          <w:tcPr>
            <w:tcW w:w="1406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Ongoing</w:t>
            </w:r>
          </w:p>
        </w:tc>
        <w:tc>
          <w:tcPr>
            <w:tcW w:w="1382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Cloud Customers, Partners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5" w:type="dxa"/>
          </w:tcPr>
          <w:p>
            <w:pPr>
              <w:rPr>
                <w:lang w:val="en-US"/>
              </w:rPr>
            </w:pPr>
            <w:r>
              <w:rPr>
                <w:rFonts w:hint="default"/>
              </w:rPr>
              <w:t>ISO/IEC 27018 (PII in Cloud)</w:t>
            </w:r>
          </w:p>
        </w:tc>
        <w:tc>
          <w:tcPr>
            <w:tcW w:w="1606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Standard for protection of PII in public clouds</w:t>
            </w:r>
          </w:p>
        </w:tc>
        <w:tc>
          <w:tcPr>
            <w:tcW w:w="1508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Global</w:t>
            </w:r>
          </w:p>
        </w:tc>
        <w:tc>
          <w:tcPr>
            <w:tcW w:w="1431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Data Protection Officer (DPO)</w:t>
            </w:r>
          </w:p>
        </w:tc>
        <w:tc>
          <w:tcPr>
            <w:tcW w:w="1406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2026/03/30</w:t>
            </w:r>
          </w:p>
        </w:tc>
        <w:tc>
          <w:tcPr>
            <w:tcW w:w="1382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Customers, Regulators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5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ISO/IEC 27001</w:t>
            </w:r>
          </w:p>
        </w:tc>
        <w:tc>
          <w:tcPr>
            <w:tcW w:w="1606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Certification / Audit requirement</w:t>
            </w:r>
          </w:p>
        </w:tc>
        <w:tc>
          <w:tcPr>
            <w:tcW w:w="1508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Global</w:t>
            </w:r>
          </w:p>
        </w:tc>
        <w:tc>
          <w:tcPr>
            <w:tcW w:w="1431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CISO / Compliance Manager</w:t>
            </w:r>
          </w:p>
        </w:tc>
        <w:tc>
          <w:tcPr>
            <w:tcW w:w="1406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Annual Surveillance Audit</w:t>
            </w:r>
          </w:p>
        </w:tc>
        <w:tc>
          <w:tcPr>
            <w:tcW w:w="1382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Customers, Regulators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5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NCA ECC (Essential Cybersecurity Controls)</w:t>
            </w:r>
          </w:p>
        </w:tc>
        <w:tc>
          <w:tcPr>
            <w:tcW w:w="1606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National Cybersecurity Authority</w:t>
            </w:r>
          </w:p>
        </w:tc>
        <w:tc>
          <w:tcPr>
            <w:tcW w:w="1508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Saudi Arabia</w:t>
            </w:r>
          </w:p>
        </w:tc>
        <w:tc>
          <w:tcPr>
            <w:tcW w:w="1431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Information Security Manager</w:t>
            </w:r>
          </w:p>
        </w:tc>
        <w:tc>
          <w:tcPr>
            <w:tcW w:w="1406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Ongoing</w:t>
            </w:r>
            <w:bookmarkStart w:id="0" w:name="_GoBack"/>
            <w:bookmarkEnd w:id="0"/>
          </w:p>
        </w:tc>
        <w:tc>
          <w:tcPr>
            <w:tcW w:w="1382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Government, Customers</w:t>
            </w:r>
          </w:p>
        </w:tc>
      </w:tr>
    </w:tbl>
    <w:p>
      <w:pPr>
        <w:tabs>
          <w:tab w:val="left" w:pos="2280"/>
        </w:tabs>
        <w:rPr>
          <w:lang w:val="en-US"/>
        </w:rPr>
      </w:pPr>
    </w:p>
    <w:sectPr>
      <w:footerReference r:id="rId7" w:type="first"/>
      <w:headerReference r:id="rId5" w:type="default"/>
      <w:footerReference r:id="rId6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322" w:type="dxa"/>
      <w:tblInd w:w="0" w:type="dxa"/>
      <w:tblBorders>
        <w:top w:val="single" w:color="000000" w:sz="4" w:space="0"/>
        <w:left w:val="none" w:color="auto" w:sz="0" w:space="0"/>
        <w:bottom w:val="none" w:color="auto" w:sz="0" w:space="0"/>
        <w:right w:val="none" w:color="auto" w:sz="0" w:space="0"/>
        <w:insideH w:val="single" w:color="000000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52"/>
      <w:gridCol w:w="2410"/>
      <w:gridCol w:w="3260"/>
    </w:tblGrid>
    <w:tr>
      <w:tblPrEx>
        <w:tblBorders>
          <w:top w:val="single" w:color="000000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4" w:space="0"/>
          <w:insideV w:val="none" w:color="auto" w:sz="0" w:space="0"/>
        </w:tblBorders>
      </w:tblPrEx>
      <w:tc>
        <w:tcPr>
          <w:tcW w:w="3652" w:type="dxa"/>
        </w:tcPr>
        <w:p>
          <w:pPr>
            <w:pStyle w:val="11"/>
            <w:rPr>
              <w:sz w:val="18"/>
            </w:rPr>
          </w:pPr>
          <w:r>
            <w:rPr>
              <w:sz w:val="18"/>
            </w:rPr>
            <w:t xml:space="preserve">Appendix – List of Legal, Regulatory, Contractual and Other Requirements </w:t>
          </w:r>
        </w:p>
      </w:tc>
      <w:tc>
        <w:tcPr>
          <w:tcW w:w="2410" w:type="dxa"/>
        </w:tcPr>
        <w:p>
          <w:pPr>
            <w:pStyle w:val="11"/>
            <w:jc w:val="center"/>
            <w:rPr>
              <w:sz w:val="18"/>
              <w:szCs w:val="18"/>
            </w:rPr>
          </w:pPr>
        </w:p>
      </w:tc>
      <w:tc>
        <w:tcPr>
          <w:tcW w:w="3260" w:type="dxa"/>
        </w:tcPr>
        <w:p>
          <w:pPr>
            <w:pStyle w:val="11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>
            <w:rPr>
              <w:b/>
              <w:sz w:val="18"/>
            </w:rP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>
            <w:rPr>
              <w:b/>
              <w:sz w:val="18"/>
            </w:rP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</w:p>
      </w:tc>
    </w:tr>
  </w:tbl>
  <w:p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r>
      <w:fldChar w:fldCharType="begin"/>
    </w:r>
    <w:r>
      <w:instrText xml:space="preserve"> HYPERLINK "http://www.iso27001standard.com" </w:instrText>
    </w:r>
    <w:r>
      <w:fldChar w:fldCharType="separate"/>
    </w:r>
    <w:r>
      <w:rPr>
        <w:rStyle w:val="13"/>
        <w:sz w:val="16"/>
      </w:rPr>
      <w:t>www.iso27001standard.com</w:t>
    </w:r>
    <w:r>
      <w:rPr>
        <w:rStyle w:val="13"/>
        <w:sz w:val="16"/>
      </w:rPr>
      <w:fldChar w:fldCharType="end"/>
    </w:r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0000" w:sz="4" w:space="0"/>
        <w:right w:val="none" w:color="auto" w:sz="0" w:space="0"/>
        <w:insideH w:val="single" w:color="000000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71"/>
      <w:gridCol w:w="2517"/>
    </w:tblGrid>
    <w:tr>
      <w:tblPrEx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</w:tblPrEx>
      <w:tc>
        <w:tcPr>
          <w:tcW w:w="6771" w:type="dxa"/>
        </w:tcPr>
        <w:p>
          <w:pPr>
            <w:pStyle w:val="12"/>
            <w:spacing w:after="0"/>
            <w:rPr>
              <w:rFonts w:hint="default"/>
              <w:sz w:val="20"/>
              <w:szCs w:val="20"/>
            </w:rPr>
          </w:pPr>
          <w:r>
            <w:rPr>
              <w:rFonts w:hint="default"/>
              <w:sz w:val="20"/>
            </w:rPr>
            <w:t>Seventh Loop Tech</w:t>
          </w:r>
        </w:p>
      </w:tc>
      <w:tc>
        <w:tcPr>
          <w:tcW w:w="2517" w:type="dxa"/>
        </w:tcPr>
        <w:p>
          <w:pPr>
            <w:pStyle w:val="12"/>
            <w:spacing w:after="0"/>
            <w:jc w:val="right"/>
            <w:rPr>
              <w:rFonts w:hint="default"/>
              <w:sz w:val="20"/>
              <w:szCs w:val="20"/>
            </w:rPr>
          </w:pPr>
          <w:r>
            <w:rPr>
              <w:rFonts w:hint="default"/>
              <w:sz w:val="20"/>
            </w:rPr>
            <w:t>Internal</w:t>
          </w:r>
        </w:p>
      </w:tc>
    </w:tr>
  </w:tbl>
  <w:p>
    <w:pPr>
      <w:pStyle w:val="12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D559E"/>
    <w:multiLevelType w:val="multilevel"/>
    <w:tmpl w:val="01BD559E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MTM3NjC3MDcysDBX0lEKTi0uzszPAykwrAUAtqm0LiwAAAA="/>
  </w:docVars>
  <w:rsids>
    <w:rsidRoot w:val="00927DFD"/>
    <w:rsid w:val="000D626A"/>
    <w:rsid w:val="000F6D6F"/>
    <w:rsid w:val="001706D2"/>
    <w:rsid w:val="00186C91"/>
    <w:rsid w:val="00187E47"/>
    <w:rsid w:val="001E53FF"/>
    <w:rsid w:val="00243412"/>
    <w:rsid w:val="00245461"/>
    <w:rsid w:val="002A67D7"/>
    <w:rsid w:val="00321279"/>
    <w:rsid w:val="00372515"/>
    <w:rsid w:val="003B0BC3"/>
    <w:rsid w:val="0040705C"/>
    <w:rsid w:val="005710BB"/>
    <w:rsid w:val="005D100D"/>
    <w:rsid w:val="00636CCB"/>
    <w:rsid w:val="0066360B"/>
    <w:rsid w:val="006E65E7"/>
    <w:rsid w:val="007705D5"/>
    <w:rsid w:val="0079401C"/>
    <w:rsid w:val="007955DD"/>
    <w:rsid w:val="007A0DE3"/>
    <w:rsid w:val="007D0505"/>
    <w:rsid w:val="0081662D"/>
    <w:rsid w:val="008460AC"/>
    <w:rsid w:val="00884C1B"/>
    <w:rsid w:val="0089533C"/>
    <w:rsid w:val="008B42B7"/>
    <w:rsid w:val="008C60E9"/>
    <w:rsid w:val="009231CD"/>
    <w:rsid w:val="00927DFD"/>
    <w:rsid w:val="009D5C3D"/>
    <w:rsid w:val="00A3068F"/>
    <w:rsid w:val="00A354CD"/>
    <w:rsid w:val="00A35B04"/>
    <w:rsid w:val="00A36573"/>
    <w:rsid w:val="00A432AA"/>
    <w:rsid w:val="00A811C6"/>
    <w:rsid w:val="00AD417B"/>
    <w:rsid w:val="00B075A2"/>
    <w:rsid w:val="00B10A34"/>
    <w:rsid w:val="00B36D4D"/>
    <w:rsid w:val="00BC6ED3"/>
    <w:rsid w:val="00C3747C"/>
    <w:rsid w:val="00C52722"/>
    <w:rsid w:val="00C5727D"/>
    <w:rsid w:val="00C7779B"/>
    <w:rsid w:val="00D33CC8"/>
    <w:rsid w:val="00D57E88"/>
    <w:rsid w:val="00DF3F4A"/>
    <w:rsid w:val="00E05571"/>
    <w:rsid w:val="00E34134"/>
    <w:rsid w:val="00E37805"/>
    <w:rsid w:val="00E43C0E"/>
    <w:rsid w:val="00E5340C"/>
    <w:rsid w:val="00E56CB9"/>
    <w:rsid w:val="00EB2252"/>
    <w:rsid w:val="00EE397F"/>
    <w:rsid w:val="00EF3B38"/>
    <w:rsid w:val="00F36FA2"/>
    <w:rsid w:val="00F608E3"/>
    <w:rsid w:val="00F70508"/>
    <w:rsid w:val="00F852E4"/>
    <w:rsid w:val="00FD1597"/>
    <w:rsid w:val="39FBC221"/>
    <w:rsid w:val="77EEF7D3"/>
    <w:rsid w:val="BF77E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numPr>
        <w:ilvl w:val="0"/>
        <w:numId w:val="1"/>
      </w:numPr>
      <w:outlineLvl w:val="0"/>
    </w:pPr>
    <w:rPr>
      <w:b/>
      <w:sz w:val="28"/>
      <w:szCs w:val="28"/>
    </w:rPr>
  </w:style>
  <w:style w:type="paragraph" w:styleId="3">
    <w:name w:val="heading 2"/>
    <w:basedOn w:val="1"/>
    <w:next w:val="1"/>
    <w:link w:val="30"/>
    <w:unhideWhenUsed/>
    <w:qFormat/>
    <w:uiPriority w:val="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link w:val="31"/>
    <w:unhideWhenUsed/>
    <w:qFormat/>
    <w:uiPriority w:val="9"/>
    <w:pPr>
      <w:numPr>
        <w:ilvl w:val="2"/>
        <w:numId w:val="1"/>
      </w:numPr>
      <w:outlineLvl w:val="2"/>
    </w:pPr>
    <w:rPr>
      <w:b/>
      <w:i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styleId="8">
    <w:name w:val="annotation reference"/>
    <w:semiHidden/>
    <w:unhideWhenUsed/>
    <w:qFormat/>
    <w:uiPriority w:val="99"/>
    <w:rPr>
      <w:sz w:val="16"/>
      <w:szCs w:val="16"/>
      <w:lang w:val="en-GB"/>
    </w:rPr>
  </w:style>
  <w:style w:type="paragraph" w:styleId="9">
    <w:name w:val="annotation text"/>
    <w:basedOn w:val="1"/>
    <w:link w:val="27"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28"/>
    <w:semiHidden/>
    <w:unhideWhenUsed/>
    <w:qFormat/>
    <w:uiPriority w:val="99"/>
    <w:rPr>
      <w:b/>
      <w:bCs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536"/>
        <w:tab w:val="right" w:pos="9072"/>
      </w:tabs>
    </w:pPr>
  </w:style>
  <w:style w:type="paragraph" w:styleId="12">
    <w:name w:val="header"/>
    <w:basedOn w:val="1"/>
    <w:link w:val="24"/>
    <w:unhideWhenUsed/>
    <w:qFormat/>
    <w:uiPriority w:val="99"/>
    <w:pPr>
      <w:tabs>
        <w:tab w:val="center" w:pos="4536"/>
        <w:tab w:val="right" w:pos="9072"/>
      </w:tabs>
    </w:pPr>
  </w:style>
  <w:style w:type="character" w:styleId="13">
    <w:name w:val="Hyperlink"/>
    <w:unhideWhenUsed/>
    <w:qFormat/>
    <w:uiPriority w:val="99"/>
    <w:rPr>
      <w:color w:val="0000FF"/>
      <w:u w:val="single"/>
      <w:lang w:val="en-GB"/>
    </w:rPr>
  </w:style>
  <w:style w:type="table" w:styleId="14">
    <w:name w:val="Table Grid"/>
    <w:basedOn w:val="6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1"/>
    <w:next w:val="1"/>
    <w:unhideWhenUsed/>
    <w:qFormat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16">
    <w:name w:val="toc 2"/>
    <w:basedOn w:val="1"/>
    <w:next w:val="1"/>
    <w:unhideWhenUsed/>
    <w:qFormat/>
    <w:uiPriority w:val="39"/>
    <w:pPr>
      <w:spacing w:after="0"/>
      <w:ind w:left="220"/>
    </w:pPr>
    <w:rPr>
      <w:smallCaps/>
      <w:sz w:val="20"/>
      <w:szCs w:val="20"/>
    </w:rPr>
  </w:style>
  <w:style w:type="paragraph" w:styleId="17">
    <w:name w:val="toc 3"/>
    <w:basedOn w:val="1"/>
    <w:next w:val="1"/>
    <w:unhideWhenUsed/>
    <w:qFormat/>
    <w:uiPriority w:val="39"/>
    <w:pPr>
      <w:spacing w:after="0"/>
      <w:ind w:left="440"/>
    </w:pPr>
    <w:rPr>
      <w:i/>
      <w:iC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spacing w:after="0"/>
      <w:ind w:left="660"/>
    </w:pPr>
    <w:rPr>
      <w:sz w:val="18"/>
      <w:szCs w:val="18"/>
    </w:rPr>
  </w:style>
  <w:style w:type="paragraph" w:styleId="19">
    <w:name w:val="toc 5"/>
    <w:basedOn w:val="1"/>
    <w:next w:val="1"/>
    <w:unhideWhenUsed/>
    <w:qFormat/>
    <w:uiPriority w:val="39"/>
    <w:pPr>
      <w:spacing w:after="0"/>
      <w:ind w:left="880"/>
    </w:pPr>
    <w:rPr>
      <w:sz w:val="18"/>
      <w:szCs w:val="18"/>
    </w:rPr>
  </w:style>
  <w:style w:type="paragraph" w:styleId="20">
    <w:name w:val="toc 6"/>
    <w:basedOn w:val="1"/>
    <w:next w:val="1"/>
    <w:unhideWhenUsed/>
    <w:qFormat/>
    <w:uiPriority w:val="39"/>
    <w:pPr>
      <w:spacing w:after="0"/>
      <w:ind w:left="1100"/>
    </w:pPr>
    <w:rPr>
      <w:sz w:val="18"/>
      <w:szCs w:val="18"/>
    </w:rPr>
  </w:style>
  <w:style w:type="paragraph" w:styleId="21">
    <w:name w:val="toc 7"/>
    <w:basedOn w:val="1"/>
    <w:next w:val="1"/>
    <w:unhideWhenUsed/>
    <w:qFormat/>
    <w:uiPriority w:val="39"/>
    <w:pPr>
      <w:spacing w:after="0"/>
      <w:ind w:left="1320"/>
    </w:pPr>
    <w:rPr>
      <w:sz w:val="18"/>
      <w:szCs w:val="18"/>
    </w:rPr>
  </w:style>
  <w:style w:type="paragraph" w:styleId="22">
    <w:name w:val="toc 8"/>
    <w:basedOn w:val="1"/>
    <w:next w:val="1"/>
    <w:unhideWhenUsed/>
    <w:qFormat/>
    <w:uiPriority w:val="39"/>
    <w:pPr>
      <w:spacing w:after="0"/>
      <w:ind w:left="1540"/>
    </w:pPr>
    <w:rPr>
      <w:sz w:val="18"/>
      <w:szCs w:val="18"/>
    </w:rPr>
  </w:style>
  <w:style w:type="paragraph" w:styleId="23">
    <w:name w:val="toc 9"/>
    <w:basedOn w:val="1"/>
    <w:next w:val="1"/>
    <w:unhideWhenUsed/>
    <w:qFormat/>
    <w:uiPriority w:val="39"/>
    <w:pPr>
      <w:spacing w:after="0"/>
      <w:ind w:left="1760"/>
    </w:pPr>
    <w:rPr>
      <w:sz w:val="18"/>
      <w:szCs w:val="18"/>
    </w:rPr>
  </w:style>
  <w:style w:type="character" w:customStyle="1" w:styleId="24">
    <w:name w:val="Header Char"/>
    <w:link w:val="12"/>
    <w:qFormat/>
    <w:uiPriority w:val="99"/>
    <w:rPr>
      <w:sz w:val="22"/>
      <w:szCs w:val="22"/>
      <w:lang w:val="en-GB" w:eastAsia="en-US"/>
    </w:rPr>
  </w:style>
  <w:style w:type="character" w:customStyle="1" w:styleId="25">
    <w:name w:val="Footer Char"/>
    <w:link w:val="11"/>
    <w:qFormat/>
    <w:uiPriority w:val="99"/>
    <w:rPr>
      <w:sz w:val="22"/>
      <w:szCs w:val="22"/>
      <w:lang w:val="en-GB" w:eastAsia="en-US"/>
    </w:rPr>
  </w:style>
  <w:style w:type="character" w:customStyle="1" w:styleId="26">
    <w:name w:val="Heading 1 Char"/>
    <w:link w:val="2"/>
    <w:qFormat/>
    <w:uiPriority w:val="9"/>
    <w:rPr>
      <w:b/>
      <w:sz w:val="28"/>
      <w:szCs w:val="28"/>
      <w:lang w:val="en-GB" w:eastAsia="en-US"/>
    </w:rPr>
  </w:style>
  <w:style w:type="character" w:customStyle="1" w:styleId="27">
    <w:name w:val="Comment Text Char"/>
    <w:link w:val="9"/>
    <w:qFormat/>
    <w:uiPriority w:val="99"/>
    <w:rPr>
      <w:lang w:val="en-GB" w:eastAsia="en-US"/>
    </w:rPr>
  </w:style>
  <w:style w:type="character" w:customStyle="1" w:styleId="28">
    <w:name w:val="Comment Subject Char"/>
    <w:link w:val="10"/>
    <w:semiHidden/>
    <w:qFormat/>
    <w:uiPriority w:val="99"/>
    <w:rPr>
      <w:b/>
      <w:bCs/>
      <w:lang w:val="en-GB" w:eastAsia="en-US"/>
    </w:rPr>
  </w:style>
  <w:style w:type="character" w:customStyle="1" w:styleId="29">
    <w:name w:val="Balloon Text Char"/>
    <w:link w:val="7"/>
    <w:semiHidden/>
    <w:qFormat/>
    <w:uiPriority w:val="99"/>
    <w:rPr>
      <w:rFonts w:ascii="Tahoma" w:hAnsi="Tahoma" w:cs="Tahoma"/>
      <w:sz w:val="16"/>
      <w:szCs w:val="16"/>
      <w:lang w:val="en-GB" w:eastAsia="en-US"/>
    </w:rPr>
  </w:style>
  <w:style w:type="character" w:customStyle="1" w:styleId="30">
    <w:name w:val="Heading 2 Char"/>
    <w:link w:val="3"/>
    <w:qFormat/>
    <w:uiPriority w:val="9"/>
    <w:rPr>
      <w:b/>
      <w:sz w:val="24"/>
      <w:szCs w:val="24"/>
      <w:lang w:val="en-GB" w:eastAsia="en-US"/>
    </w:rPr>
  </w:style>
  <w:style w:type="character" w:customStyle="1" w:styleId="31">
    <w:name w:val="Heading 3 Char"/>
    <w:link w:val="4"/>
    <w:qFormat/>
    <w:uiPriority w:val="9"/>
    <w:rPr>
      <w:b/>
      <w:i/>
      <w:sz w:val="22"/>
      <w:szCs w:val="22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EPPS Services Ltd</Company>
  <Pages>1</Pages>
  <Words>56</Words>
  <Characters>325</Characters>
  <Lines>2</Lines>
  <Paragraphs>1</Paragraphs>
  <TotalTime>36</TotalTime>
  <ScaleCrop>false</ScaleCrop>
  <LinksUpToDate>false</LinksUpToDate>
  <CharactersWithSpaces>380</CharactersWithSpaces>
  <Application>WPS Office_4.1.0.7501_F1E327BC-269C-435d-A152-05C5408002CA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2016-06-09T04:50:00Z</dcterms:created>
  <dc:creator>Hammad Zahid</dc:creator>
  <cp:lastModifiedBy>Hammad Zahid</cp:lastModifiedBy>
  <dcterms:modified xsi:type="dcterms:W3CDTF">2025-08-20T13:02:54Z</dcterms:modified>
  <dc:title>Appendix - List of Legal, Regulatory, Contractual and Other Requirements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1033-4.1.0.7501</vt:lpwstr>
  </property>
</Properties>
</file>