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lang w:val="en-US"/>
        </w:rPr>
      </w:pPr>
    </w:p>
    <w:p>
      <w:pPr>
        <w:rPr>
          <w:u w:val="single"/>
          <w:lang w:val="en-US"/>
        </w:rPr>
      </w:pPr>
    </w:p>
    <w:p>
      <w:pPr>
        <w:rPr>
          <w:u w:val="single"/>
          <w:lang w:val="en-US"/>
        </w:rPr>
      </w:pPr>
    </w:p>
    <w:p>
      <w:pPr>
        <w:rPr>
          <w:lang w:val="en-US"/>
        </w:rPr>
      </w:pPr>
    </w:p>
    <w:p>
      <w:pPr>
        <w:rPr>
          <w:lang w:val="en-US"/>
        </w:rPr>
      </w:pPr>
    </w:p>
    <w:p>
      <w:pPr>
        <w:rPr>
          <w:lang w:val="en-US"/>
        </w:rPr>
      </w:pPr>
    </w:p>
    <w:p>
      <w:pPr>
        <w:rPr>
          <w:lang w:val="en-US"/>
        </w:rPr>
      </w:pPr>
    </w:p>
    <w:p>
      <w:pPr>
        <w:rPr>
          <w:lang w:val="en-US"/>
        </w:rPr>
      </w:pPr>
    </w:p>
    <w:p>
      <w:pPr>
        <w:jc w:val="center"/>
        <w:rPr>
          <w:lang w:val="en-US"/>
        </w:rPr>
      </w:pPr>
      <w:r>
        <w:drawing>
          <wp:inline distT="0" distB="0" distL="0" distR="0">
            <wp:extent cx="1244600" cy="1242695"/>
            <wp:effectExtent l="0" t="0" r="0" b="1905"/>
            <wp:docPr id="1965169365" name="Picture 1" descr="Reach us further – Seventh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69365" name="Picture 1" descr="Reach us further – Seventh Lo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57170" cy="1255494"/>
                    </a:xfrm>
                    <a:prstGeom prst="rect">
                      <a:avLst/>
                    </a:prstGeom>
                    <a:noFill/>
                    <a:ln>
                      <a:noFill/>
                    </a:ln>
                  </pic:spPr>
                </pic:pic>
              </a:graphicData>
            </a:graphic>
          </wp:inline>
        </w:drawing>
      </w:r>
    </w:p>
    <w:p>
      <w:pPr>
        <w:jc w:val="center"/>
        <w:rPr>
          <w:lang w:val="en-US"/>
        </w:rPr>
      </w:pPr>
      <w:r>
        <w:rPr>
          <w:lang w:val="en-US"/>
        </w:rPr>
        <w:t>Seventh loop Tech</w:t>
      </w:r>
    </w:p>
    <w:p>
      <w:pPr>
        <w:jc w:val="center"/>
        <w:rPr>
          <w:lang w:val="en-US"/>
        </w:rPr>
      </w:pPr>
    </w:p>
    <w:p>
      <w:pPr>
        <w:jc w:val="center"/>
        <w:rPr>
          <w:lang w:val="en-US"/>
        </w:rPr>
      </w:pPr>
    </w:p>
    <w:p>
      <w:pPr>
        <w:jc w:val="center"/>
        <w:rPr>
          <w:b/>
          <w:sz w:val="32"/>
          <w:szCs w:val="32"/>
          <w:lang w:val="en-US"/>
        </w:rPr>
      </w:pPr>
      <w:r>
        <w:rPr>
          <w:b/>
          <w:sz w:val="32"/>
          <w:lang w:val="en-US"/>
        </w:rPr>
        <w:t>PROCEDURE FOR IDENTIFICATION OF REQUIREMENTS</w:t>
      </w:r>
    </w:p>
    <w:p>
      <w:pPr>
        <w:jc w:val="center"/>
        <w:rPr>
          <w:lang w:val="en-US"/>
        </w:rPr>
      </w:pPr>
    </w:p>
    <w:tbl>
      <w:tblPr>
        <w:tblStyle w:val="6"/>
        <w:tblW w:w="0" w:type="auto"/>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2376"/>
        <w:gridCol w:w="6912"/>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Code:</w:t>
            </w:r>
          </w:p>
        </w:tc>
        <w:tc>
          <w:tcPr>
            <w:tcW w:w="6912" w:type="dxa"/>
          </w:tcPr>
          <w:p>
            <w:pPr>
              <w:rPr>
                <w:rFonts w:hint="default"/>
              </w:rPr>
            </w:pPr>
            <w:r>
              <w:rPr>
                <w:rFonts w:hint="default"/>
              </w:rPr>
              <w:t>005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Version:</w:t>
            </w:r>
          </w:p>
        </w:tc>
        <w:tc>
          <w:tcPr>
            <w:tcW w:w="6912" w:type="dxa"/>
          </w:tcPr>
          <w:p>
            <w:pPr>
              <w:rPr>
                <w:rFonts w:hint="default"/>
              </w:rPr>
            </w:pPr>
            <w:r>
              <w:rPr>
                <w:rFonts w:hint="default"/>
              </w:rPr>
              <w:t>0.1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Date of version:</w:t>
            </w:r>
          </w:p>
        </w:tc>
        <w:tc>
          <w:tcPr>
            <w:tcW w:w="6912" w:type="dxa"/>
          </w:tcPr>
          <w:p>
            <w:pPr>
              <w:rPr>
                <w:rFonts w:hint="default"/>
              </w:rPr>
            </w:pPr>
            <w:r>
              <w:rPr>
                <w:rFonts w:hint="default"/>
              </w:rPr>
              <w:t>2025/08/21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Created by:</w:t>
            </w:r>
          </w:p>
        </w:tc>
        <w:tc>
          <w:tcPr>
            <w:tcW w:w="6912" w:type="dxa"/>
          </w:tcPr>
          <w:p>
            <w:pPr>
              <w:rPr>
                <w:rFonts w:hint="default"/>
              </w:rPr>
            </w:pPr>
            <w:r>
              <w:rPr>
                <w:rFonts w:hint="default"/>
              </w:rPr>
              <w:t>Hammad Zahid Ali</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Approved by:</w:t>
            </w:r>
          </w:p>
        </w:tc>
        <w:tc>
          <w:tcPr>
            <w:tcW w:w="6912" w:type="dxa"/>
          </w:tcPr>
          <w:p>
            <w:pPr>
              <w:rPr>
                <w:rFonts w:hint="default"/>
              </w:rPr>
            </w:pPr>
            <w:r>
              <w:rPr>
                <w:rFonts w:hint="default"/>
              </w:rPr>
              <w:t>Taimor Ijlal, CISO</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PrEx>
        <w:tc>
          <w:tcPr>
            <w:tcW w:w="2376" w:type="dxa"/>
          </w:tcPr>
          <w:p>
            <w:pPr>
              <w:rPr>
                <w:lang w:val="en-US"/>
              </w:rPr>
            </w:pPr>
            <w:r>
              <w:rPr>
                <w:lang w:val="en-US"/>
              </w:rPr>
              <w:t>Confidentiality level:</w:t>
            </w:r>
          </w:p>
        </w:tc>
        <w:tc>
          <w:tcPr>
            <w:tcW w:w="6912" w:type="dxa"/>
          </w:tcPr>
          <w:p>
            <w:pPr>
              <w:rPr>
                <w:rFonts w:hint="default"/>
              </w:rPr>
            </w:pPr>
            <w:r>
              <w:rPr>
                <w:rFonts w:hint="default"/>
              </w:rPr>
              <w:t>Internal</w:t>
            </w:r>
          </w:p>
        </w:tc>
      </w:tr>
    </w:tbl>
    <w:p>
      <w:pPr>
        <w:rPr>
          <w:lang w:val="en-US"/>
        </w:rPr>
      </w:pPr>
    </w:p>
    <w:p>
      <w:pPr>
        <w:rPr>
          <w:lang w:val="en-US"/>
        </w:rPr>
      </w:pPr>
    </w:p>
    <w:p>
      <w:pPr>
        <w:rPr>
          <w:b/>
          <w:sz w:val="28"/>
          <w:szCs w:val="28"/>
          <w:lang w:val="en-US"/>
        </w:rPr>
      </w:pPr>
      <w:r>
        <w:rPr>
          <w:lang w:val="en-US"/>
        </w:rPr>
        <w:br w:type="page"/>
      </w:r>
      <w:r>
        <w:rPr>
          <w:b/>
          <w:sz w:val="28"/>
          <w:lang w:val="en-US"/>
        </w:rPr>
        <w:t>Change history</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82"/>
        <w:gridCol w:w="1007"/>
        <w:gridCol w:w="1559"/>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b/>
                <w:lang w:val="en-US"/>
              </w:rPr>
            </w:pPr>
            <w:r>
              <w:rPr>
                <w:b/>
                <w:lang w:val="en-US"/>
              </w:rPr>
              <w:t>Date</w:t>
            </w:r>
          </w:p>
        </w:tc>
        <w:tc>
          <w:tcPr>
            <w:tcW w:w="992" w:type="dxa"/>
          </w:tcPr>
          <w:p>
            <w:pPr>
              <w:rPr>
                <w:b/>
                <w:lang w:val="en-US"/>
              </w:rPr>
            </w:pPr>
            <w:r>
              <w:rPr>
                <w:b/>
                <w:lang w:val="en-US"/>
              </w:rPr>
              <w:t>Version</w:t>
            </w:r>
          </w:p>
        </w:tc>
        <w:tc>
          <w:tcPr>
            <w:tcW w:w="1560" w:type="dxa"/>
          </w:tcPr>
          <w:p>
            <w:pPr>
              <w:rPr>
                <w:b/>
                <w:lang w:val="en-US"/>
              </w:rPr>
            </w:pPr>
            <w:r>
              <w:rPr>
                <w:b/>
                <w:lang w:val="en-US"/>
              </w:rPr>
              <w:t>Created by</w:t>
            </w:r>
          </w:p>
        </w:tc>
        <w:tc>
          <w:tcPr>
            <w:tcW w:w="5352" w:type="dxa"/>
          </w:tcPr>
          <w:p>
            <w:pPr>
              <w:rPr>
                <w:b/>
                <w:lang w:val="en-US"/>
              </w:rPr>
            </w:pPr>
            <w:r>
              <w:rPr>
                <w:b/>
                <w:lang w:val="en-US"/>
              </w:rPr>
              <w:t>Description of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rFonts w:hint="default"/>
              </w:rPr>
            </w:pPr>
            <w:r>
              <w:rPr>
                <w:rFonts w:hint="default"/>
              </w:rPr>
              <w:t>2025</w:t>
            </w:r>
            <w:r>
              <w:rPr>
                <w:lang w:val="en-US"/>
              </w:rPr>
              <w:t>-</w:t>
            </w:r>
            <w:r>
              <w:rPr>
                <w:rFonts w:hint="default"/>
              </w:rPr>
              <w:t>08</w:t>
            </w:r>
            <w:r>
              <w:rPr>
                <w:lang w:val="en-US"/>
              </w:rPr>
              <w:t>-</w:t>
            </w:r>
            <w:r>
              <w:rPr>
                <w:rFonts w:hint="default"/>
              </w:rPr>
              <w:t>21</w:t>
            </w:r>
          </w:p>
        </w:tc>
        <w:tc>
          <w:tcPr>
            <w:tcW w:w="992" w:type="dxa"/>
          </w:tcPr>
          <w:p>
            <w:pPr>
              <w:rPr>
                <w:lang w:val="en-US"/>
              </w:rPr>
            </w:pPr>
            <w:r>
              <w:rPr>
                <w:lang w:val="en-US"/>
              </w:rPr>
              <w:t>0.1</w:t>
            </w:r>
          </w:p>
        </w:tc>
        <w:tc>
          <w:tcPr>
            <w:tcW w:w="1560" w:type="dxa"/>
          </w:tcPr>
          <w:p>
            <w:pPr>
              <w:rPr>
                <w:lang w:val="en-US"/>
              </w:rPr>
            </w:pPr>
            <w:r>
              <w:rPr>
                <w:lang w:val="en-US"/>
              </w:rPr>
              <w:t>Abdullah</w:t>
            </w:r>
          </w:p>
        </w:tc>
        <w:tc>
          <w:tcPr>
            <w:tcW w:w="5352" w:type="dxa"/>
          </w:tcPr>
          <w:p>
            <w:pPr>
              <w:rPr>
                <w:lang w:val="en-US"/>
              </w:rPr>
            </w:pPr>
            <w:r>
              <w:rPr>
                <w:lang w:val="en-US"/>
              </w:rPr>
              <w:t>Basic document outline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384" w:type="dxa"/>
          </w:tcPr>
          <w:p>
            <w:pPr>
              <w:rPr>
                <w:lang w:val="en-US"/>
              </w:rPr>
            </w:pPr>
          </w:p>
        </w:tc>
        <w:tc>
          <w:tcPr>
            <w:tcW w:w="992" w:type="dxa"/>
          </w:tcPr>
          <w:p>
            <w:pPr>
              <w:rPr>
                <w:lang w:val="en-US"/>
              </w:rPr>
            </w:pPr>
          </w:p>
        </w:tc>
        <w:tc>
          <w:tcPr>
            <w:tcW w:w="1560" w:type="dxa"/>
          </w:tcPr>
          <w:p>
            <w:pPr>
              <w:rPr>
                <w:lang w:val="en-US"/>
              </w:rPr>
            </w:pPr>
          </w:p>
        </w:tc>
        <w:tc>
          <w:tcPr>
            <w:tcW w:w="5352" w:type="dxa"/>
          </w:tcPr>
          <w:p>
            <w:pPr>
              <w:rPr>
                <w:lang w:val="en-US"/>
              </w:rPr>
            </w:pPr>
          </w:p>
        </w:tc>
      </w:tr>
    </w:tbl>
    <w:p>
      <w:pPr>
        <w:rPr>
          <w:lang w:val="en-US"/>
        </w:rPr>
      </w:pPr>
    </w:p>
    <w:p>
      <w:pPr>
        <w:rPr>
          <w:lang w:val="en-US"/>
        </w:rPr>
      </w:pPr>
    </w:p>
    <w:p>
      <w:pPr>
        <w:rPr>
          <w:b/>
          <w:sz w:val="28"/>
          <w:szCs w:val="28"/>
          <w:lang w:val="en-US"/>
        </w:rPr>
      </w:pPr>
      <w:r>
        <w:rPr>
          <w:b/>
          <w:sz w:val="28"/>
          <w:lang w:val="en-US"/>
        </w:rPr>
        <w:t>Table of contents</w:t>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"_Toc454534874" </w:instrText>
      </w:r>
      <w:r>
        <w:fldChar w:fldCharType="separate"/>
      </w:r>
      <w:r>
        <w:rPr>
          <w:rStyle w:val="13"/>
          <w:lang w:val="en-US"/>
        </w:rPr>
        <w:t>1.</w:t>
      </w:r>
      <w:r>
        <w:rPr>
          <w:rFonts w:asciiTheme="minorHAnsi" w:hAnsiTheme="minorHAnsi" w:eastAsiaTheme="minorEastAsia" w:cstheme="minorBidi"/>
          <w:b w:val="0"/>
          <w:bCs w:val="0"/>
          <w:caps w:val="0"/>
          <w:sz w:val="22"/>
          <w:szCs w:val="22"/>
          <w:lang w:val="hr-HR" w:eastAsia="hr-HR"/>
        </w:rPr>
        <w:tab/>
      </w:r>
      <w:r>
        <w:rPr>
          <w:rStyle w:val="13"/>
          <w:lang w:val="en-US"/>
        </w:rPr>
        <w:t>Purpose, scope and users</w:t>
      </w:r>
      <w:r>
        <w:tab/>
      </w:r>
      <w:r>
        <w:fldChar w:fldCharType="begin"/>
      </w:r>
      <w:r>
        <w:instrText xml:space="preserve"> PAGEREF _Toc454534874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"_Toc454534875" </w:instrText>
      </w:r>
      <w:r>
        <w:fldChar w:fldCharType="separate"/>
      </w:r>
      <w:r>
        <w:rPr>
          <w:rStyle w:val="13"/>
          <w:lang w:val="en-US"/>
        </w:rPr>
        <w:t>2.</w:t>
      </w:r>
      <w:r>
        <w:rPr>
          <w:rFonts w:asciiTheme="minorHAnsi" w:hAnsiTheme="minorHAnsi" w:eastAsiaTheme="minorEastAsia" w:cstheme="minorBidi"/>
          <w:b w:val="0"/>
          <w:bCs w:val="0"/>
          <w:caps w:val="0"/>
          <w:sz w:val="22"/>
          <w:szCs w:val="22"/>
          <w:lang w:val="hr-HR" w:eastAsia="hr-HR"/>
        </w:rPr>
        <w:tab/>
      </w:r>
      <w:r>
        <w:rPr>
          <w:rStyle w:val="13"/>
          <w:lang w:val="en-US"/>
        </w:rPr>
        <w:t>Reference documents</w:t>
      </w:r>
      <w:r>
        <w:tab/>
      </w:r>
      <w:r>
        <w:fldChar w:fldCharType="begin"/>
      </w:r>
      <w:r>
        <w:instrText xml:space="preserve"> PAGEREF _Toc454534875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"_Toc454534876" </w:instrText>
      </w:r>
      <w:r>
        <w:fldChar w:fldCharType="separate"/>
      </w:r>
      <w:r>
        <w:rPr>
          <w:rStyle w:val="13"/>
          <w:lang w:val="en-US"/>
        </w:rPr>
        <w:t>3.</w:t>
      </w:r>
      <w:r>
        <w:rPr>
          <w:rFonts w:asciiTheme="minorHAnsi" w:hAnsiTheme="minorHAnsi" w:eastAsiaTheme="minorEastAsia" w:cstheme="minorBidi"/>
          <w:b w:val="0"/>
          <w:bCs w:val="0"/>
          <w:caps w:val="0"/>
          <w:sz w:val="22"/>
          <w:szCs w:val="22"/>
          <w:lang w:val="hr-HR" w:eastAsia="hr-HR"/>
        </w:rPr>
        <w:tab/>
      </w:r>
      <w:r>
        <w:rPr>
          <w:rStyle w:val="13"/>
          <w:lang w:val="en-US"/>
        </w:rPr>
        <w:t>Identification of requirements and interested parties</w:t>
      </w:r>
      <w:r>
        <w:tab/>
      </w:r>
      <w:r>
        <w:fldChar w:fldCharType="begin"/>
      </w:r>
      <w:r>
        <w:instrText xml:space="preserve"> PAGEREF _Toc454534876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"_Toc454534877" </w:instrText>
      </w:r>
      <w:r>
        <w:fldChar w:fldCharType="separate"/>
      </w:r>
      <w:r>
        <w:rPr>
          <w:rStyle w:val="13"/>
          <w:lang w:val="en-US"/>
        </w:rPr>
        <w:t>4.</w:t>
      </w:r>
      <w:r>
        <w:rPr>
          <w:rFonts w:asciiTheme="minorHAnsi" w:hAnsiTheme="minorHAnsi" w:eastAsiaTheme="minorEastAsia" w:cstheme="minorBidi"/>
          <w:b w:val="0"/>
          <w:bCs w:val="0"/>
          <w:caps w:val="0"/>
          <w:sz w:val="22"/>
          <w:szCs w:val="22"/>
          <w:lang w:val="hr-HR" w:eastAsia="hr-HR"/>
        </w:rPr>
        <w:tab/>
      </w:r>
      <w:r>
        <w:rPr>
          <w:rStyle w:val="13"/>
          <w:lang w:val="en-US"/>
        </w:rPr>
        <w:t>Reviewing and evaluation</w:t>
      </w:r>
      <w:r>
        <w:tab/>
      </w:r>
      <w:r>
        <w:fldChar w:fldCharType="begin"/>
      </w:r>
      <w:r>
        <w:instrText xml:space="preserve"> PAGEREF _Toc454534877 \h </w:instrText>
      </w:r>
      <w:r>
        <w:fldChar w:fldCharType="separate"/>
      </w:r>
      <w:r>
        <w:t>3</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"_Toc454534878" </w:instrText>
      </w:r>
      <w:r>
        <w:fldChar w:fldCharType="separate"/>
      </w:r>
      <w:r>
        <w:rPr>
          <w:rStyle w:val="13"/>
          <w:lang w:val="en-US"/>
        </w:rPr>
        <w:t>5.</w:t>
      </w:r>
      <w:r>
        <w:rPr>
          <w:rFonts w:asciiTheme="minorHAnsi" w:hAnsiTheme="minorHAnsi" w:eastAsiaTheme="minorEastAsia" w:cstheme="minorBidi"/>
          <w:b w:val="0"/>
          <w:bCs w:val="0"/>
          <w:caps w:val="0"/>
          <w:sz w:val="22"/>
          <w:szCs w:val="22"/>
          <w:lang w:val="hr-HR" w:eastAsia="hr-HR"/>
        </w:rPr>
        <w:tab/>
      </w:r>
      <w:r>
        <w:rPr>
          <w:rStyle w:val="13"/>
          <w:lang w:val="en-US"/>
        </w:rPr>
        <w:t>Managing records kept on the basis of this document</w:t>
      </w:r>
      <w:r>
        <w:tab/>
      </w:r>
      <w:r>
        <w:fldChar w:fldCharType="begin"/>
      </w:r>
      <w:r>
        <w:instrText xml:space="preserve"> PAGEREF _Toc454534878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"_Toc454534879" </w:instrText>
      </w:r>
      <w:r>
        <w:fldChar w:fldCharType="separate"/>
      </w:r>
      <w:r>
        <w:rPr>
          <w:rStyle w:val="13"/>
          <w:lang w:val="en-US"/>
        </w:rPr>
        <w:t>6.</w:t>
      </w:r>
      <w:r>
        <w:rPr>
          <w:rFonts w:asciiTheme="minorHAnsi" w:hAnsiTheme="minorHAnsi" w:eastAsiaTheme="minorEastAsia" w:cstheme="minorBidi"/>
          <w:b w:val="0"/>
          <w:bCs w:val="0"/>
          <w:caps w:val="0"/>
          <w:sz w:val="22"/>
          <w:szCs w:val="22"/>
          <w:lang w:val="hr-HR" w:eastAsia="hr-HR"/>
        </w:rPr>
        <w:tab/>
      </w:r>
      <w:r>
        <w:rPr>
          <w:rStyle w:val="13"/>
          <w:lang w:val="en-US"/>
        </w:rPr>
        <w:t>Validity and document management</w:t>
      </w:r>
      <w:r>
        <w:tab/>
      </w:r>
      <w:r>
        <w:fldChar w:fldCharType="begin"/>
      </w:r>
      <w:r>
        <w:instrText xml:space="preserve"> PAGEREF _Toc454534879 \h </w:instrText>
      </w:r>
      <w:r>
        <w:fldChar w:fldCharType="separate"/>
      </w:r>
      <w:r>
        <w:t>4</w:t>
      </w:r>
      <w:r>
        <w:fldChar w:fldCharType="end"/>
      </w:r>
      <w:r>
        <w:fldChar w:fldCharType="end"/>
      </w:r>
    </w:p>
    <w:p>
      <w:pPr>
        <w:pStyle w:val="15"/>
        <w:tabs>
          <w:tab w:val="left" w:pos="440"/>
          <w:tab w:val="right" w:leader="dot" w:pos="9062"/>
        </w:tabs>
        <w:rPr>
          <w:rFonts w:asciiTheme="minorHAnsi" w:hAnsiTheme="minorHAnsi" w:eastAsiaTheme="minorEastAsia" w:cstheme="minorBidi"/>
          <w:b w:val="0"/>
          <w:bCs w:val="0"/>
          <w:caps w:val="0"/>
          <w:sz w:val="22"/>
          <w:szCs w:val="22"/>
          <w:lang w:val="hr-HR" w:eastAsia="hr-HR"/>
        </w:rPr>
      </w:pPr>
      <w:r>
        <w:fldChar w:fldCharType="begin"/>
      </w:r>
      <w:r>
        <w:instrText xml:space="preserve"> HYPERLINK \l "_Toc454534880" </w:instrText>
      </w:r>
      <w:r>
        <w:fldChar w:fldCharType="separate"/>
      </w:r>
      <w:r>
        <w:rPr>
          <w:rStyle w:val="13"/>
          <w:lang w:val="en-US"/>
        </w:rPr>
        <w:t>7.</w:t>
      </w:r>
      <w:r>
        <w:rPr>
          <w:rFonts w:asciiTheme="minorHAnsi" w:hAnsiTheme="minorHAnsi" w:eastAsiaTheme="minorEastAsia" w:cstheme="minorBidi"/>
          <w:b w:val="0"/>
          <w:bCs w:val="0"/>
          <w:caps w:val="0"/>
          <w:sz w:val="22"/>
          <w:szCs w:val="22"/>
          <w:lang w:val="hr-HR" w:eastAsia="hr-HR"/>
        </w:rPr>
        <w:tab/>
      </w:r>
      <w:r>
        <w:rPr>
          <w:rStyle w:val="13"/>
          <w:lang w:val="en-US"/>
        </w:rPr>
        <w:t>Appendices</w:t>
      </w:r>
      <w:r>
        <w:tab/>
      </w:r>
      <w:r>
        <w:fldChar w:fldCharType="begin"/>
      </w:r>
      <w:r>
        <w:instrText xml:space="preserve"> PAGEREF _Toc454534880 \h </w:instrText>
      </w:r>
      <w:r>
        <w:fldChar w:fldCharType="separate"/>
      </w:r>
      <w:r>
        <w:t>4</w:t>
      </w:r>
      <w:r>
        <w:fldChar w:fldCharType="end"/>
      </w:r>
      <w:r>
        <w:fldChar w:fldCharType="end"/>
      </w:r>
    </w:p>
    <w:p>
      <w:pPr>
        <w:rPr>
          <w:lang w:val="en-US"/>
        </w:rPr>
      </w:pPr>
      <w:r>
        <w:rPr>
          <w:lang w:val="en-US"/>
        </w:rPr>
        <w:fldChar w:fldCharType="end"/>
      </w:r>
    </w:p>
    <w:p>
      <w:pPr>
        <w:pStyle w:val="15"/>
        <w:tabs>
          <w:tab w:val="left" w:pos="440"/>
          <w:tab w:val="right" w:leader="dot" w:pos="9062"/>
        </w:tabs>
        <w:rPr>
          <w:lang w:val="en-US"/>
        </w:rPr>
      </w:pPr>
    </w:p>
    <w:p>
      <w:pPr>
        <w:rPr>
          <w:lang w:val="en-US"/>
        </w:rPr>
      </w:pPr>
    </w:p>
    <w:p>
      <w:pPr>
        <w:rPr>
          <w:lang w:val="en-US"/>
        </w:rPr>
      </w:pPr>
    </w:p>
    <w:p>
      <w:pPr>
        <w:rPr>
          <w:lang w:val="en-US"/>
        </w:rPr>
      </w:pPr>
    </w:p>
    <w:p>
      <w:pPr>
        <w:pStyle w:val="2"/>
        <w:rPr>
          <w:lang w:val="en-US"/>
        </w:rPr>
      </w:pPr>
      <w:r>
        <w:rPr>
          <w:lang w:val="en-US"/>
        </w:rPr>
        <w:br w:type="page"/>
      </w:r>
      <w:bookmarkStart w:id="0" w:name="_Toc454534874"/>
      <w:bookmarkStart w:id="1" w:name="_Toc265344796"/>
      <w:bookmarkStart w:id="2" w:name="_Toc324421326"/>
      <w:r>
        <w:rPr>
          <w:lang w:val="en-US"/>
        </w:rPr>
        <w:t>Purpose, scope and users</w:t>
      </w:r>
      <w:bookmarkEnd w:id="0"/>
      <w:bookmarkEnd w:id="1"/>
      <w:bookmarkEnd w:id="2"/>
    </w:p>
    <w:p>
      <w:pPr>
        <w:rPr>
          <w:lang w:val="en-US"/>
        </w:rPr>
      </w:pPr>
      <w:r>
        <w:rPr>
          <w:lang w:val="en-US"/>
        </w:rPr>
        <w:t>The purpose of this document is to define the process of identification of interested parties, as well as legal, regulatory, contractual and other requirements related to information security and business continuity, and responsibilities for their fulfillment.</w:t>
      </w:r>
    </w:p>
    <w:p>
      <w:pPr>
        <w:rPr>
          <w:lang w:val="en-US"/>
        </w:rPr>
      </w:pPr>
      <w:r>
        <w:rPr>
          <w:lang w:val="en-US"/>
        </w:rPr>
        <w:t>This document is applied to the entire Information Security Management System (ISMS).</w:t>
      </w:r>
    </w:p>
    <w:p>
      <w:pPr>
        <w:rPr>
          <w:lang w:val="en-US"/>
        </w:rPr>
      </w:pPr>
      <w:r>
        <w:rPr>
          <w:lang w:val="en-US"/>
        </w:rPr>
        <w:t xml:space="preserve">Users of this document are all employees of </w:t>
      </w:r>
      <w:r>
        <w:rPr>
          <w:rFonts w:hint="default"/>
          <w:b/>
          <w:bCs/>
          <w:i/>
          <w:iCs/>
        </w:rPr>
        <w:t>Seventh Loop Tech</w:t>
      </w:r>
      <w:r>
        <w:rPr>
          <w:lang w:val="en-US"/>
        </w:rPr>
        <w:t>.</w:t>
      </w:r>
    </w:p>
    <w:p>
      <w:pPr>
        <w:rPr>
          <w:lang w:val="en-US"/>
        </w:rPr>
      </w:pPr>
    </w:p>
    <w:p>
      <w:pPr>
        <w:pStyle w:val="2"/>
        <w:rPr>
          <w:lang w:val="en-US"/>
        </w:rPr>
      </w:pPr>
      <w:bookmarkStart w:id="3" w:name="_Toc265344797"/>
      <w:bookmarkStart w:id="4" w:name="_Toc324421327"/>
      <w:bookmarkStart w:id="5" w:name="_Toc454534875"/>
      <w:r>
        <w:rPr>
          <w:lang w:val="en-US"/>
        </w:rPr>
        <w:t>Reference documents</w:t>
      </w:r>
      <w:bookmarkEnd w:id="3"/>
      <w:bookmarkEnd w:id="4"/>
      <w:bookmarkEnd w:id="5"/>
    </w:p>
    <w:p>
      <w:pPr>
        <w:numPr>
          <w:ilvl w:val="0"/>
          <w:numId w:val="2"/>
        </w:numPr>
        <w:spacing w:after="0"/>
        <w:rPr>
          <w:lang w:val="en-US"/>
        </w:rPr>
      </w:pPr>
      <w:r>
        <w:rPr>
          <w:lang w:val="en-US"/>
        </w:rPr>
        <w:t>ISO/IEC 27001 standard, clause 4.2; control A.18.1.1</w:t>
      </w:r>
    </w:p>
    <w:p>
      <w:pPr>
        <w:numPr>
          <w:ilvl w:val="0"/>
          <w:numId w:val="2"/>
        </w:numPr>
        <w:spacing w:after="0"/>
        <w:rPr>
          <w:lang w:val="en-US"/>
        </w:rPr>
      </w:pPr>
      <w:r>
        <w:rPr>
          <w:lang w:val="en-US"/>
        </w:rPr>
        <w:t>ISO 22301 standard, clause 4.2</w:t>
      </w:r>
    </w:p>
    <w:p>
      <w:pPr>
        <w:numPr>
          <w:ilvl w:val="0"/>
          <w:numId w:val="2"/>
        </w:numPr>
        <w:spacing w:after="0"/>
        <w:rPr>
          <w:lang w:val="en-US"/>
        </w:rPr>
      </w:pPr>
      <w:r>
        <w:rPr>
          <w:lang w:val="en-US"/>
        </w:rPr>
        <w:t>ISO/IEC 27017 standard, clause 18.1.1</w:t>
      </w:r>
    </w:p>
    <w:p>
      <w:pPr>
        <w:numPr>
          <w:ilvl w:val="0"/>
          <w:numId w:val="2"/>
        </w:numPr>
        <w:spacing w:after="0"/>
        <w:rPr>
          <w:lang w:val="en-US"/>
        </w:rPr>
      </w:pPr>
      <w:r>
        <w:rPr>
          <w:lang w:val="en-US"/>
        </w:rPr>
        <w:t>ISO/IEC 27018 standard, clauses A.9.2 and A.11.1</w:t>
      </w:r>
    </w:p>
    <w:p>
      <w:pPr>
        <w:numPr>
          <w:ilvl w:val="0"/>
          <w:numId w:val="2"/>
        </w:numPr>
        <w:spacing w:after="0"/>
        <w:rPr>
          <w:lang w:val="en-US"/>
        </w:rPr>
      </w:pPr>
      <w:r>
        <w:rPr>
          <w:lang w:val="en-US"/>
        </w:rPr>
        <w:t>Information Security Management System Policy</w:t>
      </w:r>
    </w:p>
    <w:p>
      <w:pPr>
        <w:numPr>
          <w:ilvl w:val="0"/>
          <w:numId w:val="2"/>
        </w:numPr>
        <w:spacing w:after="0"/>
        <w:rPr>
          <w:lang w:val="en-US"/>
        </w:rPr>
      </w:pPr>
      <w:r>
        <w:rPr>
          <w:lang w:val="en-US"/>
        </w:rPr>
        <w:t>Business Continuity Policy</w:t>
      </w:r>
    </w:p>
    <w:p>
      <w:pPr>
        <w:rPr>
          <w:lang w:val="en-US"/>
        </w:rPr>
      </w:pPr>
    </w:p>
    <w:p>
      <w:pPr>
        <w:pStyle w:val="2"/>
        <w:rPr>
          <w:lang w:val="en-US"/>
        </w:rPr>
      </w:pPr>
      <w:bookmarkStart w:id="6" w:name="_Toc454534876"/>
      <w:bookmarkStart w:id="7" w:name="_Toc324421328"/>
      <w:r>
        <w:rPr>
          <w:lang w:val="en-US"/>
        </w:rPr>
        <w:t>Identification of requirements and interested parties</w:t>
      </w:r>
      <w:bookmarkEnd w:id="6"/>
      <w:bookmarkEnd w:id="7"/>
    </w:p>
    <w:p>
      <w:pPr>
        <w:rPr>
          <w:lang w:val="en-US"/>
        </w:rPr>
      </w:pPr>
      <w:r>
        <w:rPr>
          <w:rFonts w:hint="default"/>
          <w:b/>
          <w:bCs/>
        </w:rPr>
        <w:t xml:space="preserve">CISO </w:t>
      </w:r>
      <w:r>
        <w:rPr>
          <w:lang w:val="en-US"/>
        </w:rPr>
        <w:t>is responsible for identifying (1) all persons or organizations that can affect or can be affected by information security or business continuity management (interested parties), (2) all geographical locations from where the</w:t>
      </w:r>
      <w:r>
        <w:rPr>
          <w:rFonts w:hint="default"/>
        </w:rPr>
        <w:t xml:space="preserve"> Seventhloop</w:t>
      </w:r>
      <w:r>
        <w:rPr>
          <w:lang w:val="en-US"/>
        </w:rPr>
        <w:t xml:space="preserve"> provides cloud services, especially those acting as Personally Identifiable Information (PII) processors, and (3) all related legal, regulatory, contractual and other requirements. </w:t>
      </w:r>
    </w:p>
    <w:p>
      <w:pPr>
        <w:rPr>
          <w:lang w:val="en-US"/>
        </w:rPr>
      </w:pPr>
      <w:r>
        <w:rPr>
          <w:rFonts w:hint="default"/>
          <w:b/>
          <w:bCs/>
        </w:rPr>
        <w:t>CISO</w:t>
      </w:r>
      <w:r>
        <w:rPr>
          <w:b/>
          <w:bCs/>
          <w:lang w:val="en-US"/>
        </w:rPr>
        <w:t xml:space="preserve"> </w:t>
      </w:r>
      <w:r>
        <w:rPr>
          <w:lang w:val="en-US"/>
        </w:rPr>
        <w:t xml:space="preserve">will define who will be responsible for compliance with each individual requirement, and which interested parties are to be notified when changes occur. </w:t>
      </w:r>
    </w:p>
    <w:p>
      <w:pPr>
        <w:rPr>
          <w:lang w:val="en-US"/>
        </w:rPr>
      </w:pPr>
      <w:r>
        <w:rPr>
          <w:rFonts w:hint="default"/>
        </w:rPr>
        <w:t>CISO/Compliance Officer</w:t>
      </w:r>
      <w:r>
        <w:rPr>
          <w:lang w:val="en-US"/>
        </w:rPr>
        <w:t xml:space="preserve"> must list all requirements, interested parties, geographical locations, and responsible persons in “List of legal, regulatory, contractual and other requirements,” and publish that List in  .</w:t>
      </w:r>
    </w:p>
    <w:p>
      <w:pPr>
        <w:rPr>
          <w:lang w:val="en-US"/>
        </w:rPr>
      </w:pPr>
      <w:r>
        <w:rPr>
          <w:lang w:val="en-US"/>
        </w:rPr>
        <w:t xml:space="preserve">Every employee in </w:t>
      </w:r>
      <w:r>
        <w:rPr>
          <w:rFonts w:hint="default"/>
        </w:rPr>
        <w:t>Seventh Loop Tech</w:t>
      </w:r>
      <w:r>
        <w:rPr>
          <w:lang w:val="en-US"/>
        </w:rPr>
        <w:t xml:space="preserve"> must notify </w:t>
      </w:r>
      <w:r>
        <w:rPr>
          <w:rFonts w:hint="default"/>
        </w:rPr>
        <w:t>CISO/Information Security Manager</w:t>
      </w:r>
      <w:r>
        <w:rPr>
          <w:lang w:val="en-US"/>
        </w:rPr>
        <w:t xml:space="preserve"> if he/she comes across any new legal, regulatory, contractual or other requirement that might be relevant to information security and business continuity management.</w:t>
      </w:r>
    </w:p>
    <w:p>
      <w:pPr>
        <w:pStyle w:val="2"/>
        <w:rPr>
          <w:lang w:val="en-US"/>
        </w:rPr>
      </w:pPr>
      <w:bookmarkStart w:id="8" w:name="_Toc454534877"/>
      <w:r>
        <w:rPr>
          <w:lang w:val="en-US"/>
        </w:rPr>
        <w:t>Reviewing and evaluation</w:t>
      </w:r>
      <w:bookmarkEnd w:id="8"/>
    </w:p>
    <w:p>
      <w:pPr>
        <w:rPr>
          <w:lang w:val="en-US"/>
        </w:rPr>
      </w:pPr>
      <w:r>
        <w:rPr>
          <w:rFonts w:hint="default"/>
        </w:rPr>
        <w:t>CISO</w:t>
      </w:r>
      <w:r>
        <w:rPr>
          <w:lang w:val="en-US"/>
        </w:rPr>
        <w:t xml:space="preserve"> is responsible for reviewing the List of legal, regulatory, contractual and other requirements at least every 6 months, and for updating it as necessary. </w:t>
      </w:r>
      <w:r>
        <w:rPr>
          <w:rFonts w:hint="default"/>
        </w:rPr>
        <w:t>CISO</w:t>
      </w:r>
      <w:r>
        <w:rPr>
          <w:lang w:val="en-US"/>
        </w:rPr>
        <w:t xml:space="preserve"> will notify all relevant interested parties upon each update.</w:t>
      </w:r>
    </w:p>
    <w:p>
      <w:pPr>
        <w:rPr>
          <w:lang w:val="en-US"/>
        </w:rPr>
      </w:pPr>
      <w:r>
        <w:rPr>
          <w:rFonts w:hint="default"/>
        </w:rPr>
        <w:t>CISO</w:t>
      </w:r>
      <w:r>
        <w:rPr>
          <w:lang w:val="en-US"/>
        </w:rPr>
        <w:t xml:space="preserve"> is responsible for evaluating the compliance of ISMS with relevant legal, regulatory and contractual requirements at least once a year.</w:t>
      </w:r>
    </w:p>
    <w:p>
      <w:pPr>
        <w:rPr>
          <w:lang w:val="en-US"/>
        </w:rPr>
      </w:pPr>
    </w:p>
    <w:p>
      <w:pPr>
        <w:pStyle w:val="2"/>
        <w:rPr>
          <w:lang w:val="en-US"/>
        </w:rPr>
      </w:pPr>
      <w:bookmarkStart w:id="9" w:name="_Toc267481633"/>
      <w:bookmarkStart w:id="10" w:name="_Toc263228417"/>
      <w:bookmarkStart w:id="11" w:name="_Toc454534878"/>
      <w:r>
        <w:rPr>
          <w:lang w:val="en-US"/>
        </w:rPr>
        <w:t>Managing records kept on the basis of this document</w:t>
      </w:r>
      <w:bookmarkEnd w:id="9"/>
      <w:bookmarkEnd w:id="10"/>
      <w:bookmarkEnd w:id="11"/>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69"/>
        <w:gridCol w:w="2221"/>
        <w:gridCol w:w="1602"/>
        <w:gridCol w:w="2280"/>
        <w:gridCol w:w="1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8" w:type="dxa"/>
            <w:shd w:val="clear" w:color="auto" w:fill="F2F2F2"/>
          </w:tcPr>
          <w:p>
            <w:pPr>
              <w:spacing w:after="0"/>
              <w:rPr>
                <w:sz w:val="20"/>
                <w:szCs w:val="20"/>
                <w:lang w:val="en-US"/>
              </w:rPr>
            </w:pPr>
            <w:r>
              <w:rPr>
                <w:sz w:val="20"/>
                <w:lang w:val="en-US"/>
              </w:rPr>
              <w:t>Record name</w:t>
            </w:r>
          </w:p>
        </w:tc>
        <w:tc>
          <w:tcPr>
            <w:tcW w:w="1669" w:type="dxa"/>
            <w:shd w:val="clear" w:color="auto" w:fill="F2F2F2"/>
          </w:tcPr>
          <w:p>
            <w:pPr>
              <w:spacing w:after="0"/>
              <w:rPr>
                <w:sz w:val="20"/>
                <w:szCs w:val="20"/>
                <w:lang w:val="en-US"/>
              </w:rPr>
            </w:pPr>
            <w:r>
              <w:rPr>
                <w:sz w:val="20"/>
                <w:lang w:val="en-US"/>
              </w:rPr>
              <w:t>Storage location</w:t>
            </w:r>
          </w:p>
        </w:tc>
        <w:tc>
          <w:tcPr>
            <w:tcW w:w="1660" w:type="dxa"/>
            <w:shd w:val="clear" w:color="auto" w:fill="F2F2F2"/>
          </w:tcPr>
          <w:p>
            <w:pPr>
              <w:spacing w:after="0"/>
              <w:rPr>
                <w:sz w:val="20"/>
                <w:szCs w:val="20"/>
                <w:lang w:val="en-US"/>
              </w:rPr>
            </w:pPr>
            <w:r>
              <w:rPr>
                <w:sz w:val="20"/>
                <w:lang w:val="en-US"/>
              </w:rPr>
              <w:t>Person responsible for storage</w:t>
            </w:r>
          </w:p>
        </w:tc>
        <w:tc>
          <w:tcPr>
            <w:tcW w:w="2449" w:type="dxa"/>
            <w:shd w:val="clear" w:color="auto" w:fill="F2F2F2"/>
          </w:tcPr>
          <w:p>
            <w:pPr>
              <w:spacing w:after="0"/>
              <w:rPr>
                <w:sz w:val="20"/>
                <w:szCs w:val="20"/>
                <w:lang w:val="en-US"/>
              </w:rPr>
            </w:pPr>
            <w:r>
              <w:rPr>
                <w:sz w:val="20"/>
                <w:lang w:val="en-US"/>
              </w:rPr>
              <w:t>Control for record protection</w:t>
            </w:r>
          </w:p>
        </w:tc>
        <w:tc>
          <w:tcPr>
            <w:tcW w:w="1356" w:type="dxa"/>
            <w:shd w:val="clear" w:color="auto" w:fill="F2F2F2"/>
          </w:tcPr>
          <w:p>
            <w:pPr>
              <w:spacing w:after="0"/>
              <w:rPr>
                <w:sz w:val="20"/>
                <w:szCs w:val="20"/>
                <w:lang w:val="en-US"/>
              </w:rPr>
            </w:pPr>
            <w:r>
              <w:rPr>
                <w:sz w:val="20"/>
                <w:lang w:val="en-US"/>
              </w:rPr>
              <w:t>Retention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928" w:type="dxa"/>
          </w:tcPr>
          <w:p>
            <w:pPr>
              <w:spacing w:after="0"/>
              <w:rPr>
                <w:lang w:val="en-US"/>
              </w:rPr>
            </w:pPr>
            <w:r>
              <w:rPr>
                <w:lang w:val="en-US"/>
              </w:rPr>
              <w:t>List of legal, regulatory, contractual and other requirements (in electronic form)</w:t>
            </w:r>
          </w:p>
        </w:tc>
        <w:tc>
          <w:tcPr>
            <w:tcW w:w="1669" w:type="dxa"/>
          </w:tcPr>
          <w:p>
            <w:pPr>
              <w:rPr>
                <w:lang w:val="en-US"/>
              </w:rPr>
            </w:pPr>
            <w:r>
              <w:rPr>
                <w:lang w:val="en-US"/>
              </w:rPr>
              <w:t xml:space="preserve">Organization's intranet   </w:t>
            </w:r>
          </w:p>
          <w:p>
            <w:pPr>
              <w:rPr>
                <w:rFonts w:hint="default"/>
              </w:rPr>
            </w:pPr>
            <w:r>
              <w:rPr>
                <w:rFonts w:hint="default"/>
              </w:rPr>
              <w:t>Z:</w:t>
            </w:r>
            <w:bookmarkStart w:id="17" w:name="_GoBack"/>
            <w:bookmarkEnd w:id="17"/>
            <w:r>
              <w:rPr>
                <w:rFonts w:hint="default"/>
              </w:rPr>
              <w:t>\\Sharedrive\ISMS</w:t>
            </w:r>
          </w:p>
        </w:tc>
        <w:tc>
          <w:tcPr>
            <w:tcW w:w="1660" w:type="dxa"/>
          </w:tcPr>
          <w:p>
            <w:pPr>
              <w:rPr>
                <w:rFonts w:hint="default"/>
              </w:rPr>
            </w:pPr>
            <w:r>
              <w:rPr>
                <w:rFonts w:hint="default"/>
              </w:rPr>
              <w:t>CISO</w:t>
            </w:r>
          </w:p>
        </w:tc>
        <w:tc>
          <w:tcPr>
            <w:tcW w:w="2449" w:type="dxa"/>
          </w:tcPr>
          <w:p>
            <w:pPr>
              <w:rPr>
                <w:lang w:val="en-US"/>
              </w:rPr>
            </w:pPr>
            <w:r>
              <w:rPr>
                <w:lang w:val="en-US"/>
              </w:rPr>
              <w:t xml:space="preserve">Only </w:t>
            </w:r>
            <w:r>
              <w:rPr>
                <w:rFonts w:hint="default"/>
              </w:rPr>
              <w:t>CISO</w:t>
            </w:r>
            <w:r>
              <w:rPr>
                <w:lang w:val="en-US"/>
              </w:rPr>
              <w:t xml:space="preserve"> is authorized to edit data</w:t>
            </w:r>
          </w:p>
        </w:tc>
        <w:tc>
          <w:tcPr>
            <w:tcW w:w="1356" w:type="dxa"/>
          </w:tcPr>
          <w:p>
            <w:pPr>
              <w:rPr>
                <w:lang w:val="en-US"/>
              </w:rPr>
            </w:pPr>
            <w:r>
              <w:rPr>
                <w:lang w:val="en-US"/>
              </w:rPr>
              <w:t>Old versions of the List are archived for 3 years</w:t>
            </w:r>
          </w:p>
        </w:tc>
      </w:tr>
    </w:tbl>
    <w:p>
      <w:pPr>
        <w:rPr>
          <w:lang w:val="en-US"/>
        </w:rPr>
      </w:pPr>
    </w:p>
    <w:p>
      <w:pPr>
        <w:pStyle w:val="2"/>
        <w:rPr>
          <w:lang w:val="en-US"/>
        </w:rPr>
      </w:pPr>
      <w:bookmarkStart w:id="12" w:name="_Toc324421330"/>
      <w:bookmarkStart w:id="13" w:name="_Toc454534879"/>
      <w:bookmarkStart w:id="14" w:name="_Toc265344799"/>
      <w:r>
        <w:rPr>
          <w:lang w:val="en-US"/>
        </w:rPr>
        <w:t>Validity and document management</w:t>
      </w:r>
      <w:bookmarkEnd w:id="12"/>
      <w:bookmarkEnd w:id="13"/>
      <w:bookmarkEnd w:id="14"/>
    </w:p>
    <w:p>
      <w:pPr>
        <w:rPr>
          <w:lang w:val="en-US"/>
        </w:rPr>
      </w:pPr>
      <w:r>
        <w:rPr>
          <w:lang w:val="en-US"/>
        </w:rPr>
        <w:t xml:space="preserve">This document is valid as of </w:t>
      </w:r>
      <w:r>
        <w:rPr>
          <w:rFonts w:hint="default"/>
        </w:rPr>
        <w:t>2026/08/29</w:t>
      </w:r>
      <w:r>
        <w:rPr>
          <w:lang w:val="en-US"/>
        </w:rPr>
        <w:t>.</w:t>
      </w:r>
    </w:p>
    <w:p>
      <w:pPr>
        <w:rPr>
          <w:lang w:val="en-US"/>
        </w:rPr>
      </w:pPr>
      <w:r>
        <w:rPr>
          <w:lang w:val="en-US"/>
        </w:rPr>
        <w:t xml:space="preserve">The owner of this document is </w:t>
      </w:r>
      <w:r>
        <w:rPr>
          <w:rFonts w:hint="default"/>
        </w:rPr>
        <w:t>CISO</w:t>
      </w:r>
      <w:r>
        <w:rPr>
          <w:lang w:val="en-US"/>
        </w:rPr>
        <w:t>, who must check and, if necessary, update the document at least once a year.</w:t>
      </w:r>
    </w:p>
    <w:p>
      <w:pPr>
        <w:rPr>
          <w:lang w:val="en-US"/>
        </w:rPr>
      </w:pPr>
      <w:r>
        <w:rPr>
          <w:lang w:val="en-US"/>
        </w:rPr>
        <w:t>When evaluating the effectiveness and adequacy of this document, the following criteria must be considered:</w:t>
      </w:r>
    </w:p>
    <w:p>
      <w:pPr>
        <w:numPr>
          <w:ilvl w:val="0"/>
          <w:numId w:val="3"/>
        </w:numPr>
        <w:spacing w:after="0"/>
        <w:rPr>
          <w:lang w:val="en-US"/>
        </w:rPr>
      </w:pPr>
      <w:r>
        <w:rPr>
          <w:lang w:val="en-US"/>
        </w:rPr>
        <w:t>number of organization's obligations that existed, but were not identified</w:t>
      </w:r>
    </w:p>
    <w:p>
      <w:pPr>
        <w:numPr>
          <w:ilvl w:val="0"/>
          <w:numId w:val="3"/>
        </w:numPr>
        <w:spacing w:after="0"/>
        <w:rPr>
          <w:lang w:val="en-US"/>
        </w:rPr>
      </w:pPr>
      <w:r>
        <w:rPr>
          <w:lang w:val="en-US"/>
        </w:rPr>
        <w:t>number or amount of penalties paid, resulting from lack of compliance with obligations</w:t>
      </w:r>
    </w:p>
    <w:p>
      <w:pPr>
        <w:numPr>
          <w:ilvl w:val="0"/>
          <w:numId w:val="3"/>
        </w:numPr>
        <w:rPr>
          <w:lang w:val="en-US"/>
        </w:rPr>
      </w:pPr>
      <w:r>
        <w:rPr>
          <w:lang w:val="en-US"/>
        </w:rPr>
        <w:t>number of days that the compliance with obligations was late</w:t>
      </w:r>
    </w:p>
    <w:p>
      <w:r>
        <w:rPr>
          <w:lang w:val="en-US"/>
        </w:rPr>
        <w:t>Previous versions of this procedure must be stored for a period of 5 years, unless specified otherwise by legal or contractual requirement.</w:t>
      </w:r>
    </w:p>
    <w:p>
      <w:pPr>
        <w:rPr>
          <w:lang w:val="en-US"/>
        </w:rPr>
      </w:pPr>
    </w:p>
    <w:p>
      <w:pPr>
        <w:pStyle w:val="2"/>
        <w:rPr>
          <w:lang w:val="en-US"/>
        </w:rPr>
      </w:pPr>
      <w:bookmarkStart w:id="15" w:name="_Toc454534880"/>
      <w:bookmarkStart w:id="16" w:name="_Toc324421331"/>
      <w:r>
        <w:rPr>
          <w:lang w:val="en-US"/>
        </w:rPr>
        <w:t>Appendices</w:t>
      </w:r>
      <w:bookmarkEnd w:id="15"/>
      <w:bookmarkEnd w:id="16"/>
    </w:p>
    <w:p>
      <w:pPr>
        <w:pStyle w:val="33"/>
        <w:numPr>
          <w:ilvl w:val="0"/>
          <w:numId w:val="4"/>
        </w:numPr>
        <w:rPr>
          <w:lang w:val="en-US"/>
        </w:rPr>
      </w:pPr>
      <w:r>
        <w:rPr>
          <w:lang w:val="en-US"/>
        </w:rPr>
        <w:t>Appendix: Form – List of legal, regulatory, contractual and other requirements</w:t>
      </w:r>
    </w:p>
    <w:p>
      <w:pPr>
        <w:rPr>
          <w:lang w:val="en-US"/>
        </w:rPr>
      </w:pPr>
    </w:p>
    <w:p>
      <w:pPr>
        <w:spacing w:after="0"/>
        <w:rPr>
          <w:lang w:val="en-US"/>
        </w:rPr>
      </w:pPr>
      <w:r>
        <w:rPr>
          <w:rFonts w:hint="default"/>
          <w:lang w:val="en-US"/>
        </w:rPr>
        <w:t>Chief Information Security Officer (CISO)</w:t>
      </w:r>
    </w:p>
    <w:p>
      <w:pPr>
        <w:spacing w:after="0"/>
        <w:rPr>
          <w:rFonts w:hint="default"/>
        </w:rPr>
      </w:pPr>
      <w:r>
        <w:rPr>
          <w:rFonts w:hint="default"/>
        </w:rPr>
        <w:t>Taimor Ijlal</w:t>
      </w:r>
    </w:p>
    <w:p>
      <w:pPr>
        <w:spacing w:after="0"/>
        <w:rPr>
          <w:lang w:val="en-US"/>
        </w:rPr>
      </w:pPr>
    </w:p>
    <w:p>
      <w:pPr>
        <w:spacing w:after="0"/>
        <w:rPr>
          <w:lang w:val="en-US"/>
        </w:rPr>
      </w:pPr>
      <w:r>
        <w:rPr>
          <w:lang w:val="en-US"/>
        </w:rPr>
        <w:t>_________________________</w:t>
      </w:r>
    </w:p>
    <w:p>
      <w:pPr>
        <w:spacing w:after="0"/>
        <w:rPr>
          <w:lang w:val="en-US"/>
        </w:rPr>
      </w:pPr>
      <w:r>
        <w:rPr>
          <w:lang w:val="en-US"/>
        </w:rPr>
        <w:t>[signature]</w:t>
      </w: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747" w:type="dxa"/>
      <w:tblInd w:w="0" w:type="dxa"/>
      <w:tblBorders>
        <w:top w:val="single" w:color="000000" w:sz="4" w:space="0"/>
        <w:left w:val="none" w:color="auto" w:sz="0" w:space="0"/>
        <w:bottom w:val="none" w:color="auto" w:sz="0"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4361"/>
      <w:gridCol w:w="2268"/>
      <w:gridCol w:w="3118"/>
    </w:tblGrid>
    <w:tr>
      <w:tblPrEx>
        <w:tblBorders>
          <w:top w:val="single" w:color="000000" w:sz="4" w:space="0"/>
          <w:left w:val="none" w:color="auto" w:sz="0" w:space="0"/>
          <w:bottom w:val="none" w:color="auto" w:sz="0" w:space="0"/>
          <w:right w:val="none" w:color="auto" w:sz="0" w:space="0"/>
          <w:insideH w:val="single" w:color="000000" w:sz="4" w:space="0"/>
          <w:insideV w:val="none" w:color="auto" w:sz="0" w:space="0"/>
        </w:tblBorders>
      </w:tblPrEx>
      <w:tc>
        <w:tcPr>
          <w:tcW w:w="4361" w:type="dxa"/>
        </w:tcPr>
        <w:p>
          <w:pPr>
            <w:pStyle w:val="11"/>
            <w:rPr>
              <w:sz w:val="18"/>
              <w:szCs w:val="18"/>
            </w:rPr>
          </w:pPr>
          <w:r>
            <w:rPr>
              <w:sz w:val="18"/>
            </w:rPr>
            <w:t>Procedure for Identification of Requirements</w:t>
          </w:r>
        </w:p>
      </w:tc>
      <w:tc>
        <w:tcPr>
          <w:tcW w:w="2268" w:type="dxa"/>
        </w:tcPr>
        <w:p>
          <w:pPr>
            <w:pStyle w:val="11"/>
            <w:jc w:val="center"/>
            <w:rPr>
              <w:sz w:val="18"/>
              <w:szCs w:val="18"/>
            </w:rPr>
          </w:pPr>
        </w:p>
      </w:tc>
      <w:tc>
        <w:tcPr>
          <w:tcW w:w="3118" w:type="dxa"/>
        </w:tcPr>
        <w:p>
          <w:pPr>
            <w:pStyle w:val="11"/>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Pr>
              <w:b/>
              <w:sz w:val="18"/>
            </w:rPr>
            <w:t>2</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Pr>
              <w:b/>
              <w:sz w:val="18"/>
            </w:rPr>
            <w:t>4</w:t>
          </w:r>
          <w:r>
            <w:rPr>
              <w:b/>
              <w:sz w:val="18"/>
            </w:rPr>
            <w:fldChar w:fldCharType="end"/>
          </w:r>
        </w:p>
      </w:tc>
    </w:tr>
  </w:tbl>
  <w:p>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6771"/>
      <w:gridCol w:w="2517"/>
    </w:tblGrid>
    <w:tr>
      <w:tblPrEx>
        <w:tblBorders>
          <w:top w:val="none" w:color="auto" w:sz="0" w:space="0"/>
          <w:left w:val="none" w:color="auto" w:sz="0" w:space="0"/>
          <w:bottom w:val="single" w:color="000000" w:sz="4" w:space="0"/>
          <w:right w:val="none" w:color="auto" w:sz="0" w:space="0"/>
          <w:insideH w:val="single" w:color="000000" w:sz="4" w:space="0"/>
          <w:insideV w:val="none" w:color="auto" w:sz="0" w:space="0"/>
        </w:tblBorders>
      </w:tblPrEx>
      <w:tc>
        <w:tcPr>
          <w:tcW w:w="6771" w:type="dxa"/>
        </w:tcPr>
        <w:p>
          <w:pPr>
            <w:pStyle w:val="12"/>
            <w:spacing w:after="0"/>
            <w:rPr>
              <w:rFonts w:hint="default"/>
              <w:sz w:val="20"/>
              <w:szCs w:val="20"/>
            </w:rPr>
          </w:pPr>
          <w:r>
            <w:rPr>
              <w:rFonts w:hint="default"/>
              <w:sz w:val="20"/>
            </w:rPr>
            <w:t>Seventh Loop Tech</w:t>
          </w:r>
        </w:p>
      </w:tc>
      <w:tc>
        <w:tcPr>
          <w:tcW w:w="2517" w:type="dxa"/>
        </w:tcPr>
        <w:p>
          <w:pPr>
            <w:pStyle w:val="12"/>
            <w:spacing w:after="0"/>
            <w:jc w:val="right"/>
            <w:rPr>
              <w:rFonts w:hint="default"/>
              <w:sz w:val="20"/>
              <w:szCs w:val="20"/>
            </w:rPr>
          </w:pPr>
          <w:r>
            <w:rPr>
              <w:rFonts w:hint="default"/>
              <w:sz w:val="20"/>
            </w:rPr>
            <w:t>Internal</w:t>
          </w:r>
        </w:p>
      </w:tc>
    </w:tr>
  </w:tbl>
  <w:p>
    <w:pPr>
      <w:pStyle w:val="12"/>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559E"/>
    <w:multiLevelType w:val="multilevel"/>
    <w:tmpl w:val="01BD559E"/>
    <w:lvl w:ilvl="0" w:tentative="0">
      <w:start w:val="1"/>
      <w:numFmt w:val="decimal"/>
      <w:pStyle w:val="2"/>
      <w:lvlText w:val="%1."/>
      <w:lvlJc w:val="left"/>
      <w:pPr>
        <w:ind w:left="360" w:hanging="360"/>
      </w:pPr>
      <w:rPr>
        <w:rFonts w:hint="default"/>
      </w:rPr>
    </w:lvl>
    <w:lvl w:ilvl="1" w:tentative="0">
      <w:start w:val="1"/>
      <w:numFmt w:val="decimal"/>
      <w:pStyle w:val="3"/>
      <w:isLgl/>
      <w:lvlText w:val="%1.%2."/>
      <w:lvlJc w:val="left"/>
      <w:pPr>
        <w:ind w:left="360" w:hanging="360"/>
      </w:pPr>
      <w:rPr>
        <w:rFonts w:hint="default"/>
      </w:rPr>
    </w:lvl>
    <w:lvl w:ilvl="2" w:tentative="0">
      <w:start w:val="1"/>
      <w:numFmt w:val="decimal"/>
      <w:pStyle w:val="4"/>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32B04F65"/>
    <w:multiLevelType w:val="multilevel"/>
    <w:tmpl w:val="32B04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A85C07"/>
    <w:multiLevelType w:val="multilevel"/>
    <w:tmpl w:val="4DA85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F950628"/>
    <w:multiLevelType w:val="multilevel"/>
    <w:tmpl w:val="6F9506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yMTM3NjA3NzQ1tzBS0lEKTi0uzszPAykwqgUApybqcCwAAAA="/>
  </w:docVars>
  <w:rsids>
    <w:rsidRoot w:val="00927DFD"/>
    <w:rsid w:val="000336F2"/>
    <w:rsid w:val="00036E43"/>
    <w:rsid w:val="000839AE"/>
    <w:rsid w:val="000A31CB"/>
    <w:rsid w:val="000C7530"/>
    <w:rsid w:val="000F47D1"/>
    <w:rsid w:val="00101084"/>
    <w:rsid w:val="00130831"/>
    <w:rsid w:val="001655DC"/>
    <w:rsid w:val="00165CB5"/>
    <w:rsid w:val="0018229D"/>
    <w:rsid w:val="001A4CBC"/>
    <w:rsid w:val="001B4D6D"/>
    <w:rsid w:val="00203328"/>
    <w:rsid w:val="0022286C"/>
    <w:rsid w:val="0022714C"/>
    <w:rsid w:val="00236A13"/>
    <w:rsid w:val="0023709F"/>
    <w:rsid w:val="00271661"/>
    <w:rsid w:val="002808AB"/>
    <w:rsid w:val="00286C45"/>
    <w:rsid w:val="00290D2E"/>
    <w:rsid w:val="002D528B"/>
    <w:rsid w:val="002E789B"/>
    <w:rsid w:val="002F39D9"/>
    <w:rsid w:val="00300322"/>
    <w:rsid w:val="00302BD7"/>
    <w:rsid w:val="00384362"/>
    <w:rsid w:val="003A114A"/>
    <w:rsid w:val="003A7B56"/>
    <w:rsid w:val="003F45A7"/>
    <w:rsid w:val="004318E5"/>
    <w:rsid w:val="00456835"/>
    <w:rsid w:val="00494CF7"/>
    <w:rsid w:val="004A15DF"/>
    <w:rsid w:val="004B47CF"/>
    <w:rsid w:val="004C7429"/>
    <w:rsid w:val="004D26D7"/>
    <w:rsid w:val="004E2566"/>
    <w:rsid w:val="00540119"/>
    <w:rsid w:val="00546531"/>
    <w:rsid w:val="005473E8"/>
    <w:rsid w:val="00573AE0"/>
    <w:rsid w:val="005A3CB4"/>
    <w:rsid w:val="006118EC"/>
    <w:rsid w:val="006372B5"/>
    <w:rsid w:val="00647EB1"/>
    <w:rsid w:val="0066628D"/>
    <w:rsid w:val="00687478"/>
    <w:rsid w:val="006E7E7B"/>
    <w:rsid w:val="006F3B33"/>
    <w:rsid w:val="007028BF"/>
    <w:rsid w:val="0076167D"/>
    <w:rsid w:val="0076709B"/>
    <w:rsid w:val="00773881"/>
    <w:rsid w:val="00786ECD"/>
    <w:rsid w:val="007971FE"/>
    <w:rsid w:val="007D20F3"/>
    <w:rsid w:val="007E2A7F"/>
    <w:rsid w:val="007F709C"/>
    <w:rsid w:val="00807B57"/>
    <w:rsid w:val="008229F0"/>
    <w:rsid w:val="00833650"/>
    <w:rsid w:val="0083466E"/>
    <w:rsid w:val="00840148"/>
    <w:rsid w:val="00841268"/>
    <w:rsid w:val="00842F9F"/>
    <w:rsid w:val="0086055C"/>
    <w:rsid w:val="00862986"/>
    <w:rsid w:val="008B5E1A"/>
    <w:rsid w:val="008C2492"/>
    <w:rsid w:val="008F4799"/>
    <w:rsid w:val="00905860"/>
    <w:rsid w:val="00927DFD"/>
    <w:rsid w:val="00930748"/>
    <w:rsid w:val="00931AAD"/>
    <w:rsid w:val="009447CA"/>
    <w:rsid w:val="0098289A"/>
    <w:rsid w:val="009A337B"/>
    <w:rsid w:val="009C2473"/>
    <w:rsid w:val="009C4A8E"/>
    <w:rsid w:val="00A04E97"/>
    <w:rsid w:val="00A46597"/>
    <w:rsid w:val="00A929A5"/>
    <w:rsid w:val="00B13674"/>
    <w:rsid w:val="00B23FE7"/>
    <w:rsid w:val="00B71D54"/>
    <w:rsid w:val="00B75F38"/>
    <w:rsid w:val="00BA445D"/>
    <w:rsid w:val="00BA7089"/>
    <w:rsid w:val="00BE163D"/>
    <w:rsid w:val="00BE4AAB"/>
    <w:rsid w:val="00BF4D71"/>
    <w:rsid w:val="00BF4FF6"/>
    <w:rsid w:val="00C361B2"/>
    <w:rsid w:val="00C67D07"/>
    <w:rsid w:val="00C91029"/>
    <w:rsid w:val="00CA5334"/>
    <w:rsid w:val="00CB1C7E"/>
    <w:rsid w:val="00CC2195"/>
    <w:rsid w:val="00CF2D76"/>
    <w:rsid w:val="00CF2F3C"/>
    <w:rsid w:val="00D05A9B"/>
    <w:rsid w:val="00D44A0F"/>
    <w:rsid w:val="00D5019C"/>
    <w:rsid w:val="00D77068"/>
    <w:rsid w:val="00D82D0F"/>
    <w:rsid w:val="00DA453D"/>
    <w:rsid w:val="00E44005"/>
    <w:rsid w:val="00E55A4C"/>
    <w:rsid w:val="00E70958"/>
    <w:rsid w:val="00E80559"/>
    <w:rsid w:val="00E96AC9"/>
    <w:rsid w:val="00EB2918"/>
    <w:rsid w:val="00EF0A47"/>
    <w:rsid w:val="00EF27BC"/>
    <w:rsid w:val="00EF3B4B"/>
    <w:rsid w:val="00F177E2"/>
    <w:rsid w:val="00F31116"/>
    <w:rsid w:val="00F3731F"/>
    <w:rsid w:val="00F3793A"/>
    <w:rsid w:val="00F5538E"/>
    <w:rsid w:val="00FB0B66"/>
    <w:rsid w:val="00FC0B36"/>
    <w:rsid w:val="00FC7F62"/>
    <w:rsid w:val="00FF2BE3"/>
    <w:rsid w:val="4BF26CB2"/>
    <w:rsid w:val="7B14FAD2"/>
    <w:rsid w:val="97A96AB1"/>
    <w:rsid w:val="FDFD70C2"/>
  </w:rsids>
  <m:mathPr>
    <m:mathFont m:val="Cambria Math"/>
    <m:brkBin m:val="before"/>
    <m:brkBinSub m:val="--"/>
    <m:smallFrac m:val="0"/>
    <m:dispDef/>
    <m:lMargin m:val="0"/>
    <m:rMargin m:val="0"/>
    <m:defJc m:val="centerGroup"/>
    <m:wrapIndent m:val="1440"/>
    <m:intLim m:val="subSup"/>
    <m:naryLim m:val="undOvr"/>
  </m:mathPr>
  <w:themeFontLang w:val="hr-H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GB" w:eastAsia="en-US" w:bidi="ar-SA"/>
    </w:rPr>
  </w:style>
  <w:style w:type="paragraph" w:styleId="2">
    <w:name w:val="heading 1"/>
    <w:basedOn w:val="1"/>
    <w:next w:val="1"/>
    <w:link w:val="26"/>
    <w:qFormat/>
    <w:uiPriority w:val="9"/>
    <w:pPr>
      <w:numPr>
        <w:ilvl w:val="0"/>
        <w:numId w:val="1"/>
      </w:numPr>
      <w:outlineLvl w:val="0"/>
    </w:pPr>
    <w:rPr>
      <w:b/>
      <w:sz w:val="28"/>
      <w:szCs w:val="28"/>
    </w:rPr>
  </w:style>
  <w:style w:type="paragraph" w:styleId="3">
    <w:name w:val="heading 2"/>
    <w:basedOn w:val="1"/>
    <w:next w:val="1"/>
    <w:link w:val="30"/>
    <w:unhideWhenUsed/>
    <w:qFormat/>
    <w:uiPriority w:val="9"/>
    <w:pPr>
      <w:numPr>
        <w:ilvl w:val="1"/>
        <w:numId w:val="1"/>
      </w:numPr>
      <w:outlineLvl w:val="1"/>
    </w:pPr>
    <w:rPr>
      <w:b/>
      <w:sz w:val="24"/>
      <w:szCs w:val="24"/>
    </w:rPr>
  </w:style>
  <w:style w:type="paragraph" w:styleId="4">
    <w:name w:val="heading 3"/>
    <w:basedOn w:val="1"/>
    <w:next w:val="1"/>
    <w:link w:val="31"/>
    <w:unhideWhenUsed/>
    <w:qFormat/>
    <w:uiPriority w:val="9"/>
    <w:pPr>
      <w:numPr>
        <w:ilvl w:val="2"/>
        <w:numId w:val="1"/>
      </w:numPr>
      <w:outlineLvl w:val="2"/>
    </w:pPr>
    <w:rPr>
      <w:b/>
      <w:i/>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9"/>
    <w:semiHidden/>
    <w:unhideWhenUsed/>
    <w:qFormat/>
    <w:uiPriority w:val="99"/>
    <w:pPr>
      <w:spacing w:after="0" w:line="240" w:lineRule="auto"/>
    </w:pPr>
    <w:rPr>
      <w:rFonts w:ascii="Tahoma" w:hAnsi="Tahoma" w:cs="Tahoma"/>
      <w:sz w:val="16"/>
      <w:szCs w:val="16"/>
    </w:rPr>
  </w:style>
  <w:style w:type="character" w:styleId="8">
    <w:name w:val="annotation reference"/>
    <w:basedOn w:val="5"/>
    <w:semiHidden/>
    <w:unhideWhenUsed/>
    <w:qFormat/>
    <w:uiPriority w:val="99"/>
    <w:rPr>
      <w:sz w:val="16"/>
      <w:szCs w:val="16"/>
      <w:lang w:val="en-GB"/>
    </w:rPr>
  </w:style>
  <w:style w:type="paragraph" w:styleId="9">
    <w:name w:val="annotation text"/>
    <w:basedOn w:val="1"/>
    <w:link w:val="27"/>
    <w:semiHidden/>
    <w:unhideWhenUsed/>
    <w:qFormat/>
    <w:uiPriority w:val="99"/>
    <w:rPr>
      <w:sz w:val="20"/>
      <w:szCs w:val="20"/>
    </w:rPr>
  </w:style>
  <w:style w:type="paragraph" w:styleId="10">
    <w:name w:val="annotation subject"/>
    <w:basedOn w:val="9"/>
    <w:next w:val="9"/>
    <w:link w:val="28"/>
    <w:semiHidden/>
    <w:unhideWhenUsed/>
    <w:qFormat/>
    <w:uiPriority w:val="99"/>
    <w:rPr>
      <w:b/>
      <w:bCs/>
    </w:rPr>
  </w:style>
  <w:style w:type="paragraph" w:styleId="11">
    <w:name w:val="footer"/>
    <w:basedOn w:val="1"/>
    <w:link w:val="25"/>
    <w:unhideWhenUsed/>
    <w:qFormat/>
    <w:uiPriority w:val="0"/>
    <w:pPr>
      <w:tabs>
        <w:tab w:val="center" w:pos="4536"/>
        <w:tab w:val="right" w:pos="9072"/>
      </w:tabs>
    </w:pPr>
  </w:style>
  <w:style w:type="paragraph" w:styleId="12">
    <w:name w:val="header"/>
    <w:basedOn w:val="1"/>
    <w:link w:val="24"/>
    <w:unhideWhenUsed/>
    <w:qFormat/>
    <w:uiPriority w:val="99"/>
    <w:pPr>
      <w:tabs>
        <w:tab w:val="center" w:pos="4536"/>
        <w:tab w:val="right" w:pos="9072"/>
      </w:tabs>
    </w:pPr>
  </w:style>
  <w:style w:type="character" w:styleId="13">
    <w:name w:val="Hyperlink"/>
    <w:basedOn w:val="5"/>
    <w:unhideWhenUsed/>
    <w:qFormat/>
    <w:uiPriority w:val="99"/>
    <w:rPr>
      <w:color w:val="0000FF"/>
      <w:u w:val="single"/>
      <w:lang w:val="en-GB"/>
    </w:rPr>
  </w:style>
  <w:style w:type="table" w:styleId="14">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5">
    <w:name w:val="toc 1"/>
    <w:basedOn w:val="1"/>
    <w:next w:val="1"/>
    <w:unhideWhenUsed/>
    <w:qFormat/>
    <w:uiPriority w:val="39"/>
    <w:pPr>
      <w:spacing w:before="120" w:after="120"/>
    </w:pPr>
    <w:rPr>
      <w:b/>
      <w:bCs/>
      <w:caps/>
      <w:sz w:val="20"/>
      <w:szCs w:val="20"/>
    </w:rPr>
  </w:style>
  <w:style w:type="paragraph" w:styleId="16">
    <w:name w:val="toc 2"/>
    <w:basedOn w:val="1"/>
    <w:next w:val="1"/>
    <w:unhideWhenUsed/>
    <w:qFormat/>
    <w:uiPriority w:val="39"/>
    <w:pPr>
      <w:spacing w:after="0"/>
      <w:ind w:left="220"/>
    </w:pPr>
    <w:rPr>
      <w:smallCaps/>
      <w:sz w:val="20"/>
      <w:szCs w:val="20"/>
    </w:rPr>
  </w:style>
  <w:style w:type="paragraph" w:styleId="17">
    <w:name w:val="toc 3"/>
    <w:basedOn w:val="1"/>
    <w:next w:val="1"/>
    <w:unhideWhenUsed/>
    <w:qFormat/>
    <w:uiPriority w:val="39"/>
    <w:pPr>
      <w:spacing w:after="0"/>
      <w:ind w:left="440"/>
    </w:pPr>
    <w:rPr>
      <w:i/>
      <w:iCs/>
      <w:sz w:val="20"/>
      <w:szCs w:val="20"/>
    </w:rPr>
  </w:style>
  <w:style w:type="paragraph" w:styleId="18">
    <w:name w:val="toc 4"/>
    <w:basedOn w:val="1"/>
    <w:next w:val="1"/>
    <w:unhideWhenUsed/>
    <w:qFormat/>
    <w:uiPriority w:val="39"/>
    <w:pPr>
      <w:spacing w:after="0"/>
      <w:ind w:left="660"/>
    </w:pPr>
    <w:rPr>
      <w:sz w:val="18"/>
      <w:szCs w:val="18"/>
    </w:rPr>
  </w:style>
  <w:style w:type="paragraph" w:styleId="19">
    <w:name w:val="toc 5"/>
    <w:basedOn w:val="1"/>
    <w:next w:val="1"/>
    <w:unhideWhenUsed/>
    <w:qFormat/>
    <w:uiPriority w:val="39"/>
    <w:pPr>
      <w:spacing w:after="0"/>
      <w:ind w:left="880"/>
    </w:pPr>
    <w:rPr>
      <w:sz w:val="18"/>
      <w:szCs w:val="18"/>
    </w:rPr>
  </w:style>
  <w:style w:type="paragraph" w:styleId="20">
    <w:name w:val="toc 6"/>
    <w:basedOn w:val="1"/>
    <w:next w:val="1"/>
    <w:unhideWhenUsed/>
    <w:qFormat/>
    <w:uiPriority w:val="39"/>
    <w:pPr>
      <w:spacing w:after="0"/>
      <w:ind w:left="1100"/>
    </w:pPr>
    <w:rPr>
      <w:sz w:val="18"/>
      <w:szCs w:val="18"/>
    </w:rPr>
  </w:style>
  <w:style w:type="paragraph" w:styleId="21">
    <w:name w:val="toc 7"/>
    <w:basedOn w:val="1"/>
    <w:next w:val="1"/>
    <w:unhideWhenUsed/>
    <w:qFormat/>
    <w:uiPriority w:val="39"/>
    <w:pPr>
      <w:spacing w:after="0"/>
      <w:ind w:left="1320"/>
    </w:pPr>
    <w:rPr>
      <w:sz w:val="18"/>
      <w:szCs w:val="18"/>
    </w:rPr>
  </w:style>
  <w:style w:type="paragraph" w:styleId="22">
    <w:name w:val="toc 8"/>
    <w:basedOn w:val="1"/>
    <w:next w:val="1"/>
    <w:unhideWhenUsed/>
    <w:qFormat/>
    <w:uiPriority w:val="39"/>
    <w:pPr>
      <w:spacing w:after="0"/>
      <w:ind w:left="1540"/>
    </w:pPr>
    <w:rPr>
      <w:sz w:val="18"/>
      <w:szCs w:val="18"/>
    </w:rPr>
  </w:style>
  <w:style w:type="paragraph" w:styleId="23">
    <w:name w:val="toc 9"/>
    <w:basedOn w:val="1"/>
    <w:next w:val="1"/>
    <w:unhideWhenUsed/>
    <w:qFormat/>
    <w:uiPriority w:val="39"/>
    <w:pPr>
      <w:spacing w:after="0"/>
      <w:ind w:left="1760"/>
    </w:pPr>
    <w:rPr>
      <w:sz w:val="18"/>
      <w:szCs w:val="18"/>
    </w:rPr>
  </w:style>
  <w:style w:type="character" w:customStyle="1" w:styleId="24">
    <w:name w:val="Header Char"/>
    <w:basedOn w:val="5"/>
    <w:link w:val="12"/>
    <w:qFormat/>
    <w:uiPriority w:val="99"/>
    <w:rPr>
      <w:sz w:val="22"/>
      <w:szCs w:val="22"/>
      <w:lang w:val="en-GB" w:eastAsia="en-US"/>
    </w:rPr>
  </w:style>
  <w:style w:type="character" w:customStyle="1" w:styleId="25">
    <w:name w:val="Footer Char"/>
    <w:basedOn w:val="5"/>
    <w:link w:val="11"/>
    <w:qFormat/>
    <w:uiPriority w:val="99"/>
    <w:rPr>
      <w:sz w:val="22"/>
      <w:szCs w:val="22"/>
      <w:lang w:val="en-GB" w:eastAsia="en-US"/>
    </w:rPr>
  </w:style>
  <w:style w:type="character" w:customStyle="1" w:styleId="26">
    <w:name w:val="Heading 1 Char"/>
    <w:basedOn w:val="5"/>
    <w:link w:val="2"/>
    <w:qFormat/>
    <w:uiPriority w:val="9"/>
    <w:rPr>
      <w:b/>
      <w:sz w:val="28"/>
      <w:szCs w:val="28"/>
      <w:lang w:val="en-GB" w:eastAsia="en-US"/>
    </w:rPr>
  </w:style>
  <w:style w:type="character" w:customStyle="1" w:styleId="27">
    <w:name w:val="Comment Text Char"/>
    <w:basedOn w:val="5"/>
    <w:link w:val="9"/>
    <w:semiHidden/>
    <w:qFormat/>
    <w:uiPriority w:val="99"/>
    <w:rPr>
      <w:lang w:val="en-GB" w:eastAsia="en-US"/>
    </w:rPr>
  </w:style>
  <w:style w:type="character" w:customStyle="1" w:styleId="28">
    <w:name w:val="Comment Subject Char"/>
    <w:basedOn w:val="27"/>
    <w:link w:val="10"/>
    <w:semiHidden/>
    <w:qFormat/>
    <w:uiPriority w:val="99"/>
    <w:rPr>
      <w:b/>
      <w:bCs/>
      <w:lang w:val="en-GB" w:eastAsia="en-US"/>
    </w:rPr>
  </w:style>
  <w:style w:type="character" w:customStyle="1" w:styleId="29">
    <w:name w:val="Balloon Text Char"/>
    <w:basedOn w:val="5"/>
    <w:link w:val="7"/>
    <w:semiHidden/>
    <w:qFormat/>
    <w:uiPriority w:val="99"/>
    <w:rPr>
      <w:rFonts w:ascii="Tahoma" w:hAnsi="Tahoma" w:cs="Tahoma"/>
      <w:sz w:val="16"/>
      <w:szCs w:val="16"/>
      <w:lang w:val="en-GB" w:eastAsia="en-US"/>
    </w:rPr>
  </w:style>
  <w:style w:type="character" w:customStyle="1" w:styleId="30">
    <w:name w:val="Heading 2 Char"/>
    <w:basedOn w:val="5"/>
    <w:link w:val="3"/>
    <w:qFormat/>
    <w:uiPriority w:val="9"/>
    <w:rPr>
      <w:b/>
      <w:sz w:val="24"/>
      <w:szCs w:val="24"/>
      <w:lang w:val="en-GB" w:eastAsia="en-US"/>
    </w:rPr>
  </w:style>
  <w:style w:type="character" w:customStyle="1" w:styleId="31">
    <w:name w:val="Heading 3 Char"/>
    <w:basedOn w:val="5"/>
    <w:link w:val="4"/>
    <w:qFormat/>
    <w:uiPriority w:val="9"/>
    <w:rPr>
      <w:b/>
      <w:i/>
      <w:sz w:val="22"/>
      <w:szCs w:val="22"/>
      <w:lang w:val="en-GB" w:eastAsia="en-US"/>
    </w:rPr>
  </w:style>
  <w:style w:type="paragraph" w:customStyle="1" w:styleId="32">
    <w:name w:val="TOC Heading"/>
    <w:basedOn w:val="2"/>
    <w:next w:val="1"/>
    <w:semiHidden/>
    <w:unhideWhenUsed/>
    <w:qFormat/>
    <w:uiPriority w:val="39"/>
    <w:pPr>
      <w:keepNext/>
      <w:keepLines/>
      <w:numPr>
        <w:numId w:val="0"/>
      </w:numPr>
      <w:spacing w:before="480" w:after="0"/>
      <w:outlineLvl w:val="9"/>
    </w:pPr>
    <w:rPr>
      <w:rFonts w:ascii="Cambria" w:hAnsi="Cambria" w:eastAsia="Times New Roman"/>
      <w:bCs/>
      <w:color w:val="365F91"/>
      <w:lang w:val="en-US"/>
    </w:rPr>
  </w:style>
  <w:style w:type="paragraph" w:styleId="33">
    <w:name w:val="List Paragraph"/>
    <w:basedOn w:val="1"/>
    <w:qFormat/>
    <w:uiPriority w:val="34"/>
    <w:pPr>
      <w:ind w:left="720"/>
      <w:contextualSpacing/>
    </w:pPr>
  </w:style>
  <w:style w:type="paragraph" w:customStyle="1" w:styleId="34">
    <w:name w:val="Revision"/>
    <w:hidden/>
    <w:semiHidden/>
    <w:qFormat/>
    <w:uiPriority w:val="99"/>
    <w:rPr>
      <w:rFonts w:ascii="Calibri" w:hAnsi="Calibri" w:eastAsia="Calibri" w:cs="Times New Roman"/>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EPPS Services Ltd</Company>
  <Pages>4</Pages>
  <Words>572</Words>
  <Characters>3422</Characters>
  <Lines>31</Lines>
  <Paragraphs>8</Paragraphs>
  <TotalTime>107</TotalTime>
  <ScaleCrop>false</ScaleCrop>
  <LinksUpToDate>false</LinksUpToDate>
  <CharactersWithSpaces>4036</CharactersWithSpaces>
  <Application>WPS Office_4.1.0.7501_F1E327BC-269C-435d-A152-05C5408002CA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2016-06-08T23:31:00Z</dcterms:created>
  <dc:creator>Hammad Zahid</dc:creator>
  <cp:lastModifiedBy>Hammad Zahid</cp:lastModifiedBy>
  <dcterms:modified xsi:type="dcterms:W3CDTF">2025-08-20T14:04:15Z</dcterms:modified>
  <dc:title>Procedure for identification of requirements</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