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Business Finance – Assignment 2</w:t>
      </w:r>
    </w:p>
    <w:p>
      <w:pPr>
        <w:spacing w:after="200"/>
        <w:jc w:val="center"/>
      </w:pPr>
      <w:r>
        <w:rPr>
          <w:i/>
          <w:iCs/>
          <w:color w:val="595959"/>
          <w:sz w:val="26"/>
          <w:szCs w:val="26"/>
        </w:rPr>
        <w:t xml:space="preserve">Haier Financial Statement Analysis (2021–2024)</w:t>
      </w:r>
    </w:p>
    <w:p>
      <w:pPr>
        <w:spacing w:after="20"/>
        <w:jc w:val="center"/>
      </w:pPr>
      <w:r>
        <w:rPr>
          <w:color w:val="595959"/>
          <w:sz w:val="18"/>
          <w:szCs w:val="18"/>
        </w:rPr>
        <w:t xml:space="preserve">Submitted by: Hamnah Fatima Khan (FA24-BBD-031) · Mehak Fatima (FA24-BBD-049) · Noor ul Ain Zahid (FA24-BBD-069)</w:t>
      </w:r>
    </w:p>
    <w:p>
      <w:pPr>
        <w:spacing w:after="260"/>
        <w:jc w:val="center"/>
      </w:pPr>
      <w:r>
        <w:rPr>
          <w:color w:val="595959"/>
          <w:sz w:val="18"/>
          <w:szCs w:val="18"/>
        </w:rPr>
        <w:t xml:space="preserve">Submitted to: Prof. Sadia Umar Ahmad</w:t>
      </w:r>
    </w:p>
    <w:p>
      <w:pPr>
        <w:pStyle w:val="Heading1"/>
        <w:pBdr>
          <w:bottom w:val="single" w:color="1F3864" w:sz="6" w:space="4"/>
        </w:pBdr>
        <w:spacing w:after="120" w:before="240"/>
      </w:pPr>
      <w:r>
        <w:rPr>
          <w:rFonts w:ascii="Calibri" w:cs="Calibri" w:eastAsia="Calibri" w:hAnsi="Calibri"/>
          <w:b/>
          <w:bCs/>
          <w:color w:val="1F3864"/>
          <w:sz w:val="26"/>
          <w:szCs w:val="26"/>
        </w:rPr>
        <w:t xml:space="preserve">1. Introduction</w:t>
      </w:r>
    </w:p>
    <w:p>
      <w:pPr>
        <w:spacing w:after="120" w:line="276"/>
      </w:pPr>
      <w:r>
        <w:rPr>
          <w:rFonts w:ascii="Calibri" w:cs="Calibri" w:eastAsia="Calibri" w:hAnsi="Calibri"/>
          <w:sz w:val="21"/>
          <w:szCs w:val="21"/>
        </w:rPr>
        <w:t xml:space="preserve">This report looks at Haier's financial health over four years, from 2021 to 2024. We used the company's yearly financial statements to calculate five types of ratios: liquidity, leverage, coverage, activity, and profitability. These ratios help us understand how well Haier pays its short-term bills, how much debt it carries, how easily it covers interest payments, how efficiently it uses its resources, and how much profit it makes. The goal is to explain these numbers in simple terms and suggest ways the company can improve.</w:t>
      </w:r>
    </w:p>
    <w:p>
      <w:pPr>
        <w:pStyle w:val="Heading1"/>
        <w:pBdr>
          <w:bottom w:val="single" w:color="1F3864" w:sz="6" w:space="4"/>
        </w:pBdr>
        <w:spacing w:after="120" w:before="240"/>
      </w:pPr>
      <w:r>
        <w:rPr>
          <w:rFonts w:ascii="Calibri" w:cs="Calibri" w:eastAsia="Calibri" w:hAnsi="Calibri"/>
          <w:b/>
          <w:bCs/>
          <w:color w:val="1F3864"/>
          <w:sz w:val="26"/>
          <w:szCs w:val="26"/>
        </w:rPr>
        <w:t xml:space="preserve">2. Key Financial Ratios</w:t>
      </w:r>
    </w:p>
    <w:p>
      <w:pPr>
        <w:pStyle w:val="Heading2"/>
        <w:spacing w:after="80" w:before="180"/>
      </w:pPr>
      <w:r>
        <w:rPr>
          <w:rFonts w:ascii="Calibri" w:cs="Calibri" w:eastAsia="Calibri" w:hAnsi="Calibri"/>
          <w:b/>
          <w:bCs/>
          <w:color w:val="1F3864"/>
          <w:sz w:val="22"/>
          <w:szCs w:val="22"/>
        </w:rPr>
        <w:t xml:space="preserve">2.1  Liquidity Ratios</w:t>
      </w:r>
    </w:p>
    <w:p>
      <w:pPr>
        <w:spacing w:after="120" w:line="276"/>
      </w:pPr>
      <w:r>
        <w:rPr>
          <w:rFonts w:ascii="Calibri" w:cs="Calibri" w:eastAsia="Calibri" w:hAnsi="Calibri"/>
          <w:sz w:val="21"/>
          <w:szCs w:val="21"/>
        </w:rPr>
        <w:t xml:space="preserve">These ratios show whether Haier has enough short-term assets to pay its short-term debts.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Ratio</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2021</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2022</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2023</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2024</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Current Ratio</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0.99</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1.09</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1.12</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1.01</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Acid-Test Ratio</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0.67</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0.74</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0.80</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0.72</w:t>
            </w:r>
          </w:p>
        </w:tc>
      </w:tr>
    </w:tbl>
    <w:p>
      <w:pPr>
        <w:pStyle w:val="Heading2"/>
        <w:spacing w:after="80" w:before="180"/>
      </w:pPr>
      <w:r>
        <w:rPr>
          <w:rFonts w:ascii="Calibri" w:cs="Calibri" w:eastAsia="Calibri" w:hAnsi="Calibri"/>
          <w:b/>
          <w:bCs/>
          <w:color w:val="1F3864"/>
          <w:sz w:val="22"/>
          <w:szCs w:val="22"/>
        </w:rPr>
        <w:t xml:space="preserve">2.2  Leverage Ratios</w:t>
      </w:r>
    </w:p>
    <w:p>
      <w:pPr>
        <w:spacing w:after="120" w:line="276"/>
      </w:pPr>
      <w:r>
        <w:rPr>
          <w:rFonts w:ascii="Calibri" w:cs="Calibri" w:eastAsia="Calibri" w:hAnsi="Calibri"/>
          <w:sz w:val="21"/>
          <w:szCs w:val="21"/>
        </w:rPr>
        <w:t xml:space="preserve">These ratios show how much of the company is financed by debt versus its own funds.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Ratio</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2021</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2022</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2023</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2024</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Debt-to-Equity</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1.70</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1.51</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1.52</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1.54</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Debt-to-Total Assets</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0.63</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0.60</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0.59</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0.59</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Total Capitalization</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1.44</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1.25</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1.18</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1.27</w:t>
            </w:r>
          </w:p>
        </w:tc>
      </w:tr>
    </w:tbl>
    <w:p>
      <w:pPr>
        <w:pStyle w:val="Heading2"/>
        <w:spacing w:after="80" w:before="180"/>
      </w:pPr>
      <w:r>
        <w:rPr>
          <w:rFonts w:ascii="Calibri" w:cs="Calibri" w:eastAsia="Calibri" w:hAnsi="Calibri"/>
          <w:b/>
          <w:bCs/>
          <w:color w:val="1F3864"/>
          <w:sz w:val="22"/>
          <w:szCs w:val="22"/>
        </w:rPr>
        <w:t xml:space="preserve">2.3  Coverage Ratio</w:t>
      </w:r>
    </w:p>
    <w:p>
      <w:pPr>
        <w:spacing w:after="120" w:line="276"/>
      </w:pPr>
      <w:r>
        <w:rPr>
          <w:rFonts w:ascii="Calibri" w:cs="Calibri" w:eastAsia="Calibri" w:hAnsi="Calibri"/>
          <w:sz w:val="21"/>
          <w:szCs w:val="21"/>
        </w:rPr>
        <w:t xml:space="preserve">This ratio shows how easily Haier can pay the interest on its loans using its earnings.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Ratio</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2021</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2022</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2023</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2024</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Interest Coverage (x)</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23.32</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18.88</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10.33</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9.41</w:t>
            </w:r>
          </w:p>
        </w:tc>
      </w:tr>
    </w:tbl>
    <w:p>
      <w:pPr>
        <w:pStyle w:val="Heading2"/>
        <w:spacing w:after="80" w:before="180"/>
      </w:pPr>
      <w:r>
        <w:rPr>
          <w:rFonts w:ascii="Calibri" w:cs="Calibri" w:eastAsia="Calibri" w:hAnsi="Calibri"/>
          <w:b/>
          <w:bCs/>
          <w:color w:val="1F3864"/>
          <w:sz w:val="22"/>
          <w:szCs w:val="22"/>
        </w:rPr>
        <w:t xml:space="preserve">2.4  Activity Ratios</w:t>
      </w:r>
    </w:p>
    <w:p>
      <w:pPr>
        <w:spacing w:after="120" w:line="276"/>
      </w:pPr>
      <w:r>
        <w:rPr>
          <w:rFonts w:ascii="Calibri" w:cs="Calibri" w:eastAsia="Calibri" w:hAnsi="Calibri"/>
          <w:sz w:val="21"/>
          <w:szCs w:val="21"/>
        </w:rPr>
        <w:t xml:space="preserve">These ratios show how efficiently Haier uses its assets, inventory, and credit to generate sales.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Ratio</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2021</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2022</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2023</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2024</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Receivable Turnover</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8.12</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9.55</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8.71</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7.41</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Payable Turnover</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2.34</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2.52</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2.78</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2.75</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Inventory Turnover</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3.95</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4.07</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5.07</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4.83</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Total Asset Turnover</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1.11</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1.03</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1.05</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0.99</w:t>
            </w:r>
          </w:p>
        </w:tc>
      </w:tr>
    </w:tbl>
    <w:p>
      <w:pPr>
        <w:pStyle w:val="Heading2"/>
        <w:spacing w:after="80" w:before="180"/>
      </w:pPr>
      <w:r>
        <w:rPr>
          <w:rFonts w:ascii="Calibri" w:cs="Calibri" w:eastAsia="Calibri" w:hAnsi="Calibri"/>
          <w:b/>
          <w:bCs/>
          <w:color w:val="1F3864"/>
          <w:sz w:val="22"/>
          <w:szCs w:val="22"/>
        </w:rPr>
        <w:t xml:space="preserve">2.5  Profitability Ratios</w:t>
      </w:r>
    </w:p>
    <w:p>
      <w:pPr>
        <w:spacing w:after="120" w:line="276"/>
      </w:pPr>
      <w:r>
        <w:rPr>
          <w:rFonts w:ascii="Calibri" w:cs="Calibri" w:eastAsia="Calibri" w:hAnsi="Calibri"/>
          <w:sz w:val="21"/>
          <w:szCs w:val="21"/>
        </w:rPr>
        <w:t xml:space="preserve">These ratios show how much profit Haier earns compared to its sales, assets, and equity.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Ratio</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2021</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2022</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2023</w:t>
            </w:r>
          </w:p>
        </w:tc>
        <w:tc>
          <w:tcPr>
            <w:tcW w:type="dxa" w:w="155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2024</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Gross Profit Margin</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30.6%</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30.6%</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26.8%</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27.2%</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Net Profit Margin</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5.8%</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6.0%</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6.2%</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6.8%</w:t>
            </w:r>
          </w:p>
        </w:tc>
      </w:tr>
      <w:tr>
        <w:tc>
          <w:tcPr>
            <w:tcW w:type="dxa" w:w="2600"/>
            <w:tcMar>
              <w:top w:type="dxa" w:w="50"/>
              <w:left w:type="dxa" w:w="80"/>
              <w:bottom w:type="dxa" w:w="50"/>
              <w:right w:type="dxa" w:w="80"/>
            </w:tcMar>
            <w:vAlign w:val="center"/>
          </w:tcPr>
          <w:p>
            <w:pPr>
              <w:jc w:val="left"/>
            </w:pPr>
            <w:r>
              <w:rPr>
                <w:rFonts w:ascii="Calibri" w:cs="Calibri" w:eastAsia="Calibri" w:hAnsi="Calibri"/>
                <w:b/>
                <w:bCs/>
                <w:sz w:val="18"/>
                <w:szCs w:val="18"/>
              </w:rPr>
              <w:t xml:space="preserve">Return on Investment</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6.4%</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6.2%</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6.5%</w:t>
            </w:r>
          </w:p>
        </w:tc>
        <w:tc>
          <w:tcPr>
            <w:tcW w:type="dxa" w:w="1550"/>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6.7%</w:t>
            </w:r>
          </w:p>
        </w:tc>
      </w:tr>
      <w:tr>
        <w:tc>
          <w:tcPr>
            <w:tcW w:type="dxa" w:w="2600"/>
            <w:shd w:fill="F2F2F2" w:val="clear"/>
            <w:tcMar>
              <w:top w:type="dxa" w:w="50"/>
              <w:left w:type="dxa" w:w="80"/>
              <w:bottom w:type="dxa" w:w="50"/>
              <w:right w:type="dxa" w:w="80"/>
            </w:tcMar>
            <w:vAlign w:val="center"/>
          </w:tcPr>
          <w:p>
            <w:pPr>
              <w:jc w:val="left"/>
            </w:pPr>
            <w:r>
              <w:rPr>
                <w:rFonts w:ascii="Calibri" w:cs="Calibri" w:eastAsia="Calibri" w:hAnsi="Calibri"/>
                <w:b/>
                <w:bCs/>
                <w:sz w:val="18"/>
                <w:szCs w:val="18"/>
              </w:rPr>
              <w:t xml:space="preserve">Return on Equity</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16.5%</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15.8%</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16.9%</w:t>
            </w:r>
          </w:p>
        </w:tc>
        <w:tc>
          <w:tcPr>
            <w:tcW w:type="dxa" w:w="1550"/>
            <w:shd w:fill="F2F2F2" w:val="clear"/>
            <w:tcMar>
              <w:top w:type="dxa" w:w="50"/>
              <w:left w:type="dxa" w:w="80"/>
              <w:bottom w:type="dxa" w:w="50"/>
              <w:right w:type="dxa" w:w="80"/>
            </w:tcMar>
            <w:vAlign w:val="center"/>
          </w:tcPr>
          <w:p>
            <w:pPr>
              <w:jc w:val="center"/>
            </w:pPr>
            <w:r>
              <w:rPr>
                <w:rFonts w:ascii="Calibri" w:cs="Calibri" w:eastAsia="Calibri" w:hAnsi="Calibri"/>
                <w:b w:val="false"/>
                <w:bCs w:val="false"/>
                <w:sz w:val="18"/>
                <w:szCs w:val="18"/>
              </w:rPr>
              <w:t xml:space="preserve">17.6%</w:t>
            </w:r>
          </w:p>
        </w:tc>
      </w:tr>
    </w:tbl>
    <w:p>
      <w:pPr>
        <w:pStyle w:val="Heading1"/>
        <w:pBdr>
          <w:bottom w:val="single" w:color="1F3864" w:sz="6" w:space="4"/>
        </w:pBdr>
        <w:spacing w:after="120" w:before="240"/>
      </w:pPr>
      <w:r>
        <w:rPr>
          <w:rFonts w:ascii="Calibri" w:cs="Calibri" w:eastAsia="Calibri" w:hAnsi="Calibri"/>
          <w:b/>
          <w:bCs/>
          <w:color w:val="1F3864"/>
          <w:sz w:val="26"/>
          <w:szCs w:val="26"/>
        </w:rPr>
        <w:t xml:space="preserve">3. Analysis in Simple Words</w:t>
      </w:r>
    </w:p>
    <w:p>
      <w:pPr>
        <w:pStyle w:val="Heading2"/>
        <w:spacing w:after="80" w:before="180"/>
      </w:pPr>
      <w:r>
        <w:rPr>
          <w:rFonts w:ascii="Calibri" w:cs="Calibri" w:eastAsia="Calibri" w:hAnsi="Calibri"/>
          <w:b/>
          <w:bCs/>
          <w:color w:val="1F3864"/>
          <w:sz w:val="22"/>
          <w:szCs w:val="22"/>
        </w:rPr>
        <w:t xml:space="preserve">Liquidity</w:t>
      </w:r>
    </w:p>
    <w:p>
      <w:pPr>
        <w:spacing w:after="120" w:line="276"/>
      </w:pPr>
      <w:r>
        <w:rPr>
          <w:rFonts w:ascii="Calibri" w:cs="Calibri" w:eastAsia="Calibri" w:hAnsi="Calibri"/>
          <w:sz w:val="21"/>
          <w:szCs w:val="21"/>
        </w:rPr>
        <w:t xml:space="preserve">The current ratio improved from 0.99 in 2021 to 1.12 in 2023, meaning Haier had more short-term assets to cover its short-term debts. But it dropped slightly to 1.01 in 2024, showing the company's cash cushion is a bit thin. The acid-test ratio followed a similar pattern — it rose from 0.67 to 0.80, then fell to 0.72 in 2024, so immediate liquidity (without counting inventory) weakened a little at the end.</w:t>
      </w:r>
    </w:p>
    <w:p>
      <w:pPr>
        <w:pStyle w:val="Heading2"/>
        <w:spacing w:after="80" w:before="180"/>
      </w:pPr>
      <w:r>
        <w:rPr>
          <w:rFonts w:ascii="Calibri" w:cs="Calibri" w:eastAsia="Calibri" w:hAnsi="Calibri"/>
          <w:b/>
          <w:bCs/>
          <w:color w:val="1F3864"/>
          <w:sz w:val="22"/>
          <w:szCs w:val="22"/>
        </w:rPr>
        <w:t xml:space="preserve">Leverage</w:t>
      </w:r>
    </w:p>
    <w:p>
      <w:pPr>
        <w:spacing w:after="120" w:line="276"/>
      </w:pPr>
      <w:r>
        <w:rPr>
          <w:rFonts w:ascii="Calibri" w:cs="Calibri" w:eastAsia="Calibri" w:hAnsi="Calibri"/>
          <w:sz w:val="21"/>
          <w:szCs w:val="21"/>
        </w:rPr>
        <w:t xml:space="preserve">The debt-to-equity ratio fell from 1.70 in 2021 to 1.51 in 2022, meaning Haier relied less on borrowed money, but it crept back up to 1.54 by 2024, showing moderate financial risk. The debt-to-total-assets ratio stayed steady between 0.59 and 0.63, which is a sign of a fairly balanced mix of debt and equity. The total capitalization ratio dipped from 1.44 to 1.18 and then rose to 1.27, showing mild ups and downs but an overall stable financing pattern.</w:t>
      </w:r>
    </w:p>
    <w:p>
      <w:pPr>
        <w:pStyle w:val="Heading2"/>
        <w:spacing w:after="80" w:before="180"/>
      </w:pPr>
      <w:r>
        <w:rPr>
          <w:rFonts w:ascii="Calibri" w:cs="Calibri" w:eastAsia="Calibri" w:hAnsi="Calibri"/>
          <w:b/>
          <w:bCs/>
          <w:color w:val="1F3864"/>
          <w:sz w:val="22"/>
          <w:szCs w:val="22"/>
        </w:rPr>
        <w:t xml:space="preserve">Coverage</w:t>
      </w:r>
    </w:p>
    <w:p>
      <w:pPr>
        <w:spacing w:after="120" w:line="276"/>
      </w:pPr>
      <w:r>
        <w:rPr>
          <w:rFonts w:ascii="Calibri" w:cs="Calibri" w:eastAsia="Calibri" w:hAnsi="Calibri"/>
          <w:sz w:val="21"/>
          <w:szCs w:val="21"/>
        </w:rPr>
        <w:t xml:space="preserve">The interest coverage ratio dropped consistently, from 23.32 times in 2021 to 9.41 times in 2024. This means Haier's ability to pay interest from its earnings is weakening year by year — still enough for now, but the safety margin is shrinking.</w:t>
      </w:r>
    </w:p>
    <w:p>
      <w:pPr>
        <w:pStyle w:val="Heading2"/>
        <w:spacing w:after="80" w:before="180"/>
      </w:pPr>
      <w:r>
        <w:rPr>
          <w:rFonts w:ascii="Calibri" w:cs="Calibri" w:eastAsia="Calibri" w:hAnsi="Calibri"/>
          <w:b/>
          <w:bCs/>
          <w:color w:val="1F3864"/>
          <w:sz w:val="22"/>
          <w:szCs w:val="22"/>
        </w:rPr>
        <w:t xml:space="preserve">Activity (Efficiency)</w:t>
      </w:r>
    </w:p>
    <w:p>
      <w:pPr>
        <w:spacing w:after="120" w:line="276"/>
      </w:pPr>
      <w:r>
        <w:rPr>
          <w:rFonts w:ascii="Calibri" w:cs="Calibri" w:eastAsia="Calibri" w:hAnsi="Calibri"/>
          <w:sz w:val="21"/>
          <w:szCs w:val="21"/>
        </w:rPr>
        <w:t xml:space="preserve">The receivable turnover ratio improved in 2022 (9.55) but fell to 7.41 by 2024, meaning it now takes longer to collect money from customers. The payable turnover ratio rose slightly from 2.34 to 2.75, so Haier is paying its own suppliers a bit faster. Inventory turnover improved from 3.95 to 5.07 in 2023 before slipping to 4.83 in 2024, showing generally better (though slightly inconsistent) stock management. The total asset turnover ratio fell from 1.11 to 0.99, a small sign that assets are generating slightly less sales than before.</w:t>
      </w:r>
    </w:p>
    <w:p>
      <w:pPr>
        <w:pStyle w:val="Heading2"/>
        <w:spacing w:after="80" w:before="180"/>
      </w:pPr>
      <w:r>
        <w:rPr>
          <w:rFonts w:ascii="Calibri" w:cs="Calibri" w:eastAsia="Calibri" w:hAnsi="Calibri"/>
          <w:b/>
          <w:bCs/>
          <w:color w:val="1F3864"/>
          <w:sz w:val="22"/>
          <w:szCs w:val="22"/>
        </w:rPr>
        <w:t xml:space="preserve">Profitability</w:t>
      </w:r>
    </w:p>
    <w:p>
      <w:pPr>
        <w:spacing w:after="120" w:line="276"/>
      </w:pPr>
      <w:r>
        <w:rPr>
          <w:rFonts w:ascii="Calibri" w:cs="Calibri" w:eastAsia="Calibri" w:hAnsi="Calibri"/>
          <w:sz w:val="21"/>
          <w:szCs w:val="21"/>
        </w:rPr>
        <w:t xml:space="preserve">The gross profit margin fell from 30.6% to 26.8% by 2023 before recovering a little to 27.2% in 2024, pointing to rising production or supply costs. On the bright side, the net profit margin improved from 5.8% to 6.8%, showing better control of overall expenses. Return on investment rose from 6.4% to 6.7%, and return on equity climbed from 16.5% to 17.6% — both signs that shareholders are earning steadily better returns.</w:t>
      </w:r>
    </w:p>
    <w:p>
      <w:pPr>
        <w:pStyle w:val="Heading2"/>
        <w:spacing w:after="80" w:before="180"/>
      </w:pPr>
      <w:r>
        <w:rPr>
          <w:rFonts w:ascii="Calibri" w:cs="Calibri" w:eastAsia="Calibri" w:hAnsi="Calibri"/>
          <w:b/>
          <w:bCs/>
          <w:color w:val="1F3864"/>
          <w:sz w:val="22"/>
          <w:szCs w:val="22"/>
        </w:rPr>
        <w:t xml:space="preserve">Overall Summary</w:t>
      </w:r>
    </w:p>
    <w:p>
      <w:pPr>
        <w:spacing w:after="120" w:line="276"/>
      </w:pPr>
      <w:r>
        <w:rPr>
          <w:rFonts w:ascii="Calibri" w:cs="Calibri" w:eastAsia="Calibri" w:hAnsi="Calibri"/>
          <w:sz w:val="21"/>
          <w:szCs w:val="21"/>
        </w:rPr>
        <w:t xml:space="preserve">Haier shows stable liquidity, moderate leverage, declining but still adequate interest coverage, and steady profitability with only minor swings. Efficiency ratios point to some slowdown in collecting receivables and using assets. Taken together, the company remains financially sound, with room to improve in liquidity and interest coverage.</w:t>
      </w:r>
    </w:p>
    <w:p>
      <w:pPr>
        <w:pStyle w:val="Heading1"/>
        <w:pBdr>
          <w:bottom w:val="single" w:color="1F3864" w:sz="6" w:space="4"/>
        </w:pBdr>
        <w:spacing w:after="120" w:before="240"/>
      </w:pPr>
      <w:r>
        <w:rPr>
          <w:rFonts w:ascii="Calibri" w:cs="Calibri" w:eastAsia="Calibri" w:hAnsi="Calibri"/>
          <w:b/>
          <w:bCs/>
          <w:color w:val="1F3864"/>
          <w:sz w:val="26"/>
          <w:szCs w:val="26"/>
        </w:rPr>
        <w:t xml:space="preserve">4. Recommendations</w:t>
      </w:r>
    </w:p>
    <w:p>
      <w:pPr>
        <w:pStyle w:val="ListParagraph"/>
        <w:numPr>
          <w:ilvl w:val="0"/>
          <w:numId w:val="1"/>
        </w:numPr>
        <w:spacing w:after="60" w:line="264"/>
      </w:pPr>
      <w:r>
        <w:rPr>
          <w:rFonts w:ascii="Calibri" w:cs="Calibri" w:eastAsia="Calibri" w:hAnsi="Calibri"/>
          <w:sz w:val="21"/>
          <w:szCs w:val="21"/>
        </w:rPr>
        <w:t xml:space="preserve">Improve short-term liquidity: keep more cash and easily-sellable short-term assets on hand so bills can always be paid on time.</w:t>
      </w:r>
    </w:p>
    <w:p>
      <w:pPr>
        <w:pStyle w:val="ListParagraph"/>
        <w:numPr>
          <w:ilvl w:val="0"/>
          <w:numId w:val="1"/>
        </w:numPr>
        <w:spacing w:after="60" w:line="264"/>
      </w:pPr>
      <w:r>
        <w:rPr>
          <w:rFonts w:ascii="Calibri" w:cs="Calibri" w:eastAsia="Calibri" w:hAnsi="Calibri"/>
          <w:sz w:val="21"/>
          <w:szCs w:val="21"/>
        </w:rPr>
        <w:t xml:space="preserve">Strengthen the acid-test ratio: hold more ready cash and avoid excess inventory; sell stock faster and buy only what is needed.</w:t>
      </w:r>
    </w:p>
    <w:p>
      <w:pPr>
        <w:pStyle w:val="ListParagraph"/>
        <w:numPr>
          <w:ilvl w:val="0"/>
          <w:numId w:val="1"/>
        </w:numPr>
        <w:spacing w:after="60" w:line="264"/>
      </w:pPr>
      <w:r>
        <w:rPr>
          <w:rFonts w:ascii="Calibri" w:cs="Calibri" w:eastAsia="Calibri" w:hAnsi="Calibri"/>
          <w:sz w:val="21"/>
          <w:szCs w:val="21"/>
        </w:rPr>
        <w:t xml:space="preserve">Control the debt level: avoid taking on too many new loans, and use profits to gradually pay down existing debt.</w:t>
      </w:r>
    </w:p>
    <w:p>
      <w:pPr>
        <w:pStyle w:val="ListParagraph"/>
        <w:numPr>
          <w:ilvl w:val="0"/>
          <w:numId w:val="1"/>
        </w:numPr>
        <w:spacing w:after="60" w:line="264"/>
      </w:pPr>
      <w:r>
        <w:rPr>
          <w:rFonts w:ascii="Calibri" w:cs="Calibri" w:eastAsia="Calibri" w:hAnsi="Calibri"/>
          <w:sz w:val="21"/>
          <w:szCs w:val="21"/>
        </w:rPr>
        <w:t xml:space="preserve">Boost interest coverage: grow earnings or negotiate lower interest costs, since the cushion for paying interest has been shrinking.</w:t>
      </w:r>
    </w:p>
    <w:p>
      <w:pPr>
        <w:pStyle w:val="ListParagraph"/>
        <w:numPr>
          <w:ilvl w:val="0"/>
          <w:numId w:val="1"/>
        </w:numPr>
        <w:spacing w:after="60" w:line="264"/>
      </w:pPr>
      <w:r>
        <w:rPr>
          <w:rFonts w:ascii="Calibri" w:cs="Calibri" w:eastAsia="Calibri" w:hAnsi="Calibri"/>
          <w:sz w:val="21"/>
          <w:szCs w:val="21"/>
        </w:rPr>
        <w:t xml:space="preserve">Collect receivables faster: encourage on-time payment through early-payment discounts or stricter credit terms.</w:t>
      </w:r>
    </w:p>
    <w:p>
      <w:pPr>
        <w:pStyle w:val="ListParagraph"/>
        <w:numPr>
          <w:ilvl w:val="0"/>
          <w:numId w:val="1"/>
        </w:numPr>
        <w:spacing w:after="60" w:line="264"/>
      </w:pPr>
      <w:r>
        <w:rPr>
          <w:rFonts w:ascii="Calibri" w:cs="Calibri" w:eastAsia="Calibri" w:hAnsi="Calibri"/>
          <w:sz w:val="21"/>
          <w:szCs w:val="21"/>
        </w:rPr>
        <w:t xml:space="preserve">Manage inventory more carefully: keep stock levels neither too high nor too low, using better forecasting tools.</w:t>
      </w:r>
    </w:p>
    <w:p>
      <w:pPr>
        <w:pStyle w:val="ListParagraph"/>
        <w:numPr>
          <w:ilvl w:val="0"/>
          <w:numId w:val="1"/>
        </w:numPr>
        <w:spacing w:after="60" w:line="264"/>
      </w:pPr>
      <w:r>
        <w:rPr>
          <w:rFonts w:ascii="Calibri" w:cs="Calibri" w:eastAsia="Calibri" w:hAnsi="Calibri"/>
          <w:sz w:val="21"/>
          <w:szCs w:val="21"/>
        </w:rPr>
        <w:t xml:space="preserve">Use assets more efficiently: make sure machinery, buildings, and other resources are fully utilised to generate sales.</w:t>
      </w:r>
    </w:p>
    <w:p>
      <w:pPr>
        <w:pStyle w:val="ListParagraph"/>
        <w:numPr>
          <w:ilvl w:val="0"/>
          <w:numId w:val="1"/>
        </w:numPr>
        <w:spacing w:after="60" w:line="264"/>
      </w:pPr>
      <w:r>
        <w:rPr>
          <w:rFonts w:ascii="Calibri" w:cs="Calibri" w:eastAsia="Calibri" w:hAnsi="Calibri"/>
          <w:sz w:val="21"/>
          <w:szCs w:val="21"/>
        </w:rPr>
        <w:t xml:space="preserve">Reduce production costs: adopt more efficient technology or find cheaper suppliers to protect profit margins.</w:t>
      </w:r>
    </w:p>
    <w:p>
      <w:pPr>
        <w:pStyle w:val="ListParagraph"/>
        <w:numPr>
          <w:ilvl w:val="0"/>
          <w:numId w:val="1"/>
        </w:numPr>
        <w:spacing w:after="60" w:line="264"/>
      </w:pPr>
      <w:r>
        <w:rPr>
          <w:rFonts w:ascii="Calibri" w:cs="Calibri" w:eastAsia="Calibri" w:hAnsi="Calibri"/>
          <w:sz w:val="21"/>
          <w:szCs w:val="21"/>
        </w:rPr>
        <w:t xml:space="preserve">Keep growing profits: continue focusing on product quality, innovation, and customer service, since profitability is already trending upward.</w:t>
      </w:r>
    </w:p>
    <w:p>
      <w:pPr>
        <w:pStyle w:val="Heading1"/>
        <w:pBdr>
          <w:bottom w:val="single" w:color="1F3864" w:sz="6" w:space="4"/>
        </w:pBdr>
        <w:spacing w:after="120" w:before="240"/>
      </w:pPr>
      <w:r>
        <w:rPr>
          <w:rFonts w:ascii="Calibri" w:cs="Calibri" w:eastAsia="Calibri" w:hAnsi="Calibri"/>
          <w:b/>
          <w:bCs/>
          <w:color w:val="1F3864"/>
          <w:sz w:val="26"/>
          <w:szCs w:val="26"/>
        </w:rPr>
        <w:t xml:space="preserve">5. Conclusion</w:t>
      </w:r>
    </w:p>
    <w:p>
      <w:pPr>
        <w:spacing w:after="120" w:line="276"/>
      </w:pPr>
      <w:r>
        <w:rPr>
          <w:rFonts w:ascii="Calibri" w:cs="Calibri" w:eastAsia="Calibri" w:hAnsi="Calibri"/>
          <w:sz w:val="21"/>
          <w:szCs w:val="21"/>
        </w:rPr>
        <w:t xml:space="preserve">Overall, Haier's financial position between 2021 and 2024 is reasonably healthy. Profitability has improved steadily, and leverage has stayed at a manageable level. The main areas to watch are short-term liquidity and interest coverage, both of which have softened slightly by 2024. With better cash management and cost control, Haier is well placed to keep strengthening its financial performance in the coming years.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Haier Financial Statement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2026-09-18T10:50:07.386Z</dcterms:created>
  <dcterms:modified xsi:type="dcterms:W3CDTF">2026-09-18T10:50:07.386Z</dcterms:modified>
</cp:coreProperties>
</file>

<file path=docProps/custom.xml><?xml version="1.0" encoding="utf-8"?>
<Properties xmlns="http://schemas.openxmlformats.org/officeDocument/2006/custom-properties" xmlns:vt="http://schemas.openxmlformats.org/officeDocument/2006/docPropsVTypes"/>
</file>