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Njuguna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1267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+254721259804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motorbike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once sold never returned</w:t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2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Washing Machine</w:t>
            </w:r>
          </w:p>
        </w:tc>
        <w:tc>
          <w:tcPr>
            <w:tcW w:w="1767" w:type="pct"/>
          </w:tcPr>
          <w:p w:rsidR="00F337CF" w:rsidRDefault="005759B1">
            <w:r>
              <w:t xml:space="preserve">Repairing of Switch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2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>0</w:t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>5000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2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Washing Machine</w:t>
            </w:r>
          </w:p>
        </w:tc>
        <w:tc>
          <w:tcPr>
            <w:tcW w:w="1767" w:type="pct"/>
          </w:tcPr>
          <w:p w:rsidR="00F337CF" w:rsidRDefault="005759B1">
            <w:r>
              <w:t xml:space="preserve">Repairing of Switch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2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>0</w:t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>5000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2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Washing Machine</w:t>
            </w:r>
          </w:p>
        </w:tc>
        <w:tc>
          <w:tcPr>
            <w:tcW w:w="1767" w:type="pct"/>
          </w:tcPr>
          <w:p w:rsidR="00F337CF" w:rsidRDefault="005759B1">
            <w:r>
              <w:t xml:space="preserve">Repairing of Switch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2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>0</w:t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>5000</w:t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0</w:t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15000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10</w:t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15000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