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MWANGIANTONY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07283477224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2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Repair of Fridge Compressor</w:t>
            </w:r>
          </w:p>
        </w:tc>
        <w:tc>
          <w:tcPr>
            <w:tcW w:w="1767" w:type="pct"/>
          </w:tcPr>
          <w:p w:rsidR="00F337CF" w:rsidRDefault="005759B1">
            <w:r>
              <w:t xml:space="preserve">10000.0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20000.0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4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Bought Screens</w:t>
            </w:r>
          </w:p>
        </w:tc>
        <w:tc>
          <w:tcPr>
            <w:tcW w:w="1767" w:type="pct"/>
          </w:tcPr>
          <w:p w:rsidR="00F337CF" w:rsidRDefault="005759B1">
            <w:r>
              <w:t xml:space="preserve">40000.0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160000.0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180000.0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162000.0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