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DEE" w:rsidRDefault="00E82DEE" w:rsidP="0070519E">
      <w:pPr>
        <w:jc w:val="both"/>
        <w:rPr>
          <w:rFonts w:asciiTheme="majorBidi" w:hAnsiTheme="majorBidi"/>
          <w:sz w:val="26"/>
          <w:szCs w:val="26"/>
        </w:rPr>
      </w:pPr>
      <w:r w:rsidRPr="00E82DEE">
        <w:rPr>
          <w:rFonts w:asciiTheme="majorBidi" w:hAnsiTheme="majorBidi"/>
          <w:b/>
          <w:bCs/>
          <w:sz w:val="26"/>
          <w:szCs w:val="26"/>
        </w:rPr>
        <w:t>Amin Haghnejad</w:t>
      </w:r>
      <w:r>
        <w:rPr>
          <w:rFonts w:asciiTheme="majorBidi" w:hAnsiTheme="majorBidi"/>
          <w:sz w:val="26"/>
          <w:szCs w:val="26"/>
        </w:rPr>
        <w:t xml:space="preserve"> (am.haghnejad@gmail.com)</w:t>
      </w:r>
    </w:p>
    <w:p w:rsidR="00E82DEE" w:rsidRDefault="00E82DEE" w:rsidP="00E82DEE">
      <w:pPr>
        <w:jc w:val="both"/>
        <w:rPr>
          <w:rFonts w:asciiTheme="majorBidi" w:hAnsiTheme="majorBidi"/>
          <w:sz w:val="26"/>
          <w:szCs w:val="26"/>
        </w:rPr>
      </w:pPr>
    </w:p>
    <w:p w:rsidR="00C9070E" w:rsidRPr="00631A12" w:rsidRDefault="003546B9" w:rsidP="00E82DEE">
      <w:pPr>
        <w:jc w:val="both"/>
        <w:rPr>
          <w:rFonts w:asciiTheme="majorBidi" w:hAnsiTheme="majorBidi"/>
          <w:b/>
          <w:bCs/>
          <w:sz w:val="28"/>
          <w:szCs w:val="28"/>
        </w:rPr>
      </w:pPr>
      <w:r>
        <w:rPr>
          <w:rFonts w:asciiTheme="majorBidi" w:hAnsiTheme="majorBidi"/>
          <w:b/>
          <w:bCs/>
          <w:sz w:val="28"/>
          <w:szCs w:val="28"/>
        </w:rPr>
        <w:t xml:space="preserve">1. </w:t>
      </w:r>
      <w:r w:rsidR="00E82DEE" w:rsidRPr="00631A12">
        <w:rPr>
          <w:rFonts w:asciiTheme="majorBidi" w:hAnsiTheme="majorBidi"/>
          <w:b/>
          <w:bCs/>
          <w:sz w:val="28"/>
          <w:szCs w:val="28"/>
        </w:rPr>
        <w:t>Description</w:t>
      </w:r>
    </w:p>
    <w:p w:rsidR="001C5903" w:rsidRDefault="0070519E" w:rsidP="007D33E5">
      <w:pPr>
        <w:jc w:val="both"/>
        <w:rPr>
          <w:rFonts w:ascii="Times New Roman" w:eastAsia="Times New Roman" w:hAnsi="Times New Roman" w:cs="Times New Roman"/>
          <w:sz w:val="24"/>
          <w:szCs w:val="24"/>
          <w:lang w:eastAsia="en-GB"/>
        </w:rPr>
      </w:pPr>
      <w:r>
        <w:rPr>
          <w:rFonts w:asciiTheme="majorBidi" w:hAnsiTheme="majorBidi"/>
          <w:sz w:val="26"/>
          <w:szCs w:val="26"/>
        </w:rPr>
        <w:t>This</w:t>
      </w:r>
      <w:r w:rsidRPr="0004765F">
        <w:rPr>
          <w:rFonts w:asciiTheme="majorBidi" w:hAnsiTheme="majorBidi"/>
          <w:sz w:val="26"/>
          <w:szCs w:val="26"/>
        </w:rPr>
        <w:t xml:space="preserve"> </w:t>
      </w:r>
      <w:r w:rsidR="00A626D8">
        <w:rPr>
          <w:rFonts w:asciiTheme="majorBidi" w:hAnsiTheme="majorBidi"/>
          <w:sz w:val="26"/>
          <w:szCs w:val="26"/>
        </w:rPr>
        <w:t>repo</w:t>
      </w:r>
      <w:r w:rsidR="007D33E5">
        <w:rPr>
          <w:rFonts w:asciiTheme="majorBidi" w:hAnsiTheme="majorBidi"/>
          <w:sz w:val="26"/>
          <w:szCs w:val="26"/>
        </w:rPr>
        <w:t>sitory contains the Matlab code</w:t>
      </w:r>
      <w:r w:rsidR="00AF20AB">
        <w:rPr>
          <w:rFonts w:asciiTheme="majorBidi" w:hAnsiTheme="majorBidi"/>
          <w:sz w:val="26"/>
          <w:szCs w:val="26"/>
        </w:rPr>
        <w:t xml:space="preserve"> </w:t>
      </w:r>
      <w:r w:rsidR="00A626D8">
        <w:rPr>
          <w:rFonts w:asciiTheme="majorBidi" w:hAnsiTheme="majorBidi"/>
          <w:sz w:val="26"/>
          <w:szCs w:val="26"/>
        </w:rPr>
        <w:t>for</w:t>
      </w:r>
      <w:r w:rsidR="00AF20AB">
        <w:rPr>
          <w:rFonts w:asciiTheme="majorBidi" w:hAnsiTheme="majorBidi"/>
          <w:sz w:val="26"/>
          <w:szCs w:val="26"/>
        </w:rPr>
        <w:t xml:space="preserve"> </w:t>
      </w:r>
      <w:r w:rsidRPr="0004765F">
        <w:rPr>
          <w:rFonts w:asciiTheme="majorBidi" w:hAnsiTheme="majorBidi"/>
          <w:sz w:val="26"/>
          <w:szCs w:val="26"/>
        </w:rPr>
        <w:t>implementing the bootstrap panel Granger causality procedure proposed by Kónya (2006</w:t>
      </w:r>
      <w:r w:rsidR="00014EA4">
        <w:rPr>
          <w:rFonts w:asciiTheme="majorBidi" w:hAnsiTheme="majorBidi"/>
          <w:sz w:val="26"/>
          <w:szCs w:val="26"/>
        </w:rPr>
        <w:t>)</w:t>
      </w:r>
      <w:r w:rsidR="00A626D8">
        <w:rPr>
          <w:rFonts w:asciiTheme="majorBidi" w:hAnsiTheme="majorBidi"/>
          <w:sz w:val="26"/>
          <w:szCs w:val="26"/>
        </w:rPr>
        <w:t>, which</w:t>
      </w:r>
      <w:r w:rsidR="00014EA4">
        <w:rPr>
          <w:rFonts w:asciiTheme="majorBidi" w:hAnsiTheme="majorBidi"/>
          <w:sz w:val="26"/>
          <w:szCs w:val="26"/>
        </w:rPr>
        <w:t xml:space="preserve"> is </w:t>
      </w:r>
      <w:r w:rsidR="00014EA4" w:rsidRPr="0004765F">
        <w:rPr>
          <w:rFonts w:ascii="Times New Roman" w:eastAsia="Times New Roman" w:hAnsi="Times New Roman" w:cs="Times New Roman"/>
          <w:sz w:val="24"/>
          <w:szCs w:val="24"/>
          <w:lang w:val="en-GB" w:eastAsia="en-GB"/>
        </w:rPr>
        <w:t xml:space="preserve">based on the seemingly unrelated regressions (SUR) systems and </w:t>
      </w:r>
      <w:r w:rsidR="00014EA4" w:rsidRPr="0004765F">
        <w:rPr>
          <w:rFonts w:ascii="Times New Roman" w:eastAsia="Times New Roman" w:hAnsi="Times New Roman" w:cs="Times New Roman"/>
          <w:kern w:val="2"/>
          <w:sz w:val="24"/>
          <w:szCs w:val="24"/>
          <w:lang w:val="en-GB" w:eastAsia="ja-JP"/>
        </w:rPr>
        <w:t>the Wald tests with individual</w:t>
      </w:r>
      <w:r w:rsidR="00014EA4" w:rsidRPr="0004765F">
        <w:rPr>
          <w:rFonts w:ascii="Cambria Math" w:eastAsia="Times New Roman" w:hAnsi="Cambria Math" w:cs="Cambria Math" w:hint="eastAsia"/>
          <w:kern w:val="2"/>
          <w:sz w:val="24"/>
          <w:szCs w:val="24"/>
          <w:lang w:val="en-GB" w:eastAsia="ja-JP"/>
        </w:rPr>
        <w:t>-</w:t>
      </w:r>
      <w:r w:rsidR="00014EA4" w:rsidRPr="0004765F">
        <w:rPr>
          <w:rFonts w:ascii="Times New Roman" w:eastAsia="Times New Roman" w:hAnsi="Times New Roman" w:cs="Times New Roman"/>
          <w:kern w:val="2"/>
          <w:sz w:val="24"/>
          <w:szCs w:val="24"/>
          <w:lang w:val="en-GB" w:eastAsia="ja-JP"/>
        </w:rPr>
        <w:t xml:space="preserve">specific bootstrap critical values, </w:t>
      </w:r>
      <w:r w:rsidR="00A626D8">
        <w:rPr>
          <w:rFonts w:ascii="Times New Roman" w:eastAsia="Times New Roman" w:hAnsi="Times New Roman" w:cs="Times New Roman"/>
          <w:kern w:val="2"/>
          <w:sz w:val="24"/>
          <w:szCs w:val="24"/>
          <w:lang w:val="en-GB" w:eastAsia="ja-JP"/>
        </w:rPr>
        <w:t>and</w:t>
      </w:r>
      <w:r w:rsidR="00014EA4" w:rsidRPr="0004765F">
        <w:rPr>
          <w:rFonts w:ascii="Times New Roman" w:eastAsia="Times New Roman" w:hAnsi="Times New Roman" w:cs="Times New Roman"/>
          <w:kern w:val="2"/>
          <w:sz w:val="24"/>
          <w:szCs w:val="24"/>
          <w:lang w:val="en-GB" w:eastAsia="ja-JP"/>
        </w:rPr>
        <w:t xml:space="preserve"> accounts for both cross-sectional error dependence and slope heterogeneity across individual units</w:t>
      </w:r>
      <w:r w:rsidR="007D33E5">
        <w:rPr>
          <w:rFonts w:ascii="Times New Roman" w:eastAsia="Times New Roman" w:hAnsi="Times New Roman" w:cs="Times New Roman"/>
          <w:sz w:val="24"/>
          <w:szCs w:val="24"/>
          <w:lang w:val="en-GB" w:eastAsia="en-GB"/>
        </w:rPr>
        <w:t>.</w:t>
      </w:r>
      <w:r w:rsidR="00BC7E76">
        <w:rPr>
          <w:rFonts w:ascii="Times New Roman" w:eastAsia="Times New Roman" w:hAnsi="Times New Roman" w:cs="Times New Roman"/>
          <w:sz w:val="24"/>
          <w:szCs w:val="24"/>
          <w:lang w:eastAsia="en-GB"/>
        </w:rPr>
        <w:t xml:space="preserve"> </w:t>
      </w:r>
    </w:p>
    <w:p w:rsidR="00631A12" w:rsidRDefault="00631A12" w:rsidP="001D0F09">
      <w:pPr>
        <w:jc w:val="both"/>
        <w:rPr>
          <w:rFonts w:ascii="Times New Roman" w:eastAsia="Times New Roman" w:hAnsi="Times New Roman" w:cs="Times New Roman"/>
          <w:sz w:val="24"/>
          <w:szCs w:val="24"/>
          <w:lang w:eastAsia="en-GB"/>
        </w:rPr>
      </w:pPr>
    </w:p>
    <w:p w:rsidR="00631A12" w:rsidRPr="00631A12" w:rsidRDefault="003546B9" w:rsidP="001D0F09">
      <w:pPr>
        <w:jc w:val="both"/>
        <w:rPr>
          <w:rFonts w:asciiTheme="majorBidi" w:hAnsiTheme="majorBidi" w:cstheme="majorBidi"/>
          <w:b/>
          <w:bCs/>
          <w:sz w:val="28"/>
          <w:szCs w:val="28"/>
        </w:rPr>
      </w:pPr>
      <w:r>
        <w:rPr>
          <w:rFonts w:asciiTheme="majorBidi" w:hAnsiTheme="majorBidi" w:cstheme="majorBidi"/>
          <w:b/>
          <w:bCs/>
          <w:sz w:val="28"/>
          <w:szCs w:val="28"/>
        </w:rPr>
        <w:t xml:space="preserve">2. </w:t>
      </w:r>
      <w:r w:rsidR="00631A12" w:rsidRPr="00631A12">
        <w:rPr>
          <w:rFonts w:asciiTheme="majorBidi" w:hAnsiTheme="majorBidi" w:cstheme="majorBidi"/>
          <w:b/>
          <w:bCs/>
          <w:sz w:val="28"/>
          <w:szCs w:val="28"/>
        </w:rPr>
        <w:t>Usage</w:t>
      </w:r>
    </w:p>
    <w:p w:rsidR="0070519E" w:rsidRDefault="005C1ADE" w:rsidP="00D01E7F">
      <w:pPr>
        <w:jc w:val="both"/>
        <w:rPr>
          <w:rFonts w:asciiTheme="majorBidi" w:hAnsiTheme="majorBidi" w:cstheme="majorBidi"/>
          <w:sz w:val="24"/>
          <w:szCs w:val="24"/>
        </w:rPr>
      </w:pPr>
      <w:r>
        <w:rPr>
          <w:rFonts w:asciiTheme="majorBidi" w:hAnsiTheme="majorBidi" w:cstheme="majorBidi"/>
          <w:sz w:val="24"/>
          <w:szCs w:val="24"/>
        </w:rPr>
        <w:t xml:space="preserve">Download </w:t>
      </w:r>
      <w:r w:rsidR="007D274B" w:rsidRPr="00C84198">
        <w:rPr>
          <w:rFonts w:asciiTheme="majorBidi" w:hAnsiTheme="majorBidi" w:cstheme="majorBidi"/>
          <w:sz w:val="24"/>
          <w:szCs w:val="24"/>
        </w:rPr>
        <w:t xml:space="preserve">the </w:t>
      </w:r>
      <w:r w:rsidR="003546B9">
        <w:rPr>
          <w:rFonts w:asciiTheme="majorBidi" w:hAnsiTheme="majorBidi" w:cstheme="majorBidi"/>
          <w:b/>
          <w:bCs/>
          <w:sz w:val="24"/>
          <w:szCs w:val="24"/>
        </w:rPr>
        <w:t>Bootstrap_Panel</w:t>
      </w:r>
      <w:r w:rsidR="007D274B" w:rsidRPr="00C84198">
        <w:rPr>
          <w:rFonts w:asciiTheme="majorBidi" w:hAnsiTheme="majorBidi" w:cstheme="majorBidi"/>
          <w:b/>
          <w:bCs/>
          <w:sz w:val="24"/>
          <w:szCs w:val="24"/>
        </w:rPr>
        <w:t>_Causality.</w:t>
      </w:r>
      <w:r w:rsidR="003546B9">
        <w:rPr>
          <w:rFonts w:asciiTheme="majorBidi" w:hAnsiTheme="majorBidi" w:cstheme="majorBidi"/>
          <w:b/>
          <w:bCs/>
          <w:sz w:val="24"/>
          <w:szCs w:val="24"/>
        </w:rPr>
        <w:t>rar</w:t>
      </w:r>
      <w:r w:rsidR="007D274B" w:rsidRPr="00C84198">
        <w:rPr>
          <w:rFonts w:asciiTheme="majorBidi" w:hAnsiTheme="majorBidi" w:cstheme="majorBidi"/>
          <w:sz w:val="24"/>
          <w:szCs w:val="24"/>
        </w:rPr>
        <w:t xml:space="preserve"> file </w:t>
      </w:r>
      <w:r>
        <w:rPr>
          <w:rFonts w:asciiTheme="majorBidi" w:hAnsiTheme="majorBidi" w:cstheme="majorBidi"/>
          <w:sz w:val="24"/>
          <w:szCs w:val="24"/>
        </w:rPr>
        <w:t xml:space="preserve">and unzip it </w:t>
      </w:r>
      <w:r w:rsidR="00C84198" w:rsidRPr="00C84198">
        <w:rPr>
          <w:rFonts w:asciiTheme="majorBidi" w:hAnsiTheme="majorBidi" w:cstheme="majorBidi"/>
          <w:sz w:val="24"/>
          <w:szCs w:val="24"/>
        </w:rPr>
        <w:t>in a directory of yo</w:t>
      </w:r>
      <w:r w:rsidR="00C84198">
        <w:rPr>
          <w:rFonts w:asciiTheme="majorBidi" w:hAnsiTheme="majorBidi" w:cstheme="majorBidi"/>
          <w:sz w:val="24"/>
          <w:szCs w:val="24"/>
        </w:rPr>
        <w:t>ur choice</w:t>
      </w:r>
      <w:r w:rsidR="007D274B" w:rsidRPr="00C84198">
        <w:rPr>
          <w:rFonts w:asciiTheme="majorBidi" w:hAnsiTheme="majorBidi" w:cstheme="majorBidi"/>
          <w:sz w:val="24"/>
          <w:szCs w:val="24"/>
        </w:rPr>
        <w:t>.</w:t>
      </w:r>
      <w:r w:rsidR="00C84198" w:rsidRPr="00C84198">
        <w:rPr>
          <w:rFonts w:asciiTheme="majorBidi" w:hAnsiTheme="majorBidi" w:cstheme="majorBidi"/>
          <w:sz w:val="24"/>
          <w:szCs w:val="24"/>
        </w:rPr>
        <w:t xml:space="preserve"> </w:t>
      </w:r>
      <w:r w:rsidR="007D274B" w:rsidRPr="00C84198">
        <w:rPr>
          <w:rFonts w:asciiTheme="majorBidi" w:hAnsiTheme="majorBidi" w:cstheme="majorBidi"/>
          <w:sz w:val="24"/>
          <w:szCs w:val="24"/>
        </w:rPr>
        <w:t>Within the unzipped folder</w:t>
      </w:r>
      <w:r>
        <w:rPr>
          <w:rFonts w:asciiTheme="majorBidi" w:hAnsiTheme="majorBidi" w:cstheme="majorBidi"/>
          <w:sz w:val="24"/>
          <w:szCs w:val="24"/>
        </w:rPr>
        <w:t xml:space="preserve"> </w:t>
      </w:r>
      <w:r w:rsidR="003546B9">
        <w:rPr>
          <w:rFonts w:asciiTheme="majorBidi" w:hAnsiTheme="majorBidi" w:cstheme="majorBidi"/>
          <w:b/>
          <w:bCs/>
          <w:sz w:val="24"/>
          <w:szCs w:val="24"/>
        </w:rPr>
        <w:t>Bootstrap_Panel</w:t>
      </w:r>
      <w:r w:rsidRPr="00C84198">
        <w:rPr>
          <w:rFonts w:asciiTheme="majorBidi" w:hAnsiTheme="majorBidi" w:cstheme="majorBidi"/>
          <w:b/>
          <w:bCs/>
          <w:sz w:val="24"/>
          <w:szCs w:val="24"/>
        </w:rPr>
        <w:t>_Causality</w:t>
      </w:r>
      <w:r w:rsidR="007D274B" w:rsidRPr="00C84198">
        <w:rPr>
          <w:rFonts w:asciiTheme="majorBidi" w:hAnsiTheme="majorBidi" w:cstheme="majorBidi"/>
          <w:sz w:val="24"/>
          <w:szCs w:val="24"/>
        </w:rPr>
        <w:t xml:space="preserve">, you will find </w:t>
      </w:r>
      <w:r w:rsidR="00D01E7F">
        <w:rPr>
          <w:rFonts w:asciiTheme="majorBidi" w:hAnsiTheme="majorBidi" w:cstheme="majorBidi"/>
          <w:sz w:val="24"/>
          <w:szCs w:val="24"/>
        </w:rPr>
        <w:t>two</w:t>
      </w:r>
      <w:r w:rsidR="007D274B" w:rsidRPr="00C84198">
        <w:rPr>
          <w:rFonts w:asciiTheme="majorBidi" w:hAnsiTheme="majorBidi" w:cstheme="majorBidi"/>
          <w:sz w:val="24"/>
          <w:szCs w:val="24"/>
        </w:rPr>
        <w:t xml:space="preserve"> files and one subfolder. </w:t>
      </w:r>
      <w:r w:rsidR="00C84198">
        <w:rPr>
          <w:rFonts w:asciiTheme="majorBidi" w:hAnsiTheme="majorBidi" w:cstheme="majorBidi"/>
          <w:sz w:val="24"/>
          <w:szCs w:val="24"/>
        </w:rPr>
        <w:t>The files are:</w:t>
      </w:r>
    </w:p>
    <w:p w:rsidR="00C84198" w:rsidRPr="00D457F8" w:rsidRDefault="00C84198" w:rsidP="00D457F8">
      <w:pPr>
        <w:pStyle w:val="ListParagraph"/>
        <w:keepNext/>
        <w:numPr>
          <w:ilvl w:val="0"/>
          <w:numId w:val="1"/>
        </w:numPr>
        <w:spacing w:before="360" w:after="60" w:line="360" w:lineRule="auto"/>
        <w:ind w:right="567"/>
        <w:jc w:val="both"/>
        <w:outlineLvl w:val="2"/>
        <w:rPr>
          <w:rFonts w:asciiTheme="majorBidi" w:hAnsiTheme="majorBidi" w:cstheme="majorBidi"/>
          <w:sz w:val="24"/>
          <w:szCs w:val="24"/>
        </w:rPr>
      </w:pPr>
      <w:r w:rsidRPr="00D457F8">
        <w:rPr>
          <w:rFonts w:asciiTheme="majorBidi" w:hAnsiTheme="majorBidi" w:cstheme="majorBidi"/>
          <w:b/>
          <w:bCs/>
          <w:sz w:val="24"/>
          <w:szCs w:val="24"/>
        </w:rPr>
        <w:t>causality.m</w:t>
      </w:r>
      <w:r w:rsidRPr="00D457F8">
        <w:rPr>
          <w:rFonts w:asciiTheme="majorBidi" w:hAnsiTheme="majorBidi" w:cstheme="majorBidi"/>
          <w:sz w:val="24"/>
          <w:szCs w:val="24"/>
        </w:rPr>
        <w:t>: a Matlab script file for implementing the bootstrap panel Granger causality procedure proposed by Kónya, L. (2006).</w:t>
      </w:r>
    </w:p>
    <w:p w:rsidR="00C84198" w:rsidRPr="00D457F8" w:rsidRDefault="0079355B" w:rsidP="00D01E7F">
      <w:pPr>
        <w:pStyle w:val="ListParagraph"/>
        <w:keepNext/>
        <w:numPr>
          <w:ilvl w:val="0"/>
          <w:numId w:val="1"/>
        </w:numPr>
        <w:spacing w:before="360" w:after="60" w:line="360" w:lineRule="auto"/>
        <w:ind w:right="567"/>
        <w:jc w:val="both"/>
        <w:outlineLvl w:val="2"/>
        <w:rPr>
          <w:rFonts w:asciiTheme="majorBidi" w:hAnsiTheme="majorBidi" w:cstheme="majorBidi"/>
          <w:sz w:val="24"/>
          <w:szCs w:val="24"/>
        </w:rPr>
      </w:pPr>
      <w:r w:rsidRPr="00D457F8">
        <w:rPr>
          <w:rFonts w:asciiTheme="majorBidi" w:hAnsiTheme="majorBidi" w:cstheme="majorBidi"/>
          <w:b/>
          <w:bCs/>
          <w:sz w:val="24"/>
          <w:szCs w:val="24"/>
        </w:rPr>
        <w:t>data.xlsx</w:t>
      </w:r>
      <w:r w:rsidRPr="00D457F8">
        <w:rPr>
          <w:rFonts w:asciiTheme="majorBidi" w:hAnsiTheme="majorBidi" w:cstheme="majorBidi"/>
          <w:sz w:val="24"/>
          <w:szCs w:val="24"/>
        </w:rPr>
        <w:t>: a</w:t>
      </w:r>
      <w:r w:rsidR="00D01E7F">
        <w:rPr>
          <w:rFonts w:asciiTheme="majorBidi" w:hAnsiTheme="majorBidi" w:cstheme="majorBidi"/>
          <w:sz w:val="24"/>
          <w:szCs w:val="24"/>
        </w:rPr>
        <w:t>n</w:t>
      </w:r>
      <w:r w:rsidRPr="00D457F8">
        <w:rPr>
          <w:rFonts w:asciiTheme="majorBidi" w:hAnsiTheme="majorBidi" w:cstheme="majorBidi"/>
          <w:sz w:val="24"/>
          <w:szCs w:val="24"/>
        </w:rPr>
        <w:t xml:space="preserve"> excel file containing the </w:t>
      </w:r>
      <w:r w:rsidR="00D01E7F">
        <w:rPr>
          <w:rFonts w:asciiTheme="majorBidi" w:hAnsiTheme="majorBidi" w:cstheme="majorBidi"/>
          <w:sz w:val="24"/>
          <w:szCs w:val="24"/>
        </w:rPr>
        <w:t>sample data..</w:t>
      </w:r>
    </w:p>
    <w:p w:rsidR="00465019" w:rsidRDefault="00AD3F56" w:rsidP="001C5903">
      <w:pPr>
        <w:keepNext/>
        <w:spacing w:before="360" w:after="60" w:line="360" w:lineRule="auto"/>
        <w:ind w:right="567"/>
        <w:contextualSpacing/>
        <w:jc w:val="both"/>
        <w:outlineLvl w:val="2"/>
        <w:rPr>
          <w:rFonts w:asciiTheme="majorBidi" w:hAnsiTheme="majorBidi" w:cstheme="majorBidi"/>
          <w:sz w:val="24"/>
          <w:szCs w:val="24"/>
        </w:rPr>
      </w:pPr>
      <w:r>
        <w:rPr>
          <w:rFonts w:asciiTheme="majorBidi" w:hAnsiTheme="majorBidi" w:cstheme="majorBidi"/>
          <w:sz w:val="24"/>
          <w:szCs w:val="24"/>
        </w:rPr>
        <w:t xml:space="preserve">In addition, the subfolder is </w:t>
      </w:r>
      <w:r w:rsidRPr="00AD3F56">
        <w:rPr>
          <w:rFonts w:asciiTheme="majorBidi" w:hAnsiTheme="majorBidi" w:cstheme="majorBidi"/>
          <w:b/>
          <w:bCs/>
          <w:sz w:val="24"/>
          <w:szCs w:val="24"/>
        </w:rPr>
        <w:t>Functions</w:t>
      </w:r>
      <w:r>
        <w:rPr>
          <w:rFonts w:asciiTheme="majorBidi" w:hAnsiTheme="majorBidi" w:cstheme="majorBidi"/>
          <w:sz w:val="24"/>
          <w:szCs w:val="24"/>
        </w:rPr>
        <w:t xml:space="preserve">, which contains </w:t>
      </w:r>
      <w:r w:rsidR="00B631CF">
        <w:rPr>
          <w:rFonts w:asciiTheme="majorBidi" w:hAnsiTheme="majorBidi" w:cstheme="majorBidi"/>
          <w:sz w:val="24"/>
          <w:szCs w:val="24"/>
        </w:rPr>
        <w:t>four</w:t>
      </w:r>
      <w:r>
        <w:rPr>
          <w:rFonts w:asciiTheme="majorBidi" w:hAnsiTheme="majorBidi" w:cstheme="majorBidi"/>
          <w:sz w:val="24"/>
          <w:szCs w:val="24"/>
        </w:rPr>
        <w:t xml:space="preserve"> </w:t>
      </w:r>
      <w:r w:rsidRPr="00AD3F56">
        <w:rPr>
          <w:rFonts w:asciiTheme="majorBidi" w:hAnsiTheme="majorBidi" w:cstheme="majorBidi"/>
          <w:sz w:val="24"/>
          <w:szCs w:val="24"/>
        </w:rPr>
        <w:t xml:space="preserve">Matlab routines (m-files) required by the </w:t>
      </w:r>
      <w:r w:rsidRPr="00D457F8">
        <w:rPr>
          <w:rFonts w:asciiTheme="majorBidi" w:hAnsiTheme="majorBidi" w:cstheme="majorBidi"/>
          <w:b/>
          <w:bCs/>
          <w:sz w:val="24"/>
          <w:szCs w:val="24"/>
        </w:rPr>
        <w:t>causality.m</w:t>
      </w:r>
      <w:r w:rsidRPr="00AD3F56">
        <w:rPr>
          <w:rFonts w:asciiTheme="majorBidi" w:hAnsiTheme="majorBidi" w:cstheme="majorBidi"/>
          <w:sz w:val="24"/>
          <w:szCs w:val="24"/>
        </w:rPr>
        <w:t xml:space="preserve"> script.</w:t>
      </w:r>
    </w:p>
    <w:p w:rsidR="00631A12" w:rsidRDefault="00631A12" w:rsidP="007B0477">
      <w:pPr>
        <w:keepNext/>
        <w:spacing w:before="360" w:after="60" w:line="360" w:lineRule="auto"/>
        <w:ind w:right="567"/>
        <w:contextualSpacing/>
        <w:jc w:val="both"/>
        <w:outlineLvl w:val="2"/>
        <w:rPr>
          <w:rFonts w:asciiTheme="majorBidi" w:hAnsiTheme="majorBidi" w:cstheme="majorBidi"/>
          <w:sz w:val="24"/>
          <w:szCs w:val="24"/>
        </w:rPr>
      </w:pPr>
    </w:p>
    <w:p w:rsidR="003546B9" w:rsidRPr="00631A12" w:rsidRDefault="003546B9" w:rsidP="003546B9">
      <w:pPr>
        <w:keepNext/>
        <w:spacing w:before="360" w:after="60" w:line="360" w:lineRule="auto"/>
        <w:ind w:right="567"/>
        <w:contextualSpacing/>
        <w:jc w:val="both"/>
        <w:outlineLvl w:val="2"/>
        <w:rPr>
          <w:rFonts w:asciiTheme="majorBidi" w:hAnsiTheme="majorBidi" w:cstheme="majorBidi"/>
          <w:b/>
          <w:bCs/>
          <w:sz w:val="28"/>
          <w:szCs w:val="28"/>
        </w:rPr>
      </w:pPr>
      <w:r>
        <w:rPr>
          <w:rFonts w:asciiTheme="majorBidi" w:hAnsiTheme="majorBidi" w:cstheme="majorBidi"/>
          <w:b/>
          <w:bCs/>
          <w:sz w:val="28"/>
          <w:szCs w:val="28"/>
        </w:rPr>
        <w:t xml:space="preserve">3. </w:t>
      </w:r>
      <w:r w:rsidRPr="00631A12">
        <w:rPr>
          <w:rFonts w:asciiTheme="majorBidi" w:hAnsiTheme="majorBidi" w:cstheme="majorBidi"/>
          <w:b/>
          <w:bCs/>
          <w:sz w:val="28"/>
          <w:szCs w:val="28"/>
        </w:rPr>
        <w:t>Citation</w:t>
      </w:r>
    </w:p>
    <w:p w:rsidR="003546B9" w:rsidRDefault="007D33E5" w:rsidP="007D33E5">
      <w:pPr>
        <w:keepNext/>
        <w:spacing w:before="360" w:after="60" w:line="360" w:lineRule="auto"/>
        <w:ind w:right="567"/>
        <w:contextualSpacing/>
        <w:jc w:val="both"/>
        <w:outlineLvl w:val="2"/>
        <w:rPr>
          <w:rFonts w:asciiTheme="majorBidi" w:hAnsiTheme="majorBidi" w:cstheme="majorBidi"/>
          <w:sz w:val="24"/>
          <w:szCs w:val="24"/>
        </w:rPr>
      </w:pPr>
      <w:r>
        <w:rPr>
          <w:rFonts w:asciiTheme="majorBidi" w:hAnsiTheme="majorBidi" w:cstheme="majorBidi"/>
          <w:sz w:val="24"/>
          <w:szCs w:val="24"/>
        </w:rPr>
        <w:t>This</w:t>
      </w:r>
      <w:r w:rsidR="003546B9" w:rsidRPr="00316AAF">
        <w:rPr>
          <w:rFonts w:asciiTheme="majorBidi" w:hAnsiTheme="majorBidi" w:cstheme="majorBidi"/>
          <w:sz w:val="24"/>
          <w:szCs w:val="24"/>
        </w:rPr>
        <w:t xml:space="preserve"> </w:t>
      </w:r>
      <w:r>
        <w:rPr>
          <w:rFonts w:asciiTheme="majorBidi" w:hAnsiTheme="majorBidi" w:cstheme="majorBidi"/>
          <w:sz w:val="24"/>
          <w:szCs w:val="24"/>
        </w:rPr>
        <w:t>code is</w:t>
      </w:r>
      <w:r w:rsidR="003546B9" w:rsidRPr="00316AAF">
        <w:rPr>
          <w:rFonts w:asciiTheme="majorBidi" w:hAnsiTheme="majorBidi" w:cstheme="majorBidi"/>
          <w:sz w:val="24"/>
          <w:szCs w:val="24"/>
        </w:rPr>
        <w:t xml:space="preserve"> provided as supplementary material for </w:t>
      </w:r>
      <w:r w:rsidR="003546B9">
        <w:rPr>
          <w:rFonts w:asciiTheme="majorBidi" w:hAnsiTheme="majorBidi" w:cstheme="majorBidi"/>
          <w:sz w:val="24"/>
          <w:szCs w:val="24"/>
        </w:rPr>
        <w:t>our</w:t>
      </w:r>
      <w:r w:rsidR="003546B9" w:rsidRPr="00316AAF">
        <w:rPr>
          <w:rFonts w:asciiTheme="majorBidi" w:hAnsiTheme="majorBidi" w:cstheme="majorBidi"/>
          <w:sz w:val="24"/>
          <w:szCs w:val="24"/>
        </w:rPr>
        <w:t xml:space="preserve"> paper:</w:t>
      </w:r>
    </w:p>
    <w:p w:rsidR="003546B9" w:rsidRPr="00316AAF" w:rsidRDefault="003546B9" w:rsidP="003546B9">
      <w:pPr>
        <w:keepNext/>
        <w:spacing w:before="360" w:after="60" w:line="360" w:lineRule="auto"/>
        <w:ind w:right="567"/>
        <w:contextualSpacing/>
        <w:jc w:val="both"/>
        <w:outlineLvl w:val="2"/>
        <w:rPr>
          <w:rFonts w:asciiTheme="majorBidi" w:hAnsiTheme="majorBidi" w:cstheme="majorBidi"/>
          <w:sz w:val="24"/>
          <w:szCs w:val="24"/>
        </w:rPr>
      </w:pPr>
      <w:r w:rsidRPr="00316AAF">
        <w:rPr>
          <w:rFonts w:asciiTheme="majorBidi" w:hAnsiTheme="majorBidi" w:cstheme="majorBidi"/>
          <w:sz w:val="24"/>
          <w:szCs w:val="24"/>
        </w:rPr>
        <w:t>Haghnejad, A., Samadi, S., Nasrollahi, K., Azarbayjani, K., &amp; Kazemi, I. (2020). Market power and efficiency in the Iranian banking industry. </w:t>
      </w:r>
      <w:r w:rsidRPr="00316AAF">
        <w:rPr>
          <w:rFonts w:asciiTheme="majorBidi" w:hAnsiTheme="majorBidi" w:cstheme="majorBidi"/>
          <w:i/>
          <w:iCs/>
          <w:sz w:val="24"/>
          <w:szCs w:val="24"/>
        </w:rPr>
        <w:t>Emerging Markets Finance and Trade</w:t>
      </w:r>
      <w:r w:rsidRPr="00316AAF">
        <w:rPr>
          <w:rFonts w:asciiTheme="majorBidi" w:hAnsiTheme="majorBidi" w:cstheme="majorBidi"/>
          <w:sz w:val="24"/>
          <w:szCs w:val="24"/>
        </w:rPr>
        <w:t xml:space="preserve">, 56(13), 3217-3234. </w:t>
      </w:r>
    </w:p>
    <w:p w:rsidR="003546B9" w:rsidRPr="00631A12" w:rsidRDefault="003546B9" w:rsidP="00D01E7F">
      <w:pPr>
        <w:keepNext/>
        <w:spacing w:before="360" w:after="60" w:line="360" w:lineRule="auto"/>
        <w:ind w:right="567"/>
        <w:contextualSpacing/>
        <w:jc w:val="both"/>
        <w:outlineLvl w:val="2"/>
        <w:rPr>
          <w:rFonts w:asciiTheme="majorBidi" w:hAnsiTheme="majorBidi" w:cstheme="majorBidi"/>
          <w:sz w:val="24"/>
          <w:szCs w:val="24"/>
        </w:rPr>
      </w:pPr>
      <w:r w:rsidRPr="00631A12">
        <w:rPr>
          <w:rFonts w:asciiTheme="majorBidi" w:hAnsiTheme="majorBidi" w:cstheme="majorBidi"/>
          <w:sz w:val="24"/>
          <w:szCs w:val="24"/>
        </w:rPr>
        <w:t>Please cite this paper if you are using the code</w:t>
      </w:r>
      <w:bookmarkStart w:id="0" w:name="_GoBack"/>
      <w:bookmarkEnd w:id="0"/>
      <w:r w:rsidRPr="00631A12">
        <w:rPr>
          <w:rFonts w:asciiTheme="majorBidi" w:hAnsiTheme="majorBidi" w:cstheme="majorBidi"/>
          <w:sz w:val="24"/>
          <w:szCs w:val="24"/>
        </w:rPr>
        <w:t> in your research.</w:t>
      </w:r>
    </w:p>
    <w:p w:rsidR="003546B9" w:rsidRDefault="003546B9" w:rsidP="007B0477">
      <w:pPr>
        <w:keepNext/>
        <w:spacing w:before="360" w:after="60" w:line="360" w:lineRule="auto"/>
        <w:ind w:right="567"/>
        <w:contextualSpacing/>
        <w:jc w:val="both"/>
        <w:outlineLvl w:val="2"/>
        <w:rPr>
          <w:rFonts w:asciiTheme="majorBidi" w:hAnsiTheme="majorBidi" w:cstheme="majorBidi"/>
          <w:sz w:val="24"/>
          <w:szCs w:val="24"/>
        </w:rPr>
      </w:pPr>
    </w:p>
    <w:p w:rsidR="0004765F" w:rsidRPr="007D33E5" w:rsidRDefault="007D33E5" w:rsidP="007D33E5">
      <w:pPr>
        <w:keepNext/>
        <w:spacing w:before="360" w:after="60" w:line="360" w:lineRule="auto"/>
        <w:ind w:right="567"/>
        <w:contextualSpacing/>
        <w:jc w:val="both"/>
        <w:outlineLvl w:val="2"/>
        <w:rPr>
          <w:rFonts w:ascii="Times New Roman" w:eastAsia="Times New Roman" w:hAnsi="Times New Roman" w:cs="Arial"/>
          <w:b/>
          <w:iCs/>
          <w:sz w:val="28"/>
          <w:szCs w:val="28"/>
          <w:lang w:val="en-GB" w:eastAsia="en-GB"/>
        </w:rPr>
      </w:pPr>
      <w:r w:rsidRPr="007D33E5">
        <w:rPr>
          <w:rFonts w:ascii="Times New Roman" w:eastAsia="Times New Roman" w:hAnsi="Times New Roman" w:cs="Arial"/>
          <w:b/>
          <w:iCs/>
          <w:sz w:val="28"/>
          <w:szCs w:val="28"/>
          <w:lang w:val="en-GB" w:eastAsia="en-GB"/>
        </w:rPr>
        <w:t>3</w:t>
      </w:r>
      <w:r w:rsidR="0004765F" w:rsidRPr="007D33E5">
        <w:rPr>
          <w:rFonts w:ascii="Times New Roman" w:eastAsia="Times New Roman" w:hAnsi="Times New Roman" w:cs="Arial"/>
          <w:b/>
          <w:iCs/>
          <w:sz w:val="28"/>
          <w:szCs w:val="28"/>
          <w:lang w:val="en-GB" w:eastAsia="en-GB"/>
        </w:rPr>
        <w:t xml:space="preserve">. The bootstrap </w:t>
      </w:r>
      <w:r w:rsidR="0004765F" w:rsidRPr="007D33E5">
        <w:rPr>
          <w:rFonts w:asciiTheme="majorBidi" w:hAnsiTheme="majorBidi" w:cstheme="majorBidi"/>
          <w:b/>
          <w:bCs/>
          <w:sz w:val="28"/>
          <w:szCs w:val="28"/>
        </w:rPr>
        <w:t>panel</w:t>
      </w:r>
      <w:r w:rsidR="0004765F" w:rsidRPr="007D33E5">
        <w:rPr>
          <w:rFonts w:ascii="Times New Roman" w:eastAsia="Times New Roman" w:hAnsi="Times New Roman" w:cs="Arial"/>
          <w:b/>
          <w:iCs/>
          <w:sz w:val="28"/>
          <w:szCs w:val="28"/>
          <w:lang w:val="en-GB" w:eastAsia="en-GB"/>
        </w:rPr>
        <w:t xml:space="preserve"> Granger causality test</w:t>
      </w:r>
    </w:p>
    <w:p w:rsidR="0004765F" w:rsidRPr="0004765F" w:rsidRDefault="0004765F" w:rsidP="0004765F">
      <w:pPr>
        <w:widowControl w:val="0"/>
        <w:spacing w:before="240" w:after="0" w:line="480" w:lineRule="auto"/>
        <w:jc w:val="both"/>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Kónya (</w:t>
      </w:r>
      <w:r w:rsidRPr="0004765F">
        <w:rPr>
          <w:rFonts w:ascii="Times New Roman" w:eastAsia="Times New Roman" w:hAnsi="Times New Roman" w:cs="Times New Roman"/>
          <w:kern w:val="2"/>
          <w:sz w:val="24"/>
          <w:szCs w:val="24"/>
          <w:lang w:val="en-GB" w:eastAsia="en-GB"/>
        </w:rPr>
        <w:t>2006</w:t>
      </w:r>
      <w:r w:rsidRPr="0004765F">
        <w:rPr>
          <w:rFonts w:ascii="Times New Roman" w:eastAsia="Times New Roman" w:hAnsi="Times New Roman" w:cs="Times New Roman"/>
          <w:sz w:val="24"/>
          <w:szCs w:val="24"/>
          <w:lang w:val="en-GB" w:eastAsia="en-GB"/>
        </w:rPr>
        <w:t xml:space="preserve">) proposes a panel Granger causality test based on the seemingly unrelated regressions (SUR) systems and </w:t>
      </w:r>
      <w:r w:rsidRPr="0004765F">
        <w:rPr>
          <w:rFonts w:ascii="Times New Roman" w:eastAsia="Times New Roman" w:hAnsi="Times New Roman" w:cs="Times New Roman"/>
          <w:kern w:val="2"/>
          <w:sz w:val="24"/>
          <w:szCs w:val="24"/>
          <w:lang w:val="en-GB" w:eastAsia="ja-JP"/>
        </w:rPr>
        <w:t>the Wald tests with individual</w:t>
      </w:r>
      <w:r w:rsidRPr="0004765F">
        <w:rPr>
          <w:rFonts w:ascii="Cambria Math" w:eastAsia="Times New Roman" w:hAnsi="Cambria Math" w:cs="Cambria Math" w:hint="eastAsia"/>
          <w:kern w:val="2"/>
          <w:sz w:val="24"/>
          <w:szCs w:val="24"/>
          <w:lang w:val="en-GB" w:eastAsia="ja-JP"/>
        </w:rPr>
        <w:t>-</w:t>
      </w:r>
      <w:r w:rsidRPr="0004765F">
        <w:rPr>
          <w:rFonts w:ascii="Times New Roman" w:eastAsia="Times New Roman" w:hAnsi="Times New Roman" w:cs="Times New Roman"/>
          <w:kern w:val="2"/>
          <w:sz w:val="24"/>
          <w:szCs w:val="24"/>
          <w:lang w:val="en-GB" w:eastAsia="ja-JP"/>
        </w:rPr>
        <w:t xml:space="preserve">specific bootstrap critical values, which </w:t>
      </w:r>
      <w:r w:rsidRPr="0004765F">
        <w:rPr>
          <w:rFonts w:ascii="Times New Roman" w:eastAsia="Times New Roman" w:hAnsi="Times New Roman" w:cs="Times New Roman"/>
          <w:kern w:val="2"/>
          <w:sz w:val="24"/>
          <w:szCs w:val="24"/>
          <w:lang w:val="en-GB" w:eastAsia="ja-JP"/>
        </w:rPr>
        <w:lastRenderedPageBreak/>
        <w:t>accounts for both cross-sectional error dependence and slope heterogeneity across individual units</w:t>
      </w:r>
      <w:r w:rsidRPr="0004765F">
        <w:rPr>
          <w:rFonts w:ascii="Times New Roman" w:eastAsia="Times New Roman" w:hAnsi="Times New Roman" w:cs="Times New Roman"/>
          <w:sz w:val="24"/>
          <w:szCs w:val="24"/>
          <w:lang w:val="en-GB" w:eastAsia="en-GB"/>
        </w:rPr>
        <w:t xml:space="preserve">. </w:t>
      </w:r>
      <w:r w:rsidRPr="0004765F">
        <w:rPr>
          <w:rFonts w:ascii="Times New Roman" w:eastAsia="Times New Roman" w:hAnsi="Times New Roman" w:cs="Times New Roman"/>
          <w:kern w:val="2"/>
          <w:sz w:val="24"/>
          <w:szCs w:val="24"/>
          <w:lang w:val="en-GB" w:eastAsia="ja-JP"/>
        </w:rPr>
        <w:t xml:space="preserve">In the framework of the bootstrap panel causality approach, Granger causality from </w:t>
      </w:r>
      <m:oMath>
        <m:r>
          <w:rPr>
            <w:rFonts w:ascii="Cambria Math" w:eastAsia="Times New Roman" w:hAnsi="Cambria Math" w:cs="Times New Roman"/>
            <w:kern w:val="2"/>
            <w:sz w:val="24"/>
            <w:szCs w:val="24"/>
            <w:lang w:val="en-GB" w:eastAsia="ja-JP"/>
          </w:rPr>
          <m:t>x</m:t>
        </m:r>
      </m:oMath>
      <w:r w:rsidRPr="0004765F">
        <w:rPr>
          <w:rFonts w:ascii="Times New Roman" w:eastAsia="Times New Roman" w:hAnsi="Times New Roman" w:cs="Times New Roman"/>
          <w:kern w:val="2"/>
          <w:sz w:val="24"/>
          <w:szCs w:val="24"/>
          <w:lang w:val="en-GB" w:eastAsia="ja-JP"/>
        </w:rPr>
        <w:t xml:space="preserve"> to </w:t>
      </w:r>
      <m:oMath>
        <m:r>
          <w:rPr>
            <w:rFonts w:ascii="Cambria Math" w:eastAsia="Times New Roman" w:hAnsi="Cambria Math" w:cs="Times New Roman"/>
            <w:kern w:val="2"/>
            <w:sz w:val="24"/>
            <w:szCs w:val="24"/>
            <w:lang w:val="en-GB" w:eastAsia="ja-JP"/>
          </w:rPr>
          <m:t>y</m:t>
        </m:r>
      </m:oMath>
      <w:r w:rsidRPr="0004765F">
        <w:rPr>
          <w:rFonts w:ascii="Times New Roman" w:eastAsia="Times New Roman" w:hAnsi="Times New Roman" w:cs="Times New Roman"/>
          <w:kern w:val="2"/>
          <w:sz w:val="24"/>
          <w:szCs w:val="24"/>
          <w:lang w:val="en-GB" w:eastAsia="ja-JP"/>
        </w:rPr>
        <w:t xml:space="preserve"> can be tested using the </w:t>
      </w:r>
      <w:r w:rsidRPr="0004765F">
        <w:rPr>
          <w:rFonts w:ascii="Times New Roman" w:eastAsia="Times New Roman" w:hAnsi="Times New Roman" w:cs="Times New Roman"/>
          <w:sz w:val="24"/>
          <w:szCs w:val="24"/>
          <w:lang w:val="en-GB" w:eastAsia="en-GB"/>
        </w:rPr>
        <w:t>following</w:t>
      </w:r>
      <w:r w:rsidRPr="0004765F">
        <w:rPr>
          <w:rFonts w:ascii="Times New Roman" w:eastAsia="Times New Roman" w:hAnsi="Times New Roman" w:cs="Times New Roman"/>
          <w:kern w:val="2"/>
          <w:sz w:val="24"/>
          <w:szCs w:val="24"/>
          <w:lang w:val="en-GB" w:eastAsia="ja-JP"/>
        </w:rPr>
        <w:t xml:space="preserve"> set of equations:</w:t>
      </w:r>
    </w:p>
    <w:p w:rsidR="0004765F" w:rsidRPr="0004765F" w:rsidRDefault="0004765F" w:rsidP="0004765F">
      <w:pPr>
        <w:tabs>
          <w:tab w:val="center" w:pos="4253"/>
          <w:tab w:val="right" w:pos="8222"/>
        </w:tabs>
        <w:spacing w:before="240" w:after="240" w:line="240" w:lineRule="auto"/>
        <w:jc w:val="center"/>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ab/>
      </w:r>
      <m:oMath>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1,t</m:t>
            </m:r>
          </m:sub>
        </m:sSub>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α</m:t>
            </m:r>
          </m:e>
          <m:sub>
            <m:r>
              <w:rPr>
                <w:rFonts w:ascii="Cambria Math" w:eastAsia="Times New Roman" w:hAnsi="Cambria Math" w:cs="Times New Roman"/>
                <w:sz w:val="24"/>
                <w:szCs w:val="24"/>
                <w:lang w:val="en-GB" w:eastAsia="en-GB"/>
              </w:rPr>
              <m:t>1</m:t>
            </m:r>
          </m:sub>
        </m:sSub>
        <m:r>
          <w:rPr>
            <w:rFonts w:ascii="Cambria Math" w:eastAsia="Times New Roman" w:hAnsi="Cambria Math" w:cs="Times New Roman"/>
            <w:sz w:val="24"/>
            <w:szCs w:val="24"/>
            <w:lang w:val="en-GB" w:eastAsia="en-GB"/>
          </w:rPr>
          <m:t>+</m:t>
        </m:r>
        <m:nary>
          <m:naryPr>
            <m:chr m:val="∑"/>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j=1</m:t>
            </m:r>
          </m:sub>
          <m:sup>
            <m:r>
              <w:rPr>
                <w:rFonts w:ascii="Cambria Math" w:eastAsia="Times New Roman" w:hAnsi="Cambria Math" w:cs="Times New Roman"/>
                <w:sz w:val="24"/>
                <w:szCs w:val="24"/>
                <w:lang w:val="en-GB" w:eastAsia="en-GB"/>
              </w:rPr>
              <m:t>ly</m:t>
            </m:r>
          </m:sup>
          <m:e>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β</m:t>
                </m:r>
              </m:e>
              <m:sub>
                <m:r>
                  <w:rPr>
                    <w:rFonts w:ascii="Cambria Math" w:eastAsia="Times New Roman" w:hAnsi="Cambria Math" w:cs="Times New Roman"/>
                    <w:sz w:val="24"/>
                    <w:szCs w:val="24"/>
                    <w:lang w:val="en-GB" w:eastAsia="en-GB"/>
                  </w:rPr>
                  <m:t>1,j</m:t>
                </m:r>
              </m:sub>
            </m:sSub>
          </m:e>
        </m:nary>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1,t-j</m:t>
            </m:r>
          </m:sub>
        </m:sSub>
        <m:r>
          <w:rPr>
            <w:rFonts w:ascii="Cambria Math" w:eastAsia="Times New Roman" w:hAnsi="Cambria Math" w:cs="Times New Roman"/>
            <w:sz w:val="24"/>
            <w:szCs w:val="24"/>
            <w:lang w:val="en-GB" w:eastAsia="en-GB"/>
          </w:rPr>
          <m:t>+</m:t>
        </m:r>
        <m:nary>
          <m:naryPr>
            <m:chr m:val="∑"/>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j=1</m:t>
            </m:r>
          </m:sub>
          <m:sup>
            <m:r>
              <w:rPr>
                <w:rFonts w:ascii="Cambria Math" w:eastAsia="Times New Roman" w:hAnsi="Cambria Math" w:cs="Times New Roman"/>
                <w:sz w:val="24"/>
                <w:szCs w:val="24"/>
                <w:lang w:val="en-GB" w:eastAsia="en-GB"/>
              </w:rPr>
              <m:t>lx</m:t>
            </m:r>
          </m:sup>
          <m:e>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γ</m:t>
                </m:r>
              </m:e>
              <m:sub>
                <m:r>
                  <w:rPr>
                    <w:rFonts w:ascii="Cambria Math" w:eastAsia="Times New Roman" w:hAnsi="Cambria Math" w:cs="Times New Roman"/>
                    <w:sz w:val="24"/>
                    <w:szCs w:val="24"/>
                    <w:lang w:val="en-GB" w:eastAsia="en-GB"/>
                  </w:rPr>
                  <m:t>1,j</m:t>
                </m:r>
              </m:sub>
            </m:sSub>
          </m:e>
        </m:nary>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x</m:t>
            </m:r>
          </m:e>
          <m:sub>
            <m:r>
              <w:rPr>
                <w:rFonts w:ascii="Cambria Math" w:eastAsia="Times New Roman" w:hAnsi="Cambria Math" w:cs="Times New Roman"/>
                <w:sz w:val="24"/>
                <w:szCs w:val="24"/>
                <w:lang w:val="en-GB" w:eastAsia="en-GB"/>
              </w:rPr>
              <m:t>1,t-j</m:t>
            </m:r>
          </m:sub>
        </m:sSub>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ε</m:t>
            </m:r>
          </m:e>
          <m:sub>
            <m:r>
              <w:rPr>
                <w:rFonts w:ascii="Cambria Math" w:eastAsia="Times New Roman" w:hAnsi="Cambria Math" w:cs="Times New Roman"/>
                <w:sz w:val="24"/>
                <w:szCs w:val="24"/>
                <w:lang w:val="en-GB" w:eastAsia="en-GB"/>
              </w:rPr>
              <m:t>1,t</m:t>
            </m:r>
          </m:sub>
        </m:sSub>
        <m:r>
          <w:rPr>
            <w:rFonts w:ascii="Cambria Math" w:eastAsia="Times New Roman" w:hAnsi="Cambria Math" w:cs="Times New Roman"/>
            <w:sz w:val="24"/>
            <w:szCs w:val="24"/>
            <w:lang w:val="en-GB" w:eastAsia="en-GB"/>
          </w:rPr>
          <m:t>,</m:t>
        </m:r>
      </m:oMath>
      <w:r w:rsidRPr="0004765F">
        <w:rPr>
          <w:rFonts w:ascii="Times New Roman" w:eastAsia="Times New Roman" w:hAnsi="Times New Roman" w:cs="Times New Roman"/>
          <w:sz w:val="24"/>
          <w:szCs w:val="24"/>
          <w:lang w:val="en-GB" w:eastAsia="en-GB"/>
        </w:rPr>
        <w:tab/>
      </w:r>
    </w:p>
    <w:p w:rsidR="0004765F" w:rsidRPr="0004765F" w:rsidRDefault="0004765F" w:rsidP="0004765F">
      <w:pPr>
        <w:tabs>
          <w:tab w:val="center" w:pos="4253"/>
          <w:tab w:val="right" w:pos="8222"/>
        </w:tabs>
        <w:spacing w:before="240" w:after="240" w:line="240" w:lineRule="auto"/>
        <w:jc w:val="center"/>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ab/>
      </w:r>
      <m:oMath>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2,t</m:t>
            </m:r>
          </m:sub>
        </m:sSub>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α</m:t>
            </m:r>
          </m:e>
          <m:sub>
            <m:r>
              <w:rPr>
                <w:rFonts w:ascii="Cambria Math" w:eastAsia="Times New Roman" w:hAnsi="Cambria Math" w:cs="Times New Roman"/>
                <w:sz w:val="24"/>
                <w:szCs w:val="24"/>
                <w:lang w:val="en-GB" w:eastAsia="en-GB"/>
              </w:rPr>
              <m:t>2</m:t>
            </m:r>
          </m:sub>
        </m:sSub>
        <m:r>
          <w:rPr>
            <w:rFonts w:ascii="Cambria Math" w:eastAsia="Times New Roman" w:hAnsi="Cambria Math" w:cs="Times New Roman"/>
            <w:sz w:val="24"/>
            <w:szCs w:val="24"/>
            <w:lang w:val="en-GB" w:eastAsia="en-GB"/>
          </w:rPr>
          <m:t>+</m:t>
        </m:r>
        <m:nary>
          <m:naryPr>
            <m:chr m:val="∑"/>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j=1</m:t>
            </m:r>
          </m:sub>
          <m:sup>
            <m:r>
              <w:rPr>
                <w:rFonts w:ascii="Cambria Math" w:eastAsia="Times New Roman" w:hAnsi="Cambria Math" w:cs="Times New Roman"/>
                <w:sz w:val="24"/>
                <w:szCs w:val="24"/>
                <w:lang w:val="en-GB" w:eastAsia="en-GB"/>
              </w:rPr>
              <m:t>ly</m:t>
            </m:r>
          </m:sup>
          <m:e>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β</m:t>
                </m:r>
              </m:e>
              <m:sub>
                <m:r>
                  <w:rPr>
                    <w:rFonts w:ascii="Cambria Math" w:eastAsia="Times New Roman" w:hAnsi="Cambria Math" w:cs="Times New Roman"/>
                    <w:sz w:val="24"/>
                    <w:szCs w:val="24"/>
                    <w:lang w:val="en-GB" w:eastAsia="en-GB"/>
                  </w:rPr>
                  <m:t>2,j</m:t>
                </m:r>
              </m:sub>
            </m:sSub>
          </m:e>
        </m:nary>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2,t-j</m:t>
            </m:r>
          </m:sub>
        </m:sSub>
        <m:r>
          <w:rPr>
            <w:rFonts w:ascii="Cambria Math" w:eastAsia="Times New Roman" w:hAnsi="Cambria Math" w:cs="Times New Roman"/>
            <w:sz w:val="24"/>
            <w:szCs w:val="24"/>
            <w:lang w:val="en-GB" w:eastAsia="en-GB"/>
          </w:rPr>
          <m:t>+</m:t>
        </m:r>
        <m:nary>
          <m:naryPr>
            <m:chr m:val="∑"/>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j=1</m:t>
            </m:r>
          </m:sub>
          <m:sup>
            <m:r>
              <w:rPr>
                <w:rFonts w:ascii="Cambria Math" w:eastAsia="Times New Roman" w:hAnsi="Cambria Math" w:cs="Times New Roman"/>
                <w:sz w:val="24"/>
                <w:szCs w:val="24"/>
                <w:lang w:val="en-GB" w:eastAsia="en-GB"/>
              </w:rPr>
              <m:t>lx</m:t>
            </m:r>
          </m:sup>
          <m:e>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γ</m:t>
                </m:r>
              </m:e>
              <m:sub>
                <m:r>
                  <w:rPr>
                    <w:rFonts w:ascii="Cambria Math" w:eastAsia="Times New Roman" w:hAnsi="Cambria Math" w:cs="Times New Roman"/>
                    <w:sz w:val="24"/>
                    <w:szCs w:val="24"/>
                    <w:lang w:val="en-GB" w:eastAsia="en-GB"/>
                  </w:rPr>
                  <m:t>2,j</m:t>
                </m:r>
              </m:sub>
            </m:sSub>
          </m:e>
        </m:nary>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x</m:t>
            </m:r>
          </m:e>
          <m:sub>
            <m:r>
              <w:rPr>
                <w:rFonts w:ascii="Cambria Math" w:eastAsia="Times New Roman" w:hAnsi="Cambria Math" w:cs="Times New Roman"/>
                <w:sz w:val="24"/>
                <w:szCs w:val="24"/>
                <w:lang w:val="en-GB" w:eastAsia="en-GB"/>
              </w:rPr>
              <m:t>2,t-j</m:t>
            </m:r>
          </m:sub>
        </m:sSub>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ε</m:t>
            </m:r>
          </m:e>
          <m:sub>
            <m:r>
              <w:rPr>
                <w:rFonts w:ascii="Cambria Math" w:eastAsia="Times New Roman" w:hAnsi="Cambria Math" w:cs="Times New Roman"/>
                <w:sz w:val="24"/>
                <w:szCs w:val="24"/>
                <w:lang w:val="en-GB" w:eastAsia="en-GB"/>
              </w:rPr>
              <m:t>2,t</m:t>
            </m:r>
          </m:sub>
        </m:sSub>
        <m:r>
          <w:rPr>
            <w:rFonts w:ascii="Cambria Math" w:eastAsia="Times New Roman" w:hAnsi="Cambria Math" w:cs="Times New Roman"/>
            <w:sz w:val="24"/>
            <w:szCs w:val="24"/>
            <w:lang w:val="en-GB" w:eastAsia="en-GB"/>
          </w:rPr>
          <m:t>,</m:t>
        </m:r>
      </m:oMath>
      <w:r w:rsidRPr="0004765F">
        <w:rPr>
          <w:rFonts w:ascii="Times New Roman" w:eastAsia="Times New Roman" w:hAnsi="Times New Roman" w:cs="Times New Roman"/>
          <w:sz w:val="24"/>
          <w:szCs w:val="24"/>
          <w:lang w:val="en-GB" w:eastAsia="en-GB"/>
        </w:rPr>
        <w:tab/>
      </w:r>
    </w:p>
    <w:p w:rsidR="0004765F" w:rsidRPr="0004765F" w:rsidRDefault="0004765F" w:rsidP="0004765F">
      <w:pPr>
        <w:tabs>
          <w:tab w:val="center" w:pos="4253"/>
          <w:tab w:val="right" w:pos="8222"/>
        </w:tabs>
        <w:spacing w:before="240" w:after="240" w:line="240" w:lineRule="auto"/>
        <w:jc w:val="center"/>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ab/>
      </w:r>
      <m:oMath>
        <m:r>
          <w:rPr>
            <w:rFonts w:ascii="Cambria Math" w:eastAsia="Times New Roman" w:hAnsi="Cambria Math" w:cs="Times New Roman"/>
            <w:sz w:val="24"/>
            <w:szCs w:val="24"/>
            <w:lang w:val="en-GB" w:eastAsia="en-GB"/>
          </w:rPr>
          <m:t>⋮          ⋮                                ⋮                               ⋮</m:t>
        </m:r>
      </m:oMath>
      <w:r w:rsidRPr="0004765F">
        <w:rPr>
          <w:rFonts w:ascii="Times New Roman" w:eastAsia="Times New Roman" w:hAnsi="Times New Roman" w:cs="Times New Roman"/>
          <w:sz w:val="24"/>
          <w:szCs w:val="24"/>
          <w:lang w:val="en-GB" w:eastAsia="en-GB"/>
        </w:rPr>
        <w:tab/>
      </w:r>
    </w:p>
    <w:p w:rsidR="0004765F" w:rsidRPr="0004765F" w:rsidRDefault="0004765F" w:rsidP="007D33E5">
      <w:pPr>
        <w:tabs>
          <w:tab w:val="center" w:pos="4253"/>
          <w:tab w:val="right" w:pos="8222"/>
        </w:tabs>
        <w:spacing w:before="240" w:after="240" w:line="480" w:lineRule="auto"/>
        <w:jc w:val="right"/>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ab/>
      </w:r>
      <m:oMath>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N,t</m:t>
            </m:r>
          </m:sub>
        </m:sSub>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α</m:t>
            </m:r>
          </m:e>
          <m:sub>
            <m:r>
              <w:rPr>
                <w:rFonts w:ascii="Cambria Math" w:eastAsia="Times New Roman" w:hAnsi="Cambria Math" w:cs="Times New Roman"/>
                <w:sz w:val="24"/>
                <w:szCs w:val="24"/>
                <w:lang w:val="en-GB" w:eastAsia="en-GB"/>
              </w:rPr>
              <m:t>N</m:t>
            </m:r>
          </m:sub>
        </m:sSub>
        <m:r>
          <w:rPr>
            <w:rFonts w:ascii="Cambria Math" w:eastAsia="Times New Roman" w:hAnsi="Cambria Math" w:cs="Times New Roman"/>
            <w:sz w:val="24"/>
            <w:szCs w:val="24"/>
            <w:lang w:val="en-GB" w:eastAsia="en-GB"/>
          </w:rPr>
          <m:t>+</m:t>
        </m:r>
        <m:nary>
          <m:naryPr>
            <m:chr m:val="∑"/>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j=1</m:t>
            </m:r>
          </m:sub>
          <m:sup>
            <m:r>
              <w:rPr>
                <w:rFonts w:ascii="Cambria Math" w:eastAsia="Times New Roman" w:hAnsi="Cambria Math" w:cs="Times New Roman"/>
                <w:sz w:val="24"/>
                <w:szCs w:val="24"/>
                <w:lang w:val="en-GB" w:eastAsia="en-GB"/>
              </w:rPr>
              <m:t>ly</m:t>
            </m:r>
          </m:sup>
          <m:e>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β</m:t>
                </m:r>
              </m:e>
              <m:sub>
                <m:r>
                  <w:rPr>
                    <w:rFonts w:ascii="Cambria Math" w:eastAsia="Times New Roman" w:hAnsi="Cambria Math" w:cs="Times New Roman"/>
                    <w:sz w:val="24"/>
                    <w:szCs w:val="24"/>
                    <w:lang w:val="en-GB" w:eastAsia="en-GB"/>
                  </w:rPr>
                  <m:t>N,j</m:t>
                </m:r>
              </m:sub>
            </m:sSub>
          </m:e>
        </m:nary>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N,t-j</m:t>
            </m:r>
          </m:sub>
        </m:sSub>
        <m:r>
          <w:rPr>
            <w:rFonts w:ascii="Cambria Math" w:eastAsia="Times New Roman" w:hAnsi="Cambria Math" w:cs="Times New Roman"/>
            <w:sz w:val="24"/>
            <w:szCs w:val="24"/>
            <w:lang w:val="en-GB" w:eastAsia="en-GB"/>
          </w:rPr>
          <m:t>+</m:t>
        </m:r>
        <m:nary>
          <m:naryPr>
            <m:chr m:val="∑"/>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j=1</m:t>
            </m:r>
          </m:sub>
          <m:sup>
            <m:r>
              <w:rPr>
                <w:rFonts w:ascii="Cambria Math" w:eastAsia="Times New Roman" w:hAnsi="Cambria Math" w:cs="Times New Roman"/>
                <w:sz w:val="24"/>
                <w:szCs w:val="24"/>
                <w:lang w:val="en-GB" w:eastAsia="en-GB"/>
              </w:rPr>
              <m:t>lx</m:t>
            </m:r>
          </m:sup>
          <m:e>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γ</m:t>
                </m:r>
              </m:e>
              <m:sub>
                <m:r>
                  <w:rPr>
                    <w:rFonts w:ascii="Cambria Math" w:eastAsia="Times New Roman" w:hAnsi="Cambria Math" w:cs="Times New Roman"/>
                    <w:sz w:val="24"/>
                    <w:szCs w:val="24"/>
                    <w:lang w:val="en-GB" w:eastAsia="en-GB"/>
                  </w:rPr>
                  <m:t>N,j</m:t>
                </m:r>
              </m:sub>
            </m:sSub>
          </m:e>
        </m:nary>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x</m:t>
            </m:r>
          </m:e>
          <m:sub>
            <m:r>
              <w:rPr>
                <w:rFonts w:ascii="Cambria Math" w:eastAsia="Times New Roman" w:hAnsi="Cambria Math" w:cs="Times New Roman"/>
                <w:sz w:val="24"/>
                <w:szCs w:val="24"/>
                <w:lang w:val="en-GB" w:eastAsia="en-GB"/>
              </w:rPr>
              <m:t>N,t-j</m:t>
            </m:r>
          </m:sub>
        </m:sSub>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ε</m:t>
            </m:r>
          </m:e>
          <m:sub>
            <m:r>
              <w:rPr>
                <w:rFonts w:ascii="Cambria Math" w:eastAsia="Times New Roman" w:hAnsi="Cambria Math" w:cs="Times New Roman"/>
                <w:sz w:val="24"/>
                <w:szCs w:val="24"/>
                <w:lang w:val="en-GB" w:eastAsia="en-GB"/>
              </w:rPr>
              <m:t>N,t</m:t>
            </m:r>
          </m:sub>
        </m:sSub>
        <m:r>
          <w:rPr>
            <w:rFonts w:ascii="Cambria Math" w:eastAsia="Times New Roman" w:hAnsi="Cambria Math" w:cs="Times New Roman"/>
            <w:sz w:val="24"/>
            <w:szCs w:val="24"/>
            <w:lang w:val="en-GB" w:eastAsia="en-GB"/>
          </w:rPr>
          <m:t xml:space="preserve">,           </m:t>
        </m:r>
        <m:r>
          <w:rPr>
            <w:rFonts w:ascii="Cambria Math" w:eastAsia="Times New Roman" w:hAnsi="Cambria Math" w:cs="Times New Roman"/>
            <w:sz w:val="24"/>
            <w:szCs w:val="24"/>
            <w:lang w:val="en-GB" w:eastAsia="en-GB"/>
          </w:rPr>
          <m:t xml:space="preserve">  </m:t>
        </m:r>
        <m:r>
          <w:rPr>
            <w:rFonts w:ascii="Cambria Math" w:eastAsia="Times New Roman" w:hAnsi="Cambria Math" w:cs="Times New Roman"/>
            <w:sz w:val="24"/>
            <w:szCs w:val="24"/>
            <w:lang w:val="en-GB" w:eastAsia="en-GB"/>
          </w:rPr>
          <m:t xml:space="preserve">        </m:t>
        </m:r>
        <m:r>
          <w:rPr>
            <w:rFonts w:ascii="Cambria Math" w:eastAsia="Times New Roman" w:hAnsi="Cambria Math" w:cs="Times New Roman"/>
            <w:sz w:val="24"/>
            <w:szCs w:val="24"/>
            <w:lang w:val="en-GB" w:eastAsia="en-GB"/>
          </w:rPr>
          <m:t xml:space="preserve">  </m:t>
        </m:r>
        <m:r>
          <w:rPr>
            <w:rFonts w:ascii="Cambria Math" w:eastAsia="Times New Roman" w:hAnsi="Cambria Math" w:cs="Times New Roman"/>
            <w:sz w:val="24"/>
            <w:szCs w:val="24"/>
            <w:lang w:val="en-GB" w:eastAsia="en-GB"/>
          </w:rPr>
          <m:t xml:space="preserve">        </m:t>
        </m:r>
        <m:r>
          <m:rPr>
            <m:sty m:val="p"/>
          </m:rPr>
          <w:rPr>
            <w:rFonts w:ascii="Cambria Math" w:eastAsia="Times New Roman" w:hAnsi="Cambria Math" w:cs="Times New Roman"/>
            <w:sz w:val="24"/>
            <w:szCs w:val="24"/>
            <w:lang w:val="en-GB" w:eastAsia="en-GB"/>
          </w:rPr>
          <m:t>(1)</m:t>
        </m:r>
      </m:oMath>
      <w:r w:rsidRPr="0004765F">
        <w:rPr>
          <w:rFonts w:ascii="Times New Roman" w:eastAsia="Times New Roman" w:hAnsi="Times New Roman" w:cs="Times New Roman"/>
          <w:sz w:val="24"/>
          <w:szCs w:val="24"/>
          <w:lang w:val="en-GB" w:eastAsia="en-GB"/>
        </w:rPr>
        <w:t xml:space="preserve"> </w:t>
      </w:r>
    </w:p>
    <w:p w:rsidR="0004765F" w:rsidRPr="0004765F" w:rsidRDefault="0004765F" w:rsidP="007D33E5">
      <w:pPr>
        <w:widowControl w:val="0"/>
        <w:spacing w:before="240" w:after="0" w:line="480" w:lineRule="auto"/>
        <w:jc w:val="both"/>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 xml:space="preserve">where </w:t>
      </w:r>
      <m:oMath>
        <m:r>
          <w:rPr>
            <w:rFonts w:ascii="Cambria Math" w:eastAsia="Times New Roman" w:hAnsi="Cambria Math" w:cs="Times New Roman"/>
            <w:sz w:val="24"/>
            <w:szCs w:val="24"/>
            <w:lang w:val="en-GB" w:eastAsia="en-GB"/>
          </w:rPr>
          <m:t>N</m:t>
        </m:r>
      </m:oMath>
      <w:r w:rsidRPr="0004765F">
        <w:rPr>
          <w:rFonts w:ascii="Times New Roman" w:eastAsia="Times New Roman" w:hAnsi="Times New Roman" w:cs="Times New Roman"/>
          <w:sz w:val="24"/>
          <w:szCs w:val="24"/>
          <w:lang w:val="en-GB" w:eastAsia="en-GB"/>
        </w:rPr>
        <w:t xml:space="preserve"> refers to the number of cross</w:t>
      </w:r>
      <w:r w:rsidRPr="0004765F">
        <w:rPr>
          <w:rFonts w:ascii="Cambria Math" w:eastAsia="Times New Roman" w:hAnsi="Cambria Math" w:cs="Cambria Math"/>
          <w:sz w:val="24"/>
          <w:szCs w:val="24"/>
          <w:lang w:val="en-GB" w:eastAsia="en-GB"/>
        </w:rPr>
        <w:t>-</w:t>
      </w:r>
      <w:r w:rsidRPr="0004765F">
        <w:rPr>
          <w:rFonts w:ascii="Times New Roman" w:eastAsia="Times New Roman" w:hAnsi="Times New Roman" w:cs="Times New Roman"/>
          <w:sz w:val="24"/>
          <w:szCs w:val="24"/>
          <w:lang w:val="en-GB" w:eastAsia="en-GB"/>
        </w:rPr>
        <w:t xml:space="preserve">sections in the panel, </w:t>
      </w:r>
      <m:oMath>
        <m:r>
          <w:rPr>
            <w:rFonts w:ascii="Cambria Math" w:eastAsia="Times New Roman" w:hAnsi="Cambria Math" w:cs="Times New Roman"/>
            <w:sz w:val="24"/>
            <w:szCs w:val="24"/>
            <w:lang w:val="en-GB" w:eastAsia="en-GB"/>
          </w:rPr>
          <m:t>t</m:t>
        </m:r>
      </m:oMath>
      <w:r w:rsidRPr="0004765F">
        <w:rPr>
          <w:rFonts w:ascii="Times New Roman" w:eastAsia="Times New Roman" w:hAnsi="Times New Roman" w:cs="Times New Roman"/>
          <w:sz w:val="24"/>
          <w:szCs w:val="24"/>
          <w:lang w:val="en-GB" w:eastAsia="en-GB"/>
        </w:rPr>
        <w:t xml:space="preserve"> to the time period </w:t>
      </w:r>
      <m:oMath>
        <m:r>
          <w:rPr>
            <w:rFonts w:ascii="Cambria Math" w:eastAsia="Times New Roman" w:hAnsi="Cambria Math" w:cs="Times New Roman"/>
            <w:sz w:val="24"/>
            <w:szCs w:val="24"/>
            <w:lang w:val="en-GB" w:eastAsia="en-GB"/>
          </w:rPr>
          <m:t>(t=1,…, T)</m:t>
        </m:r>
      </m:oMath>
      <w:r w:rsidRPr="0004765F">
        <w:rPr>
          <w:rFonts w:ascii="Times New Roman" w:eastAsia="Times New Roman" w:hAnsi="Times New Roman" w:cs="Times New Roman"/>
          <w:sz w:val="24"/>
          <w:szCs w:val="24"/>
          <w:lang w:val="en-GB" w:eastAsia="en-GB"/>
        </w:rPr>
        <w:t xml:space="preserve">, </w:t>
      </w:r>
      <m:oMath>
        <m:r>
          <w:rPr>
            <w:rFonts w:ascii="Cambria Math" w:eastAsia="Times New Roman" w:hAnsi="Cambria Math" w:cs="Times New Roman"/>
            <w:sz w:val="24"/>
            <w:szCs w:val="24"/>
            <w:lang w:val="en-GB" w:eastAsia="en-GB"/>
          </w:rPr>
          <m:t>lx</m:t>
        </m:r>
      </m:oMath>
      <w:r w:rsidRPr="0004765F">
        <w:rPr>
          <w:rFonts w:ascii="Times New Roman" w:eastAsia="Times New Roman" w:hAnsi="Times New Roman" w:cs="Times New Roman"/>
          <w:sz w:val="24"/>
          <w:szCs w:val="24"/>
          <w:lang w:val="en-GB" w:eastAsia="en-GB"/>
        </w:rPr>
        <w:t xml:space="preserve"> and </w:t>
      </w:r>
      <m:oMath>
        <m:r>
          <w:rPr>
            <w:rFonts w:ascii="Cambria Math" w:eastAsia="Times New Roman" w:hAnsi="Cambria Math" w:cs="Times New Roman"/>
            <w:sz w:val="24"/>
            <w:szCs w:val="24"/>
            <w:lang w:val="en-GB" w:eastAsia="en-GB"/>
          </w:rPr>
          <m:t>ly</m:t>
        </m:r>
      </m:oMath>
      <w:r w:rsidRPr="0004765F">
        <w:rPr>
          <w:rFonts w:ascii="Times New Roman" w:eastAsia="Times New Roman" w:hAnsi="Times New Roman" w:cs="Times New Roman"/>
          <w:sz w:val="24"/>
          <w:szCs w:val="24"/>
          <w:lang w:val="en-GB" w:eastAsia="en-GB"/>
        </w:rPr>
        <w:t xml:space="preserve"> to the optimal lag lengths, and </w:t>
      </w:r>
      <m:oMath>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ε</m:t>
            </m:r>
          </m:e>
          <m:sub>
            <m:r>
              <w:rPr>
                <w:rFonts w:ascii="Cambria Math" w:eastAsia="Times New Roman" w:hAnsi="Cambria Math" w:cs="Times New Roman"/>
                <w:sz w:val="24"/>
                <w:szCs w:val="24"/>
                <w:lang w:val="en-GB" w:eastAsia="en-GB"/>
              </w:rPr>
              <m:t>i,t</m:t>
            </m:r>
          </m:sub>
        </m:sSub>
      </m:oMath>
      <w:r w:rsidRPr="0004765F">
        <w:rPr>
          <w:rFonts w:ascii="Times New Roman" w:eastAsia="Times New Roman" w:hAnsi="Times New Roman" w:cs="Times New Roman"/>
          <w:sz w:val="24"/>
          <w:szCs w:val="24"/>
          <w:lang w:val="en-GB" w:eastAsia="en-GB"/>
        </w:rPr>
        <w:t xml:space="preserve"> to the idiosyncratic error terms. The individual regressions may be related through the contemporaneous correlation across individuals. In this context, the set of equations</w:t>
      </w:r>
      <w:r w:rsidRPr="0004765F">
        <w:rPr>
          <w:rFonts w:ascii="Times New Roman" w:eastAsia="Times New Roman" w:hAnsi="Times New Roman" w:cs="Times New Roman"/>
          <w:kern w:val="2"/>
          <w:sz w:val="24"/>
          <w:szCs w:val="24"/>
          <w:lang w:val="en-GB" w:eastAsia="en-GB"/>
        </w:rPr>
        <w:t xml:space="preserve"> (1)</w:t>
      </w:r>
      <w:r w:rsidRPr="0004765F">
        <w:rPr>
          <w:rFonts w:ascii="Times New Roman" w:eastAsia="Times New Roman" w:hAnsi="Times New Roman" w:cs="Times New Roman"/>
          <w:sz w:val="24"/>
          <w:szCs w:val="24"/>
          <w:lang w:val="en-GB" w:eastAsia="en-GB"/>
        </w:rPr>
        <w:t xml:space="preserve"> is a SUR system, rather than a vector autoregressive (VAR) model. Therefore, this system cannot be efficiently estimated equation</w:t>
      </w:r>
      <w:r w:rsidRPr="0004765F">
        <w:rPr>
          <w:rFonts w:ascii="Cambria Math" w:eastAsia="Times New Roman" w:hAnsi="Cambria Math" w:cs="Cambria Math"/>
          <w:sz w:val="24"/>
          <w:szCs w:val="24"/>
          <w:lang w:val="en-GB" w:eastAsia="en-GB"/>
        </w:rPr>
        <w:t>‐</w:t>
      </w:r>
      <w:r w:rsidRPr="0004765F">
        <w:rPr>
          <w:rFonts w:ascii="Times New Roman" w:eastAsia="Times New Roman" w:hAnsi="Times New Roman" w:cs="Times New Roman"/>
          <w:sz w:val="24"/>
          <w:szCs w:val="24"/>
          <w:lang w:val="en-GB" w:eastAsia="en-GB"/>
        </w:rPr>
        <w:t>by</w:t>
      </w:r>
      <w:r w:rsidRPr="0004765F">
        <w:rPr>
          <w:rFonts w:ascii="Cambria Math" w:eastAsia="Times New Roman" w:hAnsi="Cambria Math" w:cs="Cambria Math"/>
          <w:sz w:val="24"/>
          <w:szCs w:val="24"/>
          <w:lang w:val="en-GB" w:eastAsia="en-GB"/>
        </w:rPr>
        <w:t>‐</w:t>
      </w:r>
      <w:r w:rsidRPr="0004765F">
        <w:rPr>
          <w:rFonts w:ascii="Times New Roman" w:eastAsia="Times New Roman" w:hAnsi="Times New Roman" w:cs="Times New Roman"/>
          <w:sz w:val="24"/>
          <w:szCs w:val="24"/>
          <w:lang w:val="en-GB" w:eastAsia="en-GB"/>
        </w:rPr>
        <w:t>equation using the OLS estimator. Instead, as mentioned previously, Kónya (</w:t>
      </w:r>
      <w:r w:rsidRPr="0004765F">
        <w:rPr>
          <w:rFonts w:ascii="Times New Roman" w:eastAsia="Times New Roman" w:hAnsi="Times New Roman" w:cs="Times New Roman"/>
          <w:kern w:val="2"/>
          <w:sz w:val="24"/>
          <w:szCs w:val="24"/>
          <w:lang w:val="en-GB" w:eastAsia="en-GB"/>
        </w:rPr>
        <w:t>2006</w:t>
      </w:r>
      <w:r w:rsidRPr="0004765F">
        <w:rPr>
          <w:rFonts w:ascii="Times New Roman" w:eastAsia="Times New Roman" w:hAnsi="Times New Roman" w:cs="Times New Roman"/>
          <w:sz w:val="24"/>
          <w:szCs w:val="24"/>
          <w:lang w:val="en-GB" w:eastAsia="en-GB"/>
        </w:rPr>
        <w:t xml:space="preserve">) suggests the more efficient estimation of the parameters with the SUR approach. </w:t>
      </w:r>
    </w:p>
    <w:p w:rsidR="0004765F" w:rsidRPr="0004765F" w:rsidRDefault="0004765F" w:rsidP="00465019">
      <w:pPr>
        <w:spacing w:after="0" w:line="480" w:lineRule="auto"/>
        <w:jc w:val="both"/>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 xml:space="preserve">In general, a test of Granger causality from </w:t>
      </w:r>
      <m:oMath>
        <m:r>
          <w:rPr>
            <w:rFonts w:ascii="Cambria Math" w:eastAsia="Times New Roman" w:hAnsi="Cambria Math" w:cs="Times New Roman"/>
            <w:sz w:val="24"/>
            <w:szCs w:val="24"/>
            <w:lang w:val="en-GB" w:eastAsia="en-GB"/>
          </w:rPr>
          <m:t>x</m:t>
        </m:r>
      </m:oMath>
      <w:r w:rsidRPr="0004765F">
        <w:rPr>
          <w:rFonts w:ascii="Times New Roman" w:eastAsia="Times New Roman" w:hAnsi="Times New Roman" w:cs="Times New Roman"/>
          <w:sz w:val="24"/>
          <w:szCs w:val="24"/>
          <w:lang w:val="en-GB" w:eastAsia="en-GB"/>
        </w:rPr>
        <w:t xml:space="preserve"> to </w:t>
      </w:r>
      <m:oMath>
        <m:r>
          <w:rPr>
            <w:rFonts w:ascii="Cambria Math" w:eastAsia="Times New Roman" w:hAnsi="Cambria Math" w:cs="Times New Roman"/>
            <w:sz w:val="24"/>
            <w:szCs w:val="24"/>
            <w:lang w:val="en-GB" w:eastAsia="en-GB"/>
          </w:rPr>
          <m:t>y</m:t>
        </m:r>
      </m:oMath>
      <w:r w:rsidRPr="0004765F">
        <w:rPr>
          <w:rFonts w:ascii="Times New Roman" w:eastAsia="Times New Roman" w:hAnsi="Times New Roman" w:cs="Times New Roman"/>
          <w:sz w:val="24"/>
          <w:szCs w:val="24"/>
          <w:lang w:val="en-GB" w:eastAsia="en-GB"/>
        </w:rPr>
        <w:t xml:space="preserve"> for each individual </w:t>
      </w:r>
      <m:oMath>
        <m:r>
          <w:rPr>
            <w:rFonts w:ascii="Cambria Math" w:eastAsia="Times New Roman" w:hAnsi="Cambria Math" w:cs="Times New Roman"/>
            <w:sz w:val="24"/>
            <w:szCs w:val="24"/>
            <w:lang w:val="en-GB" w:eastAsia="en-GB"/>
          </w:rPr>
          <m:t>i</m:t>
        </m:r>
      </m:oMath>
      <w:r w:rsidRPr="0004765F">
        <w:rPr>
          <w:rFonts w:ascii="Times New Roman" w:eastAsia="Times New Roman" w:hAnsi="Times New Roman" w:cs="Times New Roman"/>
          <w:sz w:val="24"/>
          <w:szCs w:val="24"/>
          <w:lang w:val="en-GB" w:eastAsia="en-GB"/>
        </w:rPr>
        <w:t xml:space="preserve"> can be carried out by testing the joint hypothesis that all </w:t>
      </w:r>
      <w:r w:rsidRPr="0004765F">
        <w:rPr>
          <w:rFonts w:ascii="Times New Roman" w:eastAsia="Times New Roman" w:hAnsi="Times New Roman" w:cs="Times New Roman"/>
          <w:kern w:val="2"/>
          <w:sz w:val="24"/>
          <w:szCs w:val="24"/>
          <w:lang w:val="en-GB" w:eastAsia="ja-JP"/>
        </w:rPr>
        <w:t>the</w:t>
      </w:r>
      <w:r w:rsidRPr="0004765F">
        <w:rPr>
          <w:rFonts w:ascii="Times New Roman" w:eastAsia="Times New Roman" w:hAnsi="Times New Roman" w:cs="Times New Roman"/>
          <w:sz w:val="24"/>
          <w:szCs w:val="24"/>
          <w:lang w:val="en-GB" w:eastAsia="en-GB"/>
        </w:rPr>
        <w:t xml:space="preserve"> coefficients on the lagged </w:t>
      </w:r>
      <m:oMath>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x</m:t>
            </m:r>
          </m:e>
          <m:sub>
            <m:r>
              <w:rPr>
                <w:rFonts w:ascii="Cambria Math" w:eastAsia="Times New Roman" w:hAnsi="Cambria Math" w:cs="Times New Roman"/>
                <w:sz w:val="24"/>
                <w:szCs w:val="24"/>
                <w:lang w:val="en-GB" w:eastAsia="en-GB"/>
              </w:rPr>
              <m:t>i</m:t>
            </m:r>
          </m:sub>
        </m:sSub>
      </m:oMath>
      <w:r w:rsidRPr="0004765F">
        <w:rPr>
          <w:rFonts w:ascii="Times New Roman" w:eastAsia="Times New Roman" w:hAnsi="Times New Roman" w:cs="Times New Roman"/>
          <w:sz w:val="24"/>
          <w:szCs w:val="24"/>
          <w:lang w:val="en-GB" w:eastAsia="en-GB"/>
        </w:rPr>
        <w:t xml:space="preserve"> are zero </w:t>
      </w:r>
      <m:oMath>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H</m:t>
            </m:r>
          </m:e>
          <m:sub>
            <m:r>
              <w:rPr>
                <w:rFonts w:ascii="Cambria Math" w:eastAsia="Times New Roman" w:hAnsi="Cambria Math" w:cs="Times New Roman"/>
                <w:sz w:val="24"/>
                <w:szCs w:val="24"/>
                <w:lang w:val="en-GB" w:eastAsia="en-GB"/>
              </w:rPr>
              <m:t>0</m:t>
            </m:r>
          </m:sub>
        </m:sSub>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γ</m:t>
            </m:r>
          </m:e>
          <m:sub>
            <m:r>
              <w:rPr>
                <w:rFonts w:ascii="Cambria Math" w:eastAsia="Times New Roman" w:hAnsi="Cambria Math" w:cs="Times New Roman"/>
                <w:sz w:val="24"/>
                <w:szCs w:val="24"/>
                <w:lang w:val="en-GB" w:eastAsia="en-GB"/>
              </w:rPr>
              <m:t>i,1</m:t>
            </m:r>
          </m:sub>
        </m:sSub>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γ</m:t>
            </m:r>
          </m:e>
          <m:sub>
            <m:r>
              <w:rPr>
                <w:rFonts w:ascii="Cambria Math" w:eastAsia="Times New Roman" w:hAnsi="Cambria Math" w:cs="Times New Roman"/>
                <w:sz w:val="24"/>
                <w:szCs w:val="24"/>
                <w:lang w:val="en-GB" w:eastAsia="en-GB"/>
              </w:rPr>
              <m:t>i,lx</m:t>
            </m:r>
          </m:sub>
        </m:sSub>
        <m:r>
          <w:rPr>
            <w:rFonts w:ascii="Cambria Math" w:eastAsia="Times New Roman" w:hAnsi="Cambria Math" w:cs="Times New Roman"/>
            <w:sz w:val="24"/>
            <w:szCs w:val="24"/>
            <w:lang w:val="en-GB" w:eastAsia="en-GB"/>
          </w:rPr>
          <m:t>=0)</m:t>
        </m:r>
      </m:oMath>
      <w:r w:rsidRPr="0004765F">
        <w:rPr>
          <w:rFonts w:ascii="Times New Roman" w:eastAsia="Times New Roman" w:hAnsi="Times New Roman" w:cs="Times New Roman"/>
          <w:sz w:val="24"/>
          <w:szCs w:val="24"/>
          <w:lang w:val="en-GB" w:eastAsia="en-GB"/>
        </w:rPr>
        <w:t xml:space="preserve"> . If the null hypothesis cannot be rejected, </w:t>
      </w:r>
      <w:r w:rsidRPr="0004765F">
        <w:rPr>
          <w:rFonts w:ascii="Times New Roman" w:eastAsia="Times New Roman" w:hAnsi="Times New Roman" w:cs="Times New Roman"/>
          <w:kern w:val="2"/>
          <w:sz w:val="24"/>
          <w:szCs w:val="24"/>
          <w:lang w:val="en-GB" w:eastAsia="ja-JP"/>
        </w:rPr>
        <w:t>there</w:t>
      </w:r>
      <w:r w:rsidRPr="0004765F">
        <w:rPr>
          <w:rFonts w:ascii="Times New Roman" w:eastAsia="Times New Roman" w:hAnsi="Times New Roman" w:cs="Times New Roman"/>
          <w:sz w:val="24"/>
          <w:szCs w:val="24"/>
          <w:lang w:val="en-GB" w:eastAsia="en-GB"/>
        </w:rPr>
        <w:t xml:space="preserve"> is no Granger causality from </w:t>
      </w:r>
      <m:oMath>
        <m:r>
          <w:rPr>
            <w:rFonts w:ascii="Cambria Math" w:eastAsia="Times New Roman" w:hAnsi="Cambria Math" w:cs="Times New Roman"/>
            <w:sz w:val="24"/>
            <w:szCs w:val="24"/>
            <w:lang w:val="en-GB" w:eastAsia="en-GB"/>
          </w:rPr>
          <m:t>x</m:t>
        </m:r>
      </m:oMath>
      <w:r w:rsidRPr="0004765F">
        <w:rPr>
          <w:rFonts w:ascii="Times New Roman" w:eastAsia="Times New Roman" w:hAnsi="Times New Roman" w:cs="Times New Roman"/>
          <w:sz w:val="24"/>
          <w:szCs w:val="24"/>
          <w:lang w:val="en-GB" w:eastAsia="en-GB"/>
        </w:rPr>
        <w:t xml:space="preserve"> to </w:t>
      </w:r>
      <m:oMath>
        <m:r>
          <w:rPr>
            <w:rFonts w:ascii="Cambria Math" w:eastAsia="Times New Roman" w:hAnsi="Cambria Math" w:cs="Times New Roman"/>
            <w:sz w:val="24"/>
            <w:szCs w:val="24"/>
            <w:lang w:val="en-GB" w:eastAsia="en-GB"/>
          </w:rPr>
          <m:t>y</m:t>
        </m:r>
      </m:oMath>
      <w:r w:rsidRPr="0004765F">
        <w:rPr>
          <w:rFonts w:ascii="Times New Roman" w:eastAsia="Times New Roman" w:hAnsi="Times New Roman" w:cs="Times New Roman"/>
          <w:sz w:val="24"/>
          <w:szCs w:val="24"/>
          <w:lang w:val="en-GB" w:eastAsia="en-GB"/>
        </w:rPr>
        <w:t xml:space="preserve"> for individual </w:t>
      </w:r>
      <m:oMath>
        <m:r>
          <w:rPr>
            <w:rFonts w:ascii="Cambria Math" w:eastAsia="Times New Roman" w:hAnsi="Cambria Math" w:cs="Times New Roman"/>
            <w:sz w:val="24"/>
            <w:szCs w:val="24"/>
            <w:lang w:val="en-GB" w:eastAsia="en-GB"/>
          </w:rPr>
          <m:t>i</m:t>
        </m:r>
      </m:oMath>
      <w:r w:rsidRPr="0004765F">
        <w:rPr>
          <w:rFonts w:ascii="Times New Roman" w:eastAsia="Times New Roman" w:hAnsi="Times New Roman" w:cs="Times New Roman"/>
          <w:sz w:val="24"/>
          <w:szCs w:val="24"/>
          <w:lang w:val="en-GB" w:eastAsia="en-GB"/>
        </w:rPr>
        <w:t xml:space="preserve">. On the other hand, rejection of the null hypothesis (not all </w:t>
      </w:r>
      <m:oMath>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γ</m:t>
            </m:r>
          </m:e>
          <m:sub>
            <m:r>
              <w:rPr>
                <w:rFonts w:ascii="Cambria Math" w:eastAsia="Times New Roman" w:hAnsi="Cambria Math" w:cs="Times New Roman"/>
                <w:sz w:val="24"/>
                <w:szCs w:val="24"/>
                <w:lang w:val="en-GB" w:eastAsia="en-GB"/>
              </w:rPr>
              <m:t>i</m:t>
            </m:r>
          </m:sub>
        </m:sSub>
      </m:oMath>
      <w:r w:rsidRPr="0004765F">
        <w:rPr>
          <w:rFonts w:ascii="Times New Roman" w:eastAsia="Times New Roman" w:hAnsi="Times New Roman" w:cs="Times New Roman"/>
          <w:sz w:val="24"/>
          <w:szCs w:val="24"/>
          <w:lang w:val="en-GB" w:eastAsia="en-GB"/>
        </w:rPr>
        <w:t xml:space="preserve">’s are zero) implies that there is Granger causality running from </w:t>
      </w:r>
      <m:oMath>
        <m:r>
          <w:rPr>
            <w:rFonts w:ascii="Cambria Math" w:eastAsia="Times New Roman" w:hAnsi="Cambria Math" w:cs="Times New Roman"/>
            <w:sz w:val="24"/>
            <w:szCs w:val="24"/>
            <w:lang w:val="en-GB" w:eastAsia="en-GB"/>
          </w:rPr>
          <m:t>x</m:t>
        </m:r>
      </m:oMath>
      <w:r w:rsidRPr="0004765F">
        <w:rPr>
          <w:rFonts w:ascii="Times New Roman" w:eastAsia="Times New Roman" w:hAnsi="Times New Roman" w:cs="Times New Roman"/>
          <w:sz w:val="24"/>
          <w:szCs w:val="24"/>
          <w:lang w:val="en-GB" w:eastAsia="en-GB"/>
        </w:rPr>
        <w:t xml:space="preserve"> to </w:t>
      </w:r>
      <m:oMath>
        <m:r>
          <w:rPr>
            <w:rFonts w:ascii="Cambria Math" w:eastAsia="Times New Roman" w:hAnsi="Cambria Math" w:cs="Times New Roman"/>
            <w:sz w:val="24"/>
            <w:szCs w:val="24"/>
            <w:lang w:val="en-GB" w:eastAsia="en-GB"/>
          </w:rPr>
          <m:t>y</m:t>
        </m:r>
      </m:oMath>
      <w:r w:rsidRPr="0004765F">
        <w:rPr>
          <w:rFonts w:ascii="Times New Roman" w:eastAsia="Times New Roman" w:hAnsi="Times New Roman" w:cs="Times New Roman"/>
          <w:sz w:val="24"/>
          <w:szCs w:val="24"/>
          <w:lang w:val="en-GB" w:eastAsia="en-GB"/>
        </w:rPr>
        <w:t xml:space="preserve"> for individual </w:t>
      </w:r>
      <m:oMath>
        <m:r>
          <w:rPr>
            <w:rFonts w:ascii="Cambria Math" w:eastAsia="Times New Roman" w:hAnsi="Cambria Math" w:cs="Times New Roman"/>
            <w:sz w:val="24"/>
            <w:szCs w:val="24"/>
            <w:lang w:val="en-GB" w:eastAsia="en-GB"/>
          </w:rPr>
          <m:t>i.</m:t>
        </m:r>
      </m:oMath>
      <w:r w:rsidRPr="0004765F">
        <w:rPr>
          <w:rFonts w:ascii="Times New Roman" w:eastAsia="Times New Roman" w:hAnsi="Times New Roman" w:cs="Times New Roman"/>
          <w:sz w:val="24"/>
          <w:szCs w:val="24"/>
          <w:lang w:val="en-GB" w:eastAsia="en-GB"/>
        </w:rPr>
        <w:t xml:space="preserve"> </w:t>
      </w:r>
    </w:p>
    <w:p w:rsidR="0004765F" w:rsidRPr="0004765F" w:rsidRDefault="0004765F" w:rsidP="007D33E5">
      <w:pPr>
        <w:spacing w:after="0" w:line="480" w:lineRule="auto"/>
        <w:jc w:val="both"/>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Since the results of the causality analysis may be sensitive to the lag structure, the number of optimal lags must be specified before proceeding to the next step. Following the Kónya (</w:t>
      </w:r>
      <w:r w:rsidRPr="0004765F">
        <w:rPr>
          <w:rFonts w:ascii="Times New Roman" w:eastAsia="Times New Roman" w:hAnsi="Times New Roman" w:cs="Times New Roman"/>
          <w:kern w:val="2"/>
          <w:sz w:val="24"/>
          <w:szCs w:val="24"/>
          <w:lang w:val="en-GB" w:eastAsia="en-GB"/>
        </w:rPr>
        <w:t>2006</w:t>
      </w:r>
      <w:r w:rsidRPr="0004765F">
        <w:rPr>
          <w:rFonts w:ascii="Times New Roman" w:eastAsia="Times New Roman" w:hAnsi="Times New Roman" w:cs="Times New Roman"/>
          <w:sz w:val="24"/>
          <w:szCs w:val="24"/>
          <w:lang w:val="en-GB" w:eastAsia="en-GB"/>
        </w:rPr>
        <w:t xml:space="preserve">), the optimal lags are allowed to vary across series but not across equations. In this context, the set </w:t>
      </w:r>
      <w:r w:rsidRPr="0004765F">
        <w:rPr>
          <w:rFonts w:ascii="Times New Roman" w:eastAsia="Times New Roman" w:hAnsi="Times New Roman" w:cs="Times New Roman"/>
          <w:sz w:val="24"/>
          <w:szCs w:val="24"/>
          <w:lang w:val="en-GB" w:eastAsia="en-GB"/>
        </w:rPr>
        <w:lastRenderedPageBreak/>
        <w:t>of equations</w:t>
      </w:r>
      <w:r w:rsidRPr="0004765F">
        <w:rPr>
          <w:rFonts w:ascii="Times New Roman" w:eastAsia="Times New Roman" w:hAnsi="Times New Roman" w:cs="Times New Roman"/>
          <w:kern w:val="2"/>
          <w:sz w:val="24"/>
          <w:szCs w:val="24"/>
          <w:lang w:val="en-GB" w:eastAsia="en-GB"/>
        </w:rPr>
        <w:t xml:space="preserve"> (1)</w:t>
      </w:r>
      <w:r w:rsidRPr="0004765F">
        <w:rPr>
          <w:rFonts w:ascii="Times New Roman" w:eastAsia="Times New Roman" w:hAnsi="Times New Roman" w:cs="Times New Roman"/>
          <w:sz w:val="24"/>
          <w:szCs w:val="24"/>
          <w:lang w:val="en-GB" w:eastAsia="en-GB"/>
        </w:rPr>
        <w:t xml:space="preserve"> is estimated for each possible pair of </w:t>
      </w:r>
      <m:oMath>
        <m:r>
          <w:rPr>
            <w:rFonts w:ascii="Cambria Math" w:eastAsia="Times New Roman" w:hAnsi="Cambria Math" w:cs="Times New Roman"/>
            <w:sz w:val="24"/>
            <w:szCs w:val="24"/>
            <w:lang w:val="en-GB" w:eastAsia="en-GB"/>
          </w:rPr>
          <m:t>ly</m:t>
        </m:r>
      </m:oMath>
      <w:r w:rsidRPr="0004765F">
        <w:rPr>
          <w:rFonts w:ascii="Times New Roman" w:eastAsia="Times New Roman" w:hAnsi="Times New Roman" w:cs="Times New Roman"/>
          <w:sz w:val="24"/>
          <w:szCs w:val="24"/>
          <w:lang w:val="en-GB" w:eastAsia="en-GB"/>
        </w:rPr>
        <w:t xml:space="preserve"> and </w:t>
      </w:r>
      <m:oMath>
        <m:r>
          <w:rPr>
            <w:rFonts w:ascii="Cambria Math" w:eastAsia="Times New Roman" w:hAnsi="Cambria Math" w:cs="Times New Roman"/>
            <w:sz w:val="24"/>
            <w:szCs w:val="24"/>
            <w:lang w:val="en-GB" w:eastAsia="en-GB"/>
          </w:rPr>
          <m:t>lx</m:t>
        </m:r>
      </m:oMath>
      <w:r w:rsidRPr="0004765F">
        <w:rPr>
          <w:rFonts w:ascii="Times New Roman" w:eastAsia="Times New Roman" w:hAnsi="Times New Roman" w:cs="Times New Roman"/>
          <w:sz w:val="24"/>
          <w:szCs w:val="24"/>
          <w:lang w:val="en-GB" w:eastAsia="en-GB"/>
        </w:rPr>
        <w:t xml:space="preserve">. Then, the combination that minimizes the Akaike </w:t>
      </w:r>
      <w:r w:rsidRPr="0004765F">
        <w:rPr>
          <w:rFonts w:ascii="Times New Roman" w:eastAsia="Times New Roman" w:hAnsi="Times New Roman" w:cs="Times New Roman"/>
          <w:kern w:val="2"/>
          <w:sz w:val="24"/>
          <w:szCs w:val="24"/>
          <w:lang w:val="en-GB" w:eastAsia="ja-JP"/>
        </w:rPr>
        <w:t>information</w:t>
      </w:r>
      <w:r w:rsidRPr="0004765F">
        <w:rPr>
          <w:rFonts w:ascii="Times New Roman" w:eastAsia="Times New Roman" w:hAnsi="Times New Roman" w:cs="Times New Roman"/>
          <w:sz w:val="24"/>
          <w:szCs w:val="24"/>
          <w:lang w:val="en-GB" w:eastAsia="en-GB"/>
        </w:rPr>
        <w:t xml:space="preserve"> criterion (AIC) or Schwarz-Bayesian criterion (SBC) is selected as the optimal lags. The procedure proposed by Kónya (</w:t>
      </w:r>
      <w:r w:rsidRPr="0004765F">
        <w:rPr>
          <w:rFonts w:ascii="Times New Roman" w:eastAsia="Times New Roman" w:hAnsi="Times New Roman" w:cs="Times New Roman"/>
          <w:kern w:val="2"/>
          <w:sz w:val="24"/>
          <w:szCs w:val="24"/>
          <w:lang w:val="en-GB" w:eastAsia="en-GB"/>
        </w:rPr>
        <w:t>2006</w:t>
      </w:r>
      <w:r w:rsidRPr="0004765F">
        <w:rPr>
          <w:rFonts w:ascii="Times New Roman" w:eastAsia="Times New Roman" w:hAnsi="Times New Roman" w:cs="Times New Roman"/>
          <w:sz w:val="24"/>
          <w:szCs w:val="24"/>
          <w:lang w:val="en-GB" w:eastAsia="en-GB"/>
        </w:rPr>
        <w:t xml:space="preserve">) for testing Granger causality from </w:t>
      </w:r>
      <m:oMath>
        <m:r>
          <w:rPr>
            <w:rFonts w:ascii="Cambria Math" w:eastAsia="Times New Roman" w:hAnsi="Cambria Math" w:cs="Times New Roman"/>
            <w:sz w:val="24"/>
            <w:szCs w:val="24"/>
            <w:lang w:val="en-GB" w:eastAsia="en-GB"/>
          </w:rPr>
          <m:t>x</m:t>
        </m:r>
      </m:oMath>
      <w:r w:rsidRPr="0004765F">
        <w:rPr>
          <w:rFonts w:ascii="Times New Roman" w:eastAsia="Times New Roman" w:hAnsi="Times New Roman" w:cs="Times New Roman"/>
          <w:sz w:val="24"/>
          <w:szCs w:val="24"/>
          <w:lang w:val="en-GB" w:eastAsia="en-GB"/>
        </w:rPr>
        <w:t xml:space="preserve"> to </w:t>
      </w:r>
      <m:oMath>
        <m:r>
          <w:rPr>
            <w:rFonts w:ascii="Cambria Math" w:eastAsia="Times New Roman" w:hAnsi="Cambria Math" w:cs="Times New Roman"/>
            <w:sz w:val="24"/>
            <w:szCs w:val="24"/>
            <w:lang w:val="en-GB" w:eastAsia="en-GB"/>
          </w:rPr>
          <m:t>y</m:t>
        </m:r>
      </m:oMath>
      <w:r w:rsidRPr="0004765F">
        <w:rPr>
          <w:rFonts w:ascii="Times New Roman" w:eastAsia="Times New Roman" w:hAnsi="Times New Roman" w:cs="Times New Roman"/>
          <w:sz w:val="24"/>
          <w:szCs w:val="24"/>
          <w:lang w:val="en-GB" w:eastAsia="en-GB"/>
        </w:rPr>
        <w:t xml:space="preserve"> in a </w:t>
      </w:r>
      <w:r w:rsidRPr="0004765F">
        <w:rPr>
          <w:rFonts w:ascii="Times New Roman" w:eastAsia="Times New Roman" w:hAnsi="Times New Roman" w:cs="Times New Roman"/>
          <w:kern w:val="2"/>
          <w:sz w:val="24"/>
          <w:szCs w:val="24"/>
          <w:lang w:val="en-GB" w:eastAsia="ja-JP"/>
        </w:rPr>
        <w:t>bivariate</w:t>
      </w:r>
      <w:r w:rsidRPr="0004765F">
        <w:rPr>
          <w:rFonts w:ascii="Times New Roman" w:eastAsia="Times New Roman" w:hAnsi="Times New Roman" w:cs="Times New Roman"/>
          <w:sz w:val="24"/>
          <w:szCs w:val="24"/>
          <w:lang w:val="en-GB" w:eastAsia="en-GB"/>
        </w:rPr>
        <w:t xml:space="preserve"> framework may proceed in several steps, as follows: </w:t>
      </w:r>
    </w:p>
    <w:p w:rsidR="0004765F" w:rsidRPr="0004765F" w:rsidRDefault="0004765F" w:rsidP="007D33E5">
      <w:pPr>
        <w:widowControl w:val="0"/>
        <w:spacing w:before="240" w:after="0" w:line="480" w:lineRule="auto"/>
        <w:ind w:left="720" w:hanging="720"/>
        <w:jc w:val="both"/>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b/>
          <w:bCs/>
          <w:sz w:val="24"/>
          <w:szCs w:val="24"/>
          <w:lang w:val="en-GB" w:eastAsia="en-GB"/>
        </w:rPr>
        <w:t>Step 1</w:t>
      </w:r>
      <w:r w:rsidRPr="0004765F">
        <w:rPr>
          <w:rFonts w:ascii="Times New Roman" w:eastAsia="Times New Roman" w:hAnsi="Times New Roman" w:cs="Times New Roman"/>
          <w:sz w:val="24"/>
          <w:szCs w:val="24"/>
          <w:lang w:val="en-GB" w:eastAsia="en-GB"/>
        </w:rPr>
        <w:t>: Estimate the set of equations (</w:t>
      </w:r>
      <w:r w:rsidRPr="0004765F">
        <w:rPr>
          <w:rFonts w:ascii="Times New Roman" w:eastAsia="Times New Roman" w:hAnsi="Times New Roman" w:cs="Times New Roman"/>
          <w:kern w:val="2"/>
          <w:sz w:val="24"/>
          <w:szCs w:val="24"/>
          <w:lang w:val="en-GB" w:eastAsia="en-GB"/>
        </w:rPr>
        <w:t>1)</w:t>
      </w:r>
      <w:r w:rsidRPr="0004765F">
        <w:rPr>
          <w:rFonts w:ascii="Times New Roman" w:eastAsia="Times New Roman" w:hAnsi="Times New Roman" w:cs="Times New Roman"/>
          <w:sz w:val="24"/>
          <w:szCs w:val="24"/>
          <w:lang w:val="en-GB" w:eastAsia="en-GB"/>
        </w:rPr>
        <w:t xml:space="preserve"> in a SUR framework, implement the Wald procedure for testing the null hypothesis of no Granger causality from </w:t>
      </w:r>
      <m:oMath>
        <m:r>
          <w:rPr>
            <w:rFonts w:ascii="Cambria Math" w:eastAsia="Times New Roman" w:hAnsi="Cambria Math" w:cs="Times New Roman"/>
            <w:sz w:val="24"/>
            <w:szCs w:val="24"/>
            <w:lang w:val="en-GB" w:eastAsia="en-GB"/>
          </w:rPr>
          <m:t>x</m:t>
        </m:r>
      </m:oMath>
      <w:r w:rsidRPr="0004765F">
        <w:rPr>
          <w:rFonts w:ascii="Times New Roman" w:eastAsia="Times New Roman" w:hAnsi="Times New Roman" w:cs="Times New Roman"/>
          <w:sz w:val="24"/>
          <w:szCs w:val="24"/>
          <w:lang w:val="en-GB" w:eastAsia="en-GB"/>
        </w:rPr>
        <w:t xml:space="preserve"> to </w:t>
      </w:r>
      <m:oMath>
        <m:r>
          <w:rPr>
            <w:rFonts w:ascii="Cambria Math" w:eastAsia="Times New Roman" w:hAnsi="Cambria Math" w:cs="Times New Roman"/>
            <w:sz w:val="24"/>
            <w:szCs w:val="24"/>
            <w:lang w:val="en-GB" w:eastAsia="en-GB"/>
          </w:rPr>
          <m:t>y</m:t>
        </m:r>
      </m:oMath>
      <w:r w:rsidRPr="0004765F">
        <w:rPr>
          <w:rFonts w:ascii="Times New Roman" w:eastAsia="Times New Roman" w:hAnsi="Times New Roman" w:cs="Times New Roman"/>
          <w:sz w:val="24"/>
          <w:szCs w:val="24"/>
          <w:lang w:val="en-GB" w:eastAsia="en-GB"/>
        </w:rPr>
        <w:t xml:space="preserve"> for each cross</w:t>
      </w:r>
      <w:r w:rsidRPr="0004765F">
        <w:rPr>
          <w:rFonts w:ascii="Cambria Math" w:eastAsia="Times New Roman" w:hAnsi="Cambria Math" w:cs="Cambria Math"/>
          <w:sz w:val="24"/>
          <w:szCs w:val="24"/>
          <w:lang w:val="en-GB" w:eastAsia="en-GB"/>
        </w:rPr>
        <w:t>‐</w:t>
      </w:r>
      <w:r w:rsidRPr="0004765F">
        <w:rPr>
          <w:rFonts w:ascii="Times New Roman" w:eastAsia="Times New Roman" w:hAnsi="Times New Roman" w:cs="Times New Roman"/>
          <w:sz w:val="24"/>
          <w:szCs w:val="24"/>
          <w:lang w:val="en-GB" w:eastAsia="en-GB"/>
        </w:rPr>
        <w:t>section (</w:t>
      </w:r>
      <m:oMath>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γ</m:t>
            </m:r>
          </m:e>
          <m:sub>
            <m:r>
              <w:rPr>
                <w:rFonts w:ascii="Cambria Math" w:eastAsia="Times New Roman" w:hAnsi="Cambria Math" w:cs="Times New Roman"/>
                <w:sz w:val="24"/>
                <w:szCs w:val="24"/>
                <w:lang w:val="en-GB" w:eastAsia="en-GB"/>
              </w:rPr>
              <m:t>i,j</m:t>
            </m:r>
          </m:sub>
        </m:sSub>
        <m:r>
          <w:rPr>
            <w:rFonts w:ascii="Cambria Math" w:eastAsia="Times New Roman" w:hAnsi="Cambria Math" w:cs="Times New Roman"/>
            <w:sz w:val="24"/>
            <w:szCs w:val="24"/>
            <w:lang w:val="en-GB" w:eastAsia="en-GB"/>
          </w:rPr>
          <m:t>=0</m:t>
        </m:r>
      </m:oMath>
      <w:r w:rsidRPr="0004765F">
        <w:rPr>
          <w:rFonts w:ascii="Times New Roman" w:eastAsia="Times New Roman" w:hAnsi="Times New Roman" w:cs="Times New Roman"/>
          <w:sz w:val="24"/>
          <w:szCs w:val="24"/>
          <w:lang w:val="en-GB" w:eastAsia="en-GB"/>
        </w:rPr>
        <w:t xml:space="preserve"> for all </w:t>
      </w:r>
      <m:oMath>
        <m:r>
          <w:rPr>
            <w:rFonts w:ascii="Cambria Math" w:eastAsia="Times New Roman" w:hAnsi="Cambria Math" w:cs="Times New Roman"/>
            <w:sz w:val="24"/>
            <w:szCs w:val="24"/>
            <w:lang w:val="en-GB" w:eastAsia="en-GB"/>
          </w:rPr>
          <m:t>i</m:t>
        </m:r>
      </m:oMath>
      <w:r w:rsidRPr="0004765F">
        <w:rPr>
          <w:rFonts w:ascii="Times New Roman" w:eastAsia="Times New Roman" w:hAnsi="Times New Roman" w:cs="Times New Roman"/>
          <w:sz w:val="24"/>
          <w:szCs w:val="24"/>
          <w:lang w:val="en-GB" w:eastAsia="en-GB"/>
        </w:rPr>
        <w:t xml:space="preserve"> and </w:t>
      </w:r>
      <m:oMath>
        <m:r>
          <w:rPr>
            <w:rFonts w:ascii="Cambria Math" w:eastAsia="Times New Roman" w:hAnsi="Cambria Math" w:cs="Times New Roman"/>
            <w:sz w:val="24"/>
            <w:szCs w:val="24"/>
            <w:lang w:val="en-GB" w:eastAsia="en-GB"/>
          </w:rPr>
          <m:t>j</m:t>
        </m:r>
      </m:oMath>
      <w:r w:rsidRPr="0004765F">
        <w:rPr>
          <w:rFonts w:ascii="Times New Roman" w:eastAsia="Times New Roman" w:hAnsi="Times New Roman" w:cs="Times New Roman"/>
          <w:sz w:val="24"/>
          <w:szCs w:val="24"/>
          <w:lang w:val="en-GB" w:eastAsia="en-GB"/>
        </w:rPr>
        <w:t xml:space="preserve">), and then calculate the </w:t>
      </w:r>
      <w:r w:rsidRPr="0004765F">
        <w:rPr>
          <w:rFonts w:ascii="Times New Roman" w:eastAsia="Times New Roman" w:hAnsi="Times New Roman" w:cs="Times New Roman"/>
          <w:kern w:val="2"/>
          <w:sz w:val="24"/>
          <w:szCs w:val="24"/>
          <w:lang w:val="en-GB" w:eastAsia="ja-JP"/>
        </w:rPr>
        <w:t>individual</w:t>
      </w:r>
      <w:r w:rsidRPr="0004765F">
        <w:rPr>
          <w:rFonts w:ascii="Times New Roman" w:eastAsia="Times New Roman" w:hAnsi="Times New Roman" w:cs="Times New Roman"/>
          <w:sz w:val="24"/>
          <w:szCs w:val="24"/>
          <w:lang w:val="en-GB" w:eastAsia="en-GB"/>
        </w:rPr>
        <w:t xml:space="preserve"> Wald statistics.</w:t>
      </w:r>
    </w:p>
    <w:p w:rsidR="0004765F" w:rsidRPr="0004765F" w:rsidRDefault="0004765F" w:rsidP="007D33E5">
      <w:pPr>
        <w:widowControl w:val="0"/>
        <w:spacing w:before="240" w:after="0" w:line="480" w:lineRule="auto"/>
        <w:ind w:left="720" w:hanging="720"/>
        <w:jc w:val="both"/>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b/>
          <w:bCs/>
          <w:sz w:val="24"/>
          <w:szCs w:val="24"/>
          <w:lang w:val="en-GB" w:eastAsia="en-GB"/>
        </w:rPr>
        <w:t>Step 2</w:t>
      </w:r>
      <w:r w:rsidRPr="0004765F">
        <w:rPr>
          <w:rFonts w:ascii="Times New Roman" w:eastAsia="Times New Roman" w:hAnsi="Times New Roman" w:cs="Times New Roman"/>
          <w:sz w:val="24"/>
          <w:szCs w:val="24"/>
          <w:lang w:val="en-GB" w:eastAsia="en-GB"/>
        </w:rPr>
        <w:t>: Re-estimate the set of equations</w:t>
      </w:r>
      <w:r w:rsidRPr="0004765F">
        <w:rPr>
          <w:rFonts w:ascii="Times New Roman" w:eastAsia="Times New Roman" w:hAnsi="Times New Roman" w:cs="Times New Roman"/>
          <w:kern w:val="2"/>
          <w:sz w:val="24"/>
          <w:szCs w:val="24"/>
          <w:lang w:val="en-GB" w:eastAsia="en-GB"/>
        </w:rPr>
        <w:t xml:space="preserve"> (1)</w:t>
      </w:r>
      <w:r w:rsidRPr="0004765F">
        <w:rPr>
          <w:rFonts w:ascii="Times New Roman" w:eastAsia="Times New Roman" w:hAnsi="Times New Roman" w:cs="Times New Roman"/>
          <w:sz w:val="24"/>
          <w:szCs w:val="24"/>
          <w:lang w:val="en-GB" w:eastAsia="en-GB"/>
        </w:rPr>
        <w:t xml:space="preserve"> under the null hypothesis of no Granger causality from </w:t>
      </w:r>
      <m:oMath>
        <m:r>
          <w:rPr>
            <w:rFonts w:ascii="Cambria Math" w:eastAsia="Times New Roman" w:hAnsi="Cambria Math" w:cs="Times New Roman"/>
            <w:sz w:val="24"/>
            <w:szCs w:val="24"/>
            <w:lang w:val="en-GB" w:eastAsia="en-GB"/>
          </w:rPr>
          <m:t>x</m:t>
        </m:r>
      </m:oMath>
      <w:r w:rsidRPr="0004765F">
        <w:rPr>
          <w:rFonts w:ascii="Times New Roman" w:eastAsia="Times New Roman" w:hAnsi="Times New Roman" w:cs="Times New Roman"/>
          <w:sz w:val="24"/>
          <w:szCs w:val="24"/>
          <w:lang w:val="en-GB" w:eastAsia="en-GB"/>
        </w:rPr>
        <w:t xml:space="preserve"> to </w:t>
      </w:r>
      <m:oMath>
        <m:r>
          <w:rPr>
            <w:rFonts w:ascii="Cambria Math" w:eastAsia="Times New Roman" w:hAnsi="Cambria Math" w:cs="Times New Roman"/>
            <w:sz w:val="24"/>
            <w:szCs w:val="24"/>
            <w:lang w:val="en-GB" w:eastAsia="en-GB"/>
          </w:rPr>
          <m:t>y</m:t>
        </m:r>
      </m:oMath>
      <w:r w:rsidRPr="0004765F">
        <w:rPr>
          <w:rFonts w:ascii="Times New Roman" w:eastAsia="Times New Roman" w:hAnsi="Times New Roman" w:cs="Times New Roman"/>
          <w:sz w:val="24"/>
          <w:szCs w:val="24"/>
          <w:lang w:val="en-GB" w:eastAsia="en-GB"/>
        </w:rPr>
        <w:t xml:space="preserve"> (i.e., imposing the </w:t>
      </w:r>
      <m:oMath>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γ</m:t>
            </m:r>
          </m:e>
          <m:sub>
            <m:r>
              <w:rPr>
                <w:rFonts w:ascii="Cambria Math" w:eastAsia="Times New Roman" w:hAnsi="Cambria Math" w:cs="Times New Roman"/>
                <w:sz w:val="24"/>
                <w:szCs w:val="24"/>
                <w:lang w:val="en-GB" w:eastAsia="en-GB"/>
              </w:rPr>
              <m:t>i,j</m:t>
            </m:r>
          </m:sub>
        </m:sSub>
      </m:oMath>
      <w:r w:rsidRPr="0004765F">
        <w:rPr>
          <w:rFonts w:ascii="Times New Roman" w:eastAsia="Times New Roman" w:hAnsi="Times New Roman" w:cs="Times New Roman"/>
          <w:sz w:val="24"/>
          <w:szCs w:val="24"/>
          <w:lang w:val="en-GB" w:eastAsia="en-GB"/>
        </w:rPr>
        <w:t xml:space="preserve"> </w:t>
      </w:r>
      <m:oMath>
        <m:r>
          <w:rPr>
            <w:rFonts w:ascii="Cambria Math" w:eastAsia="Times New Roman" w:hAnsi="Cambria Math" w:cs="Times New Roman"/>
            <w:sz w:val="24"/>
            <w:szCs w:val="24"/>
            <w:lang w:val="en-GB" w:eastAsia="en-GB"/>
          </w:rPr>
          <m:t>=0</m:t>
        </m:r>
      </m:oMath>
      <w:r w:rsidRPr="0004765F">
        <w:rPr>
          <w:rFonts w:ascii="Times New Roman" w:eastAsia="Times New Roman" w:hAnsi="Times New Roman" w:cs="Times New Roman"/>
          <w:sz w:val="24"/>
          <w:szCs w:val="24"/>
          <w:lang w:val="en-GB" w:eastAsia="en-GB"/>
        </w:rPr>
        <w:t xml:space="preserve"> for all </w:t>
      </w:r>
      <m:oMath>
        <m:r>
          <w:rPr>
            <w:rFonts w:ascii="Cambria Math" w:eastAsia="Times New Roman" w:hAnsi="Cambria Math" w:cs="Times New Roman"/>
            <w:sz w:val="24"/>
            <w:szCs w:val="24"/>
            <w:lang w:val="en-GB" w:eastAsia="en-GB"/>
          </w:rPr>
          <m:t>i</m:t>
        </m:r>
      </m:oMath>
      <w:r w:rsidRPr="0004765F">
        <w:rPr>
          <w:rFonts w:ascii="Times New Roman" w:eastAsia="Times New Roman" w:hAnsi="Times New Roman" w:cs="Times New Roman"/>
          <w:sz w:val="24"/>
          <w:szCs w:val="24"/>
          <w:lang w:val="en-GB" w:eastAsia="en-GB"/>
        </w:rPr>
        <w:t xml:space="preserve"> and </w:t>
      </w:r>
      <m:oMath>
        <m:r>
          <w:rPr>
            <w:rFonts w:ascii="Cambria Math" w:eastAsia="Times New Roman" w:hAnsi="Cambria Math" w:cs="Times New Roman"/>
            <w:sz w:val="24"/>
            <w:szCs w:val="24"/>
            <w:lang w:val="en-GB" w:eastAsia="en-GB"/>
          </w:rPr>
          <m:t>j</m:t>
        </m:r>
      </m:oMath>
      <w:r w:rsidRPr="0004765F">
        <w:rPr>
          <w:rFonts w:ascii="Times New Roman" w:eastAsia="Times New Roman" w:hAnsi="Times New Roman" w:cs="Times New Roman"/>
          <w:sz w:val="24"/>
          <w:szCs w:val="24"/>
          <w:lang w:val="en-GB" w:eastAsia="en-GB"/>
        </w:rPr>
        <w:t xml:space="preserve">), obtain the corresponding </w:t>
      </w:r>
      <w:r w:rsidRPr="0004765F">
        <w:rPr>
          <w:rFonts w:ascii="Times New Roman" w:eastAsia="Times New Roman" w:hAnsi="Times New Roman" w:cs="Times New Roman"/>
          <w:kern w:val="2"/>
          <w:sz w:val="24"/>
          <w:szCs w:val="24"/>
          <w:lang w:val="en-GB" w:eastAsia="ja-JP"/>
        </w:rPr>
        <w:t>residuals</w:t>
      </w:r>
      <w:r w:rsidRPr="0004765F">
        <w:rPr>
          <w:rFonts w:ascii="Times New Roman" w:eastAsia="Times New Roman" w:hAnsi="Times New Roman" w:cs="Times New Roman"/>
          <w:sz w:val="24"/>
          <w:szCs w:val="24"/>
          <w:lang w:val="en-GB" w:eastAsia="en-GB"/>
        </w:rPr>
        <w:t xml:space="preserve"> as</w:t>
      </w:r>
    </w:p>
    <w:p w:rsidR="0004765F" w:rsidRPr="0004765F" w:rsidRDefault="0004765F" w:rsidP="007D33E5">
      <w:pPr>
        <w:tabs>
          <w:tab w:val="center" w:pos="4253"/>
          <w:tab w:val="right" w:pos="8222"/>
        </w:tabs>
        <w:spacing w:before="240" w:after="240" w:line="480" w:lineRule="auto"/>
        <w:jc w:val="right"/>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ab/>
      </w:r>
      <m:oMath>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e</m:t>
            </m:r>
          </m:e>
          <m:sub>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H</m:t>
                </m:r>
              </m:e>
              <m:sub>
                <m:r>
                  <w:rPr>
                    <w:rFonts w:ascii="Cambria Math" w:eastAsia="Times New Roman" w:hAnsi="Cambria Math" w:cs="Times New Roman"/>
                    <w:sz w:val="24"/>
                    <w:szCs w:val="24"/>
                    <w:lang w:val="en-GB" w:eastAsia="en-GB"/>
                  </w:rPr>
                  <m:t>0</m:t>
                </m:r>
              </m:sub>
            </m:sSub>
            <m:r>
              <w:rPr>
                <w:rFonts w:ascii="Cambria Math" w:eastAsia="Times New Roman" w:hAnsi="Cambria Math" w:cs="Times New Roman"/>
                <w:sz w:val="24"/>
                <w:szCs w:val="24"/>
                <w:lang w:val="en-GB" w:eastAsia="en-GB"/>
              </w:rPr>
              <m:t>,i,t</m:t>
            </m:r>
          </m:sub>
        </m:sSub>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i,t</m:t>
            </m:r>
          </m:sub>
        </m:sSub>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i/>
                <w:sz w:val="24"/>
                <w:szCs w:val="24"/>
                <w:lang w:val="en-GB" w:eastAsia="en-GB"/>
              </w:rPr>
            </m:ctrlPr>
          </m:sSubPr>
          <m:e>
            <m:acc>
              <m:accPr>
                <m:ctrlPr>
                  <w:rPr>
                    <w:rFonts w:ascii="Cambria Math" w:eastAsia="Times New Roman" w:hAnsi="Cambria Math" w:cs="Times New Roman"/>
                    <w:i/>
                    <w:sz w:val="24"/>
                    <w:szCs w:val="24"/>
                    <w:lang w:val="en-GB" w:eastAsia="en-GB"/>
                  </w:rPr>
                </m:ctrlPr>
              </m:accPr>
              <m:e>
                <m:r>
                  <w:rPr>
                    <w:rFonts w:ascii="Cambria Math" w:eastAsia="Times New Roman" w:hAnsi="Cambria Math" w:cs="Times New Roman"/>
                    <w:sz w:val="24"/>
                    <w:szCs w:val="24"/>
                    <w:lang w:val="en-GB" w:eastAsia="en-GB"/>
                  </w:rPr>
                  <m:t>α</m:t>
                </m:r>
              </m:e>
            </m:acc>
          </m:e>
          <m:sub>
            <m:r>
              <w:rPr>
                <w:rFonts w:ascii="Cambria Math" w:eastAsia="Times New Roman" w:hAnsi="Cambria Math" w:cs="Times New Roman"/>
                <w:sz w:val="24"/>
                <w:szCs w:val="24"/>
                <w:lang w:val="en-GB" w:eastAsia="en-GB"/>
              </w:rPr>
              <m:t>i</m:t>
            </m:r>
          </m:sub>
        </m:sSub>
        <m:r>
          <w:rPr>
            <w:rFonts w:ascii="Cambria Math" w:eastAsia="Times New Roman" w:hAnsi="Cambria Math" w:cs="Times New Roman"/>
            <w:sz w:val="24"/>
            <w:szCs w:val="24"/>
            <w:lang w:val="en-GB" w:eastAsia="en-GB"/>
          </w:rPr>
          <m:t>-</m:t>
        </m:r>
        <m:nary>
          <m:naryPr>
            <m:chr m:val="∑"/>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j=1</m:t>
            </m:r>
          </m:sub>
          <m:sup>
            <m:r>
              <w:rPr>
                <w:rFonts w:ascii="Cambria Math" w:eastAsia="Times New Roman" w:hAnsi="Cambria Math" w:cs="Times New Roman"/>
                <w:sz w:val="24"/>
                <w:szCs w:val="24"/>
                <w:lang w:val="en-GB" w:eastAsia="en-GB"/>
              </w:rPr>
              <m:t>ly</m:t>
            </m:r>
          </m:sup>
          <m:e>
            <m:sSub>
              <m:sSubPr>
                <m:ctrlPr>
                  <w:rPr>
                    <w:rFonts w:ascii="Cambria Math" w:eastAsia="Times New Roman" w:hAnsi="Cambria Math" w:cs="Times New Roman"/>
                    <w:i/>
                    <w:kern w:val="2"/>
                    <w:sz w:val="24"/>
                    <w:szCs w:val="24"/>
                    <w:lang w:val="en-GB" w:eastAsia="ja-JP"/>
                  </w:rPr>
                </m:ctrlPr>
              </m:sSubPr>
              <m:e>
                <m:acc>
                  <m:accPr>
                    <m:ctrlPr>
                      <w:rPr>
                        <w:rFonts w:ascii="Cambria Math" w:eastAsia="Times New Roman" w:hAnsi="Cambria Math" w:cs="Times New Roman"/>
                        <w:i/>
                        <w:kern w:val="2"/>
                        <w:sz w:val="24"/>
                        <w:szCs w:val="24"/>
                        <w:lang w:val="en-GB" w:eastAsia="ja-JP"/>
                      </w:rPr>
                    </m:ctrlPr>
                  </m:accPr>
                  <m:e>
                    <m:r>
                      <w:rPr>
                        <w:rFonts w:ascii="Cambria Math" w:eastAsia="Times New Roman" w:hAnsi="Cambria Math" w:cs="Times New Roman"/>
                        <w:sz w:val="24"/>
                        <w:szCs w:val="24"/>
                        <w:lang w:val="en-GB" w:eastAsia="en-GB"/>
                      </w:rPr>
                      <m:t>β</m:t>
                    </m:r>
                  </m:e>
                </m:acc>
              </m:e>
              <m:sub>
                <m:r>
                  <w:rPr>
                    <w:rFonts w:ascii="Cambria Math" w:eastAsia="Times New Roman" w:hAnsi="Cambria Math" w:cs="Times New Roman"/>
                    <w:sz w:val="24"/>
                    <w:szCs w:val="24"/>
                    <w:lang w:val="en-GB" w:eastAsia="en-GB"/>
                  </w:rPr>
                  <m:t>i,j</m:t>
                </m:r>
              </m:sub>
            </m:sSub>
            <m:sSub>
              <m:sSubPr>
                <m:ctrlPr>
                  <w:rPr>
                    <w:rFonts w:ascii="Cambria Math" w:eastAsia="Times New Roman" w:hAnsi="Cambria Math" w:cs="Times New Roman"/>
                    <w:i/>
                    <w:kern w:val="2"/>
                    <w:sz w:val="24"/>
                    <w:szCs w:val="24"/>
                    <w:lang w:val="en-GB" w:eastAsia="ja-JP"/>
                  </w:rPr>
                </m:ctrlPr>
              </m:sSub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i,t-j</m:t>
                </m:r>
              </m:sub>
            </m:sSub>
          </m:e>
        </m:nary>
        <m:r>
          <w:rPr>
            <w:rFonts w:ascii="Cambria Math" w:eastAsia="Times New Roman" w:hAnsi="Cambria Math" w:cs="Times New Roman"/>
            <w:sz w:val="24"/>
            <w:szCs w:val="24"/>
            <w:lang w:val="en-GB" w:eastAsia="en-GB"/>
          </w:rPr>
          <m:t xml:space="preserve">,                  </m:t>
        </m:r>
        <m:r>
          <w:rPr>
            <w:rFonts w:ascii="Cambria Math" w:eastAsia="Times New Roman" w:hAnsi="Cambria Math" w:cs="Times New Roman"/>
            <w:sz w:val="24"/>
            <w:szCs w:val="24"/>
            <w:lang w:val="en-GB" w:eastAsia="en-GB"/>
          </w:rPr>
          <m:t xml:space="preserve">  </m:t>
        </m:r>
        <m:r>
          <w:rPr>
            <w:rFonts w:ascii="Cambria Math" w:eastAsia="Times New Roman" w:hAnsi="Cambria Math" w:cs="Times New Roman"/>
            <w:sz w:val="24"/>
            <w:szCs w:val="24"/>
            <w:lang w:val="en-GB" w:eastAsia="en-GB"/>
          </w:rPr>
          <m:t xml:space="preserve">                    </m:t>
        </m:r>
        <m:r>
          <m:rPr>
            <m:sty m:val="p"/>
          </m:rPr>
          <w:rPr>
            <w:rFonts w:ascii="Cambria Math" w:eastAsia="Times New Roman" w:hAnsi="Cambria Math" w:cs="Times New Roman"/>
            <w:sz w:val="24"/>
            <w:szCs w:val="24"/>
            <w:lang w:val="en-GB" w:eastAsia="en-GB"/>
          </w:rPr>
          <m:t>(2)</m:t>
        </m:r>
      </m:oMath>
      <w:r w:rsidRPr="0004765F">
        <w:rPr>
          <w:rFonts w:ascii="Times New Roman" w:eastAsia="Times New Roman" w:hAnsi="Times New Roman" w:cs="Times New Roman"/>
          <w:sz w:val="24"/>
          <w:szCs w:val="24"/>
          <w:lang w:val="en-GB" w:eastAsia="en-GB"/>
        </w:rPr>
        <w:t xml:space="preserve">  </w:t>
      </w:r>
    </w:p>
    <w:p w:rsidR="0004765F" w:rsidRPr="0004765F" w:rsidRDefault="0004765F" w:rsidP="0004765F">
      <w:pPr>
        <w:tabs>
          <w:tab w:val="center" w:pos="4253"/>
          <w:tab w:val="right" w:pos="8222"/>
        </w:tabs>
        <w:spacing w:before="240" w:after="240" w:line="480" w:lineRule="auto"/>
        <w:jc w:val="center"/>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 xml:space="preserve">and, then construct the </w:t>
      </w:r>
      <m:oMath>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e</m:t>
            </m:r>
          </m:e>
          <m:sub>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H</m:t>
                </m:r>
              </m:e>
              <m:sub>
                <m:r>
                  <w:rPr>
                    <w:rFonts w:ascii="Cambria Math" w:eastAsia="Times New Roman" w:hAnsi="Cambria Math" w:cs="Times New Roman"/>
                    <w:sz w:val="24"/>
                    <w:szCs w:val="24"/>
                    <w:lang w:val="en-GB" w:eastAsia="en-GB"/>
                  </w:rPr>
                  <m:t>0</m:t>
                </m:r>
              </m:sub>
            </m:sSub>
            <m:r>
              <w:rPr>
                <w:rFonts w:ascii="Cambria Math" w:eastAsia="Times New Roman" w:hAnsi="Cambria Math" w:cs="Times New Roman"/>
                <w:sz w:val="24"/>
                <w:szCs w:val="24"/>
                <w:lang w:val="en-GB" w:eastAsia="en-GB"/>
              </w:rPr>
              <m:t>,i,t</m:t>
            </m:r>
          </m:sub>
        </m:sSub>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m:t>
            </m:r>
          </m:e>
          <m:sub>
            <m:r>
              <w:rPr>
                <w:rFonts w:ascii="Cambria Math" w:eastAsia="Times New Roman" w:hAnsi="Cambria Math" w:cs="Times New Roman"/>
                <w:sz w:val="24"/>
                <w:szCs w:val="24"/>
                <w:lang w:val="en-GB" w:eastAsia="en-GB"/>
              </w:rPr>
              <m:t>N×T</m:t>
            </m:r>
          </m:sub>
        </m:sSub>
      </m:oMath>
      <w:r w:rsidRPr="0004765F">
        <w:rPr>
          <w:rFonts w:ascii="Times New Roman" w:eastAsia="Times New Roman" w:hAnsi="Times New Roman" w:cs="Times New Roman"/>
          <w:sz w:val="24"/>
          <w:szCs w:val="24"/>
          <w:lang w:val="en-GB" w:eastAsia="en-GB"/>
        </w:rPr>
        <w:t xml:space="preserve"> matrix </w:t>
      </w:r>
      <w:r w:rsidRPr="0004765F">
        <w:rPr>
          <w:rFonts w:ascii="Times New Roman" w:eastAsia="Times New Roman" w:hAnsi="Times New Roman" w:cs="Times New Roman"/>
          <w:kern w:val="2"/>
          <w:sz w:val="24"/>
          <w:szCs w:val="24"/>
          <w:lang w:val="en-GB" w:eastAsia="ja-JP"/>
        </w:rPr>
        <w:t>from</w:t>
      </w:r>
      <w:r w:rsidRPr="0004765F">
        <w:rPr>
          <w:rFonts w:ascii="Times New Roman" w:eastAsia="Times New Roman" w:hAnsi="Times New Roman" w:cs="Times New Roman"/>
          <w:sz w:val="24"/>
          <w:szCs w:val="24"/>
          <w:lang w:val="en-GB" w:eastAsia="en-GB"/>
        </w:rPr>
        <w:t xml:space="preserve"> the residuals.</w:t>
      </w:r>
    </w:p>
    <w:p w:rsidR="0004765F" w:rsidRPr="0004765F" w:rsidRDefault="0004765F" w:rsidP="007D33E5">
      <w:pPr>
        <w:widowControl w:val="0"/>
        <w:spacing w:before="240" w:after="0" w:line="480" w:lineRule="auto"/>
        <w:ind w:left="720" w:hanging="720"/>
        <w:jc w:val="both"/>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b/>
          <w:bCs/>
          <w:sz w:val="24"/>
          <w:szCs w:val="24"/>
          <w:lang w:val="en-GB" w:eastAsia="en-GB"/>
        </w:rPr>
        <w:t>Step 3</w:t>
      </w:r>
      <w:r w:rsidRPr="0004765F">
        <w:rPr>
          <w:rFonts w:ascii="Times New Roman" w:eastAsia="Times New Roman" w:hAnsi="Times New Roman" w:cs="Times New Roman"/>
          <w:sz w:val="24"/>
          <w:szCs w:val="24"/>
          <w:lang w:val="en-GB" w:eastAsia="en-GB"/>
        </w:rPr>
        <w:t>: Re-sample the residuals. In order to preserve the contemporaneous correlation structure of the errors in the set of equations</w:t>
      </w:r>
      <w:r w:rsidRPr="0004765F">
        <w:rPr>
          <w:rFonts w:ascii="Times New Roman" w:eastAsia="Times New Roman" w:hAnsi="Times New Roman" w:cs="Times New Roman"/>
          <w:kern w:val="2"/>
          <w:sz w:val="24"/>
          <w:szCs w:val="24"/>
          <w:lang w:val="en-GB" w:eastAsia="en-GB"/>
        </w:rPr>
        <w:t xml:space="preserve"> (1)</w:t>
      </w:r>
      <w:r w:rsidRPr="0004765F">
        <w:rPr>
          <w:rFonts w:ascii="Times New Roman" w:eastAsia="Times New Roman" w:hAnsi="Times New Roman" w:cs="Times New Roman"/>
          <w:sz w:val="24"/>
          <w:szCs w:val="24"/>
          <w:lang w:val="en-GB" w:eastAsia="en-GB"/>
        </w:rPr>
        <w:t xml:space="preserve">, a full column from the </w:t>
      </w:r>
      <m:oMath>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e</m:t>
            </m:r>
          </m:e>
          <m:sub>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H</m:t>
                </m:r>
              </m:e>
              <m:sub>
                <m:r>
                  <w:rPr>
                    <w:rFonts w:ascii="Cambria Math" w:eastAsia="Times New Roman" w:hAnsi="Cambria Math" w:cs="Times New Roman"/>
                    <w:sz w:val="24"/>
                    <w:szCs w:val="24"/>
                    <w:lang w:val="en-GB" w:eastAsia="en-GB"/>
                  </w:rPr>
                  <m:t>0</m:t>
                </m:r>
              </m:sub>
            </m:sSub>
            <m:r>
              <w:rPr>
                <w:rFonts w:ascii="Cambria Math" w:eastAsia="Times New Roman" w:hAnsi="Cambria Math" w:cs="Times New Roman"/>
                <w:sz w:val="24"/>
                <w:szCs w:val="24"/>
                <w:lang w:val="en-GB" w:eastAsia="en-GB"/>
              </w:rPr>
              <m:t>,i,t</m:t>
            </m:r>
          </m:sub>
        </m:sSub>
        <m:r>
          <w:rPr>
            <w:rFonts w:ascii="Cambria Math" w:eastAsia="Times New Roman" w:hAnsi="Cambria Math" w:cs="Times New Roman"/>
            <w:sz w:val="24"/>
            <w:szCs w:val="24"/>
            <w:lang w:val="en-GB" w:eastAsia="en-GB"/>
          </w:rPr>
          <m:t>]</m:t>
        </m:r>
      </m:oMath>
      <w:r w:rsidRPr="0004765F">
        <w:rPr>
          <w:rFonts w:ascii="Times New Roman" w:eastAsia="Times New Roman" w:hAnsi="Times New Roman" w:cs="Times New Roman"/>
          <w:sz w:val="24"/>
          <w:szCs w:val="24"/>
          <w:lang w:val="en-GB" w:eastAsia="en-GB"/>
        </w:rPr>
        <w:t xml:space="preserve"> matrix at a time is randomly selected (i.e., the residuals for each individual unit should not be drawn one</w:t>
      </w:r>
      <w:r w:rsidRPr="0004765F">
        <w:rPr>
          <w:rFonts w:ascii="Cambria Math" w:eastAsia="Times New Roman" w:hAnsi="Cambria Math" w:cs="Cambria Math"/>
          <w:sz w:val="24"/>
          <w:szCs w:val="24"/>
          <w:lang w:val="en-GB" w:eastAsia="en-GB"/>
        </w:rPr>
        <w:t>‐</w:t>
      </w:r>
      <w:r w:rsidRPr="0004765F">
        <w:rPr>
          <w:rFonts w:ascii="Times New Roman" w:eastAsia="Times New Roman" w:hAnsi="Times New Roman" w:cs="Times New Roman"/>
          <w:sz w:val="24"/>
          <w:szCs w:val="24"/>
          <w:lang w:val="en-GB" w:eastAsia="en-GB"/>
        </w:rPr>
        <w:t>by</w:t>
      </w:r>
      <w:r w:rsidRPr="0004765F">
        <w:rPr>
          <w:rFonts w:ascii="Cambria Math" w:eastAsia="Times New Roman" w:hAnsi="Cambria Math" w:cs="Cambria Math"/>
          <w:sz w:val="24"/>
          <w:szCs w:val="24"/>
          <w:lang w:val="en-GB" w:eastAsia="en-GB"/>
        </w:rPr>
        <w:t>‐</w:t>
      </w:r>
      <w:r w:rsidRPr="0004765F">
        <w:rPr>
          <w:rFonts w:ascii="Times New Roman" w:eastAsia="Times New Roman" w:hAnsi="Times New Roman" w:cs="Times New Roman"/>
          <w:sz w:val="24"/>
          <w:szCs w:val="24"/>
          <w:lang w:val="en-GB" w:eastAsia="en-GB"/>
        </w:rPr>
        <w:t xml:space="preserve">one). The selected bootstrap residuals are denoted as </w:t>
      </w:r>
      <m:oMath>
        <m:sSubSup>
          <m:sSubSupPr>
            <m:ctrlPr>
              <w:rPr>
                <w:rFonts w:ascii="Cambria Math" w:eastAsia="Times New Roman" w:hAnsi="Cambria Math" w:cs="Times New Roman"/>
                <w:sz w:val="24"/>
                <w:szCs w:val="24"/>
                <w:lang w:val="en-GB" w:eastAsia="en-GB"/>
              </w:rPr>
            </m:ctrlPr>
          </m:sSubSupPr>
          <m:e>
            <m:r>
              <w:rPr>
                <w:rFonts w:ascii="Cambria Math" w:eastAsia="Times New Roman" w:hAnsi="Cambria Math" w:cs="Times New Roman"/>
                <w:sz w:val="24"/>
                <w:szCs w:val="24"/>
                <w:lang w:val="en-GB" w:eastAsia="en-GB"/>
              </w:rPr>
              <m:t>e</m:t>
            </m:r>
          </m:e>
          <m:sub>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H</m:t>
                </m:r>
              </m:e>
              <m:sub>
                <m:r>
                  <w:rPr>
                    <w:rFonts w:ascii="Cambria Math" w:eastAsia="Times New Roman" w:hAnsi="Cambria Math" w:cs="Times New Roman"/>
                    <w:sz w:val="24"/>
                    <w:szCs w:val="24"/>
                    <w:lang w:val="en-GB" w:eastAsia="en-GB"/>
                  </w:rPr>
                  <m:t>0</m:t>
                </m:r>
              </m:sub>
            </m:sSub>
            <m:r>
              <w:rPr>
                <w:rFonts w:ascii="Cambria Math" w:eastAsia="Times New Roman" w:hAnsi="Cambria Math" w:cs="Times New Roman"/>
                <w:sz w:val="24"/>
                <w:szCs w:val="24"/>
                <w:lang w:val="en-GB" w:eastAsia="en-GB"/>
              </w:rPr>
              <m:t>,i,t</m:t>
            </m:r>
          </m:sub>
          <m:sup>
            <m:r>
              <w:rPr>
                <w:rFonts w:ascii="Cambria Math" w:eastAsia="Times New Roman" w:hAnsi="Cambria Math" w:cs="Times New Roman"/>
                <w:sz w:val="24"/>
                <w:szCs w:val="24"/>
                <w:lang w:val="en-GB" w:eastAsia="en-GB"/>
              </w:rPr>
              <m:t>*</m:t>
            </m:r>
          </m:sup>
        </m:sSubSup>
      </m:oMath>
      <w:r w:rsidRPr="0004765F">
        <w:rPr>
          <w:rFonts w:ascii="Times New Roman" w:eastAsia="Times New Roman" w:hAnsi="Times New Roman" w:cs="Times New Roman"/>
          <w:sz w:val="24"/>
          <w:szCs w:val="24"/>
          <w:lang w:val="en-GB" w:eastAsia="en-GB"/>
        </w:rPr>
        <w:t xml:space="preserve">, where </w:t>
      </w:r>
      <m:oMath>
        <m:r>
          <w:rPr>
            <w:rFonts w:ascii="Cambria Math" w:eastAsia="Times New Roman" w:hAnsi="Cambria Math" w:cs="Times New Roman"/>
            <w:sz w:val="24"/>
            <w:szCs w:val="24"/>
            <w:lang w:val="en-GB" w:eastAsia="en-GB"/>
          </w:rPr>
          <m:t>i=1,…,N</m:t>
        </m:r>
      </m:oMath>
      <w:r w:rsidRPr="0004765F">
        <w:rPr>
          <w:rFonts w:ascii="Times New Roman" w:eastAsia="Times New Roman" w:hAnsi="Times New Roman" w:cs="Times New Roman"/>
          <w:sz w:val="24"/>
          <w:szCs w:val="24"/>
          <w:lang w:val="en-GB" w:eastAsia="en-GB"/>
        </w:rPr>
        <w:t xml:space="preserve"> and </w:t>
      </w:r>
      <m:oMath>
        <m:r>
          <w:rPr>
            <w:rFonts w:ascii="Cambria Math" w:eastAsia="Times New Roman" w:hAnsi="Cambria Math" w:cs="Times New Roman"/>
            <w:sz w:val="24"/>
            <w:szCs w:val="24"/>
            <w:lang w:val="en-GB" w:eastAsia="en-GB"/>
          </w:rPr>
          <m:t>t=1,…,</m:t>
        </m:r>
        <m:sSup>
          <m:sSupPr>
            <m:ctrlPr>
              <w:rPr>
                <w:rFonts w:ascii="Cambria Math" w:eastAsia="Times New Roman" w:hAnsi="Cambria Math" w:cs="Times New Roman"/>
                <w:sz w:val="24"/>
                <w:szCs w:val="24"/>
                <w:lang w:val="en-GB" w:eastAsia="en-GB"/>
              </w:rPr>
            </m:ctrlPr>
          </m:sSupPr>
          <m:e>
            <m:r>
              <w:rPr>
                <w:rFonts w:ascii="Cambria Math" w:eastAsia="Times New Roman" w:hAnsi="Cambria Math" w:cs="Times New Roman"/>
                <w:sz w:val="24"/>
                <w:szCs w:val="24"/>
                <w:lang w:val="en-GB" w:eastAsia="en-GB"/>
              </w:rPr>
              <m:t>T</m:t>
            </m:r>
          </m:e>
          <m:sup>
            <m:r>
              <w:rPr>
                <w:rFonts w:ascii="Cambria Math" w:eastAsia="Times New Roman" w:hAnsi="Cambria Math" w:cs="Times New Roman"/>
                <w:sz w:val="24"/>
                <w:szCs w:val="24"/>
                <w:lang w:val="en-GB" w:eastAsia="en-GB"/>
              </w:rPr>
              <m:t>*</m:t>
            </m:r>
          </m:sup>
        </m:sSup>
      </m:oMath>
      <w:r w:rsidRPr="0004765F">
        <w:rPr>
          <w:rFonts w:ascii="Times New Roman" w:eastAsia="Times New Roman" w:hAnsi="Times New Roman" w:cs="Times New Roman"/>
          <w:sz w:val="24"/>
          <w:szCs w:val="24"/>
          <w:lang w:val="en-GB" w:eastAsia="en-GB"/>
        </w:rPr>
        <w:t xml:space="preserve"> and </w:t>
      </w:r>
      <m:oMath>
        <m:sSup>
          <m:sSupPr>
            <m:ctrlPr>
              <w:rPr>
                <w:rFonts w:ascii="Cambria Math" w:eastAsia="Times New Roman" w:hAnsi="Cambria Math" w:cs="Times New Roman"/>
                <w:sz w:val="24"/>
                <w:szCs w:val="24"/>
                <w:lang w:val="en-GB" w:eastAsia="en-GB"/>
              </w:rPr>
            </m:ctrlPr>
          </m:sSupPr>
          <m:e>
            <m:r>
              <w:rPr>
                <w:rFonts w:ascii="Cambria Math" w:eastAsia="Times New Roman" w:hAnsi="Cambria Math" w:cs="Times New Roman"/>
                <w:sz w:val="24"/>
                <w:szCs w:val="24"/>
                <w:lang w:val="en-GB" w:eastAsia="en-GB"/>
              </w:rPr>
              <m:t>T</m:t>
            </m:r>
          </m:e>
          <m:sup>
            <m:r>
              <w:rPr>
                <w:rFonts w:ascii="Cambria Math" w:eastAsia="Times New Roman" w:hAnsi="Cambria Math" w:cs="Times New Roman"/>
                <w:sz w:val="24"/>
                <w:szCs w:val="24"/>
                <w:lang w:val="en-GB" w:eastAsia="en-GB"/>
              </w:rPr>
              <m:t>*</m:t>
            </m:r>
          </m:sup>
        </m:sSup>
      </m:oMath>
      <w:r w:rsidRPr="0004765F">
        <w:rPr>
          <w:rFonts w:ascii="Times New Roman" w:eastAsia="Times New Roman" w:hAnsi="Times New Roman" w:cs="Times New Roman"/>
          <w:sz w:val="24"/>
          <w:szCs w:val="24"/>
          <w:lang w:val="en-GB" w:eastAsia="en-GB"/>
        </w:rPr>
        <w:t xml:space="preserve"> can be </w:t>
      </w:r>
      <w:r w:rsidRPr="0004765F">
        <w:rPr>
          <w:rFonts w:ascii="Times New Roman" w:eastAsia="Times New Roman" w:hAnsi="Times New Roman" w:cs="Times New Roman"/>
          <w:kern w:val="2"/>
          <w:sz w:val="24"/>
          <w:szCs w:val="24"/>
          <w:lang w:val="en-GB" w:eastAsia="ja-JP"/>
        </w:rPr>
        <w:t>greater</w:t>
      </w:r>
      <w:r w:rsidRPr="0004765F">
        <w:rPr>
          <w:rFonts w:ascii="Times New Roman" w:eastAsia="Times New Roman" w:hAnsi="Times New Roman" w:cs="Times New Roman"/>
          <w:sz w:val="24"/>
          <w:szCs w:val="24"/>
          <w:lang w:val="en-GB" w:eastAsia="en-GB"/>
        </w:rPr>
        <w:t xml:space="preserve"> than </w:t>
      </w:r>
      <m:oMath>
        <m:r>
          <w:rPr>
            <w:rFonts w:ascii="Cambria Math" w:eastAsia="Times New Roman" w:hAnsi="Cambria Math" w:cs="Times New Roman"/>
            <w:sz w:val="24"/>
            <w:szCs w:val="24"/>
            <w:lang w:val="en-GB" w:eastAsia="en-GB"/>
          </w:rPr>
          <m:t>T.</m:t>
        </m:r>
      </m:oMath>
    </w:p>
    <w:p w:rsidR="0004765F" w:rsidRPr="0004765F" w:rsidRDefault="0004765F" w:rsidP="0004765F">
      <w:pPr>
        <w:widowControl w:val="0"/>
        <w:spacing w:before="240" w:after="0" w:line="480" w:lineRule="auto"/>
        <w:ind w:left="720" w:hanging="720"/>
        <w:jc w:val="both"/>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b/>
          <w:bCs/>
          <w:sz w:val="24"/>
          <w:szCs w:val="24"/>
          <w:lang w:val="en-GB" w:eastAsia="en-GB"/>
        </w:rPr>
        <w:t>Step 4</w:t>
      </w:r>
      <w:r w:rsidRPr="0004765F">
        <w:rPr>
          <w:rFonts w:ascii="Times New Roman" w:eastAsia="Times New Roman" w:hAnsi="Times New Roman" w:cs="Times New Roman"/>
          <w:sz w:val="24"/>
          <w:szCs w:val="24"/>
          <w:lang w:val="en-GB" w:eastAsia="en-GB"/>
        </w:rPr>
        <w:t xml:space="preserve">: Generate the bootstrap samples of </w:t>
      </w:r>
      <m:oMath>
        <m:r>
          <w:rPr>
            <w:rFonts w:ascii="Cambria Math" w:eastAsia="Times New Roman" w:hAnsi="Cambria Math" w:cs="Times New Roman"/>
            <w:sz w:val="24"/>
            <w:szCs w:val="24"/>
            <w:lang w:val="en-GB" w:eastAsia="en-GB"/>
          </w:rPr>
          <m:t>y</m:t>
        </m:r>
      </m:oMath>
      <w:r w:rsidRPr="0004765F">
        <w:rPr>
          <w:rFonts w:ascii="Times New Roman" w:eastAsia="Times New Roman" w:hAnsi="Times New Roman" w:cs="Times New Roman"/>
          <w:sz w:val="24"/>
          <w:szCs w:val="24"/>
          <w:lang w:val="en-GB" w:eastAsia="en-GB"/>
        </w:rPr>
        <w:t xml:space="preserve"> under the null hypothesis of no Granger causality from </w:t>
      </w:r>
      <m:oMath>
        <m:r>
          <w:rPr>
            <w:rFonts w:ascii="Cambria Math" w:eastAsia="Times New Roman" w:hAnsi="Cambria Math" w:cs="Times New Roman"/>
            <w:sz w:val="24"/>
            <w:szCs w:val="24"/>
            <w:lang w:val="en-GB" w:eastAsia="en-GB"/>
          </w:rPr>
          <m:t>x</m:t>
        </m:r>
      </m:oMath>
      <w:r w:rsidRPr="0004765F">
        <w:rPr>
          <w:rFonts w:ascii="Times New Roman" w:eastAsia="Times New Roman" w:hAnsi="Times New Roman" w:cs="Times New Roman"/>
          <w:sz w:val="24"/>
          <w:szCs w:val="24"/>
          <w:lang w:val="en-GB" w:eastAsia="en-GB"/>
        </w:rPr>
        <w:t xml:space="preserve"> to </w:t>
      </w:r>
      <m:oMath>
        <m:r>
          <w:rPr>
            <w:rFonts w:ascii="Cambria Math" w:eastAsia="Times New Roman" w:hAnsi="Cambria Math" w:cs="Times New Roman"/>
            <w:sz w:val="24"/>
            <w:szCs w:val="24"/>
            <w:lang w:val="en-GB" w:eastAsia="en-GB"/>
          </w:rPr>
          <m:t>y</m:t>
        </m:r>
      </m:oMath>
      <w:r w:rsidRPr="0004765F">
        <w:rPr>
          <w:rFonts w:ascii="Times New Roman" w:eastAsia="Times New Roman" w:hAnsi="Times New Roman" w:cs="Times New Roman"/>
          <w:sz w:val="24"/>
          <w:szCs w:val="24"/>
          <w:lang w:val="en-GB" w:eastAsia="en-GB"/>
        </w:rPr>
        <w:t>, recursively, based on the following formula:</w:t>
      </w:r>
    </w:p>
    <w:p w:rsidR="0004765F" w:rsidRPr="0004765F" w:rsidRDefault="0004765F" w:rsidP="007D33E5">
      <w:pPr>
        <w:tabs>
          <w:tab w:val="center" w:pos="4253"/>
          <w:tab w:val="right" w:pos="8222"/>
        </w:tabs>
        <w:spacing w:before="240" w:after="240" w:line="480" w:lineRule="auto"/>
        <w:jc w:val="right"/>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tab/>
      </w:r>
      <m:oMath>
        <m:sSubSup>
          <m:sSubSupPr>
            <m:ctrlPr>
              <w:rPr>
                <w:rFonts w:ascii="Cambria Math" w:eastAsia="Times New Roman" w:hAnsi="Cambria Math" w:cs="Times New Roman"/>
                <w:sz w:val="24"/>
                <w:szCs w:val="24"/>
                <w:lang w:val="en-GB" w:eastAsia="en-GB"/>
              </w:rPr>
            </m:ctrlPr>
          </m:sSubSup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i,t</m:t>
            </m:r>
          </m:sub>
          <m:sup>
            <m:r>
              <w:rPr>
                <w:rFonts w:ascii="Cambria Math" w:eastAsia="Times New Roman" w:hAnsi="Cambria Math" w:cs="Times New Roman"/>
                <w:sz w:val="24"/>
                <w:szCs w:val="24"/>
                <w:lang w:val="en-GB" w:eastAsia="en-GB"/>
              </w:rPr>
              <m:t>*</m:t>
            </m:r>
          </m:sup>
        </m:sSubSup>
        <m:r>
          <w:rPr>
            <w:rFonts w:ascii="Cambria Math" w:eastAsia="Times New Roman" w:hAnsi="Cambria Math" w:cs="Times New Roman"/>
            <w:sz w:val="24"/>
            <w:szCs w:val="24"/>
            <w:lang w:val="en-GB" w:eastAsia="en-GB"/>
          </w:rPr>
          <m:t>=</m:t>
        </m:r>
        <m:sSub>
          <m:sSubPr>
            <m:ctrlPr>
              <w:rPr>
                <w:rFonts w:ascii="Cambria Math" w:eastAsia="Times New Roman" w:hAnsi="Cambria Math" w:cs="Times New Roman"/>
                <w:i/>
                <w:sz w:val="24"/>
                <w:szCs w:val="24"/>
                <w:lang w:val="en-GB" w:eastAsia="en-GB"/>
              </w:rPr>
            </m:ctrlPr>
          </m:sSubPr>
          <m:e>
            <m:acc>
              <m:accPr>
                <m:ctrlPr>
                  <w:rPr>
                    <w:rFonts w:ascii="Cambria Math" w:eastAsia="Times New Roman" w:hAnsi="Cambria Math" w:cs="Times New Roman"/>
                    <w:i/>
                    <w:sz w:val="24"/>
                    <w:szCs w:val="24"/>
                    <w:lang w:val="en-GB" w:eastAsia="en-GB"/>
                  </w:rPr>
                </m:ctrlPr>
              </m:accPr>
              <m:e>
                <m:r>
                  <w:rPr>
                    <w:rFonts w:ascii="Cambria Math" w:eastAsia="Times New Roman" w:hAnsi="Cambria Math" w:cs="Times New Roman"/>
                    <w:sz w:val="24"/>
                    <w:szCs w:val="24"/>
                    <w:lang w:val="en-GB" w:eastAsia="en-GB"/>
                  </w:rPr>
                  <m:t>α</m:t>
                </m:r>
              </m:e>
            </m:acc>
          </m:e>
          <m:sub>
            <m:r>
              <w:rPr>
                <w:rFonts w:ascii="Cambria Math" w:eastAsia="Times New Roman" w:hAnsi="Cambria Math" w:cs="Times New Roman"/>
                <w:sz w:val="24"/>
                <w:szCs w:val="24"/>
                <w:lang w:val="en-GB" w:eastAsia="en-GB"/>
              </w:rPr>
              <m:t>i</m:t>
            </m:r>
          </m:sub>
        </m:sSub>
        <m:r>
          <w:rPr>
            <w:rFonts w:ascii="Cambria Math" w:eastAsia="Times New Roman" w:hAnsi="Cambria Math" w:cs="Times New Roman"/>
            <w:sz w:val="24"/>
            <w:szCs w:val="24"/>
            <w:lang w:val="en-GB" w:eastAsia="en-GB"/>
          </w:rPr>
          <m:t>+</m:t>
        </m:r>
        <m:nary>
          <m:naryPr>
            <m:chr m:val="∑"/>
            <m:ctrlPr>
              <w:rPr>
                <w:rFonts w:ascii="Cambria Math" w:eastAsia="Times New Roman" w:hAnsi="Cambria Math" w:cs="Times New Roman"/>
                <w:sz w:val="24"/>
                <w:szCs w:val="24"/>
                <w:lang w:val="en-GB" w:eastAsia="en-GB"/>
              </w:rPr>
            </m:ctrlPr>
          </m:naryPr>
          <m:sub>
            <m:r>
              <w:rPr>
                <w:rFonts w:ascii="Cambria Math" w:eastAsia="Times New Roman" w:hAnsi="Cambria Math" w:cs="Times New Roman"/>
                <w:sz w:val="24"/>
                <w:szCs w:val="24"/>
                <w:lang w:val="en-GB" w:eastAsia="en-GB"/>
              </w:rPr>
              <m:t>j=1</m:t>
            </m:r>
          </m:sub>
          <m:sup>
            <m:r>
              <w:rPr>
                <w:rFonts w:ascii="Cambria Math" w:eastAsia="Times New Roman" w:hAnsi="Cambria Math" w:cs="Times New Roman"/>
                <w:sz w:val="24"/>
                <w:szCs w:val="24"/>
                <w:lang w:val="en-GB" w:eastAsia="en-GB"/>
              </w:rPr>
              <m:t>ly</m:t>
            </m:r>
          </m:sup>
          <m:e>
            <m:sSub>
              <m:sSubPr>
                <m:ctrlPr>
                  <w:rPr>
                    <w:rFonts w:ascii="Cambria Math" w:eastAsia="Times New Roman" w:hAnsi="Cambria Math" w:cs="Times New Roman"/>
                    <w:i/>
                    <w:sz w:val="24"/>
                    <w:szCs w:val="24"/>
                    <w:lang w:val="en-GB" w:eastAsia="en-GB"/>
                  </w:rPr>
                </m:ctrlPr>
              </m:sSubPr>
              <m:e>
                <m:acc>
                  <m:accPr>
                    <m:ctrlPr>
                      <w:rPr>
                        <w:rFonts w:ascii="Cambria Math" w:eastAsia="Times New Roman" w:hAnsi="Cambria Math" w:cs="Times New Roman"/>
                        <w:i/>
                        <w:sz w:val="24"/>
                        <w:szCs w:val="24"/>
                        <w:lang w:val="en-GB" w:eastAsia="en-GB"/>
                      </w:rPr>
                    </m:ctrlPr>
                  </m:accPr>
                  <m:e>
                    <m:r>
                      <w:rPr>
                        <w:rFonts w:ascii="Cambria Math" w:eastAsia="Times New Roman" w:hAnsi="Cambria Math" w:cs="Times New Roman"/>
                        <w:sz w:val="24"/>
                        <w:szCs w:val="24"/>
                        <w:lang w:val="en-GB" w:eastAsia="en-GB"/>
                      </w:rPr>
                      <m:t>β</m:t>
                    </m:r>
                  </m:e>
                </m:acc>
              </m:e>
              <m:sub>
                <m:r>
                  <w:rPr>
                    <w:rFonts w:ascii="Cambria Math" w:eastAsia="Times New Roman" w:hAnsi="Cambria Math" w:cs="Times New Roman"/>
                    <w:sz w:val="24"/>
                    <w:szCs w:val="24"/>
                    <w:lang w:val="en-GB" w:eastAsia="en-GB"/>
                  </w:rPr>
                  <m:t>i,j</m:t>
                </m:r>
              </m:sub>
            </m:sSub>
          </m:e>
        </m:nary>
        <m:sSubSup>
          <m:sSubSupPr>
            <m:ctrlPr>
              <w:rPr>
                <w:rFonts w:ascii="Cambria Math" w:eastAsia="Times New Roman" w:hAnsi="Cambria Math" w:cs="Times New Roman"/>
                <w:sz w:val="24"/>
                <w:szCs w:val="24"/>
                <w:lang w:val="en-GB" w:eastAsia="en-GB"/>
              </w:rPr>
            </m:ctrlPr>
          </m:sSubSup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i,t-j</m:t>
            </m:r>
          </m:sub>
          <m:sup>
            <m:r>
              <w:rPr>
                <w:rFonts w:ascii="Cambria Math" w:eastAsia="Times New Roman" w:hAnsi="Cambria Math" w:cs="Times New Roman"/>
                <w:sz w:val="24"/>
                <w:szCs w:val="24"/>
                <w:lang w:val="en-GB" w:eastAsia="en-GB"/>
              </w:rPr>
              <m:t>*</m:t>
            </m:r>
          </m:sup>
        </m:sSubSup>
        <m:r>
          <w:rPr>
            <w:rFonts w:ascii="Cambria Math" w:eastAsia="Times New Roman" w:hAnsi="Cambria Math" w:cs="Times New Roman"/>
            <w:sz w:val="24"/>
            <w:szCs w:val="24"/>
            <w:lang w:val="en-GB" w:eastAsia="en-GB"/>
          </w:rPr>
          <m:t>+</m:t>
        </m:r>
        <m:sSubSup>
          <m:sSubSupPr>
            <m:ctrlPr>
              <w:rPr>
                <w:rFonts w:ascii="Cambria Math" w:eastAsia="Times New Roman" w:hAnsi="Cambria Math" w:cs="Times New Roman"/>
                <w:sz w:val="24"/>
                <w:szCs w:val="24"/>
                <w:lang w:val="en-GB" w:eastAsia="en-GB"/>
              </w:rPr>
            </m:ctrlPr>
          </m:sSubSupPr>
          <m:e>
            <m:r>
              <w:rPr>
                <w:rFonts w:ascii="Cambria Math" w:eastAsia="Times New Roman" w:hAnsi="Cambria Math" w:cs="Times New Roman"/>
                <w:sz w:val="24"/>
                <w:szCs w:val="24"/>
                <w:lang w:val="en-GB" w:eastAsia="en-GB"/>
              </w:rPr>
              <m:t>e</m:t>
            </m:r>
          </m:e>
          <m:sub>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H</m:t>
                </m:r>
              </m:e>
              <m:sub>
                <m:r>
                  <w:rPr>
                    <w:rFonts w:ascii="Cambria Math" w:eastAsia="Times New Roman" w:hAnsi="Cambria Math" w:cs="Times New Roman"/>
                    <w:sz w:val="24"/>
                    <w:szCs w:val="24"/>
                    <w:lang w:val="en-GB" w:eastAsia="en-GB"/>
                  </w:rPr>
                  <m:t>0</m:t>
                </m:r>
              </m:sub>
            </m:sSub>
            <m:r>
              <w:rPr>
                <w:rFonts w:ascii="Cambria Math" w:eastAsia="Times New Roman" w:hAnsi="Cambria Math" w:cs="Times New Roman"/>
                <w:sz w:val="24"/>
                <w:szCs w:val="24"/>
                <w:lang w:val="en-GB" w:eastAsia="en-GB"/>
              </w:rPr>
              <m:t>,i,t</m:t>
            </m:r>
          </m:sub>
          <m:sup>
            <m:r>
              <w:rPr>
                <w:rFonts w:ascii="Cambria Math" w:eastAsia="Times New Roman" w:hAnsi="Cambria Math" w:cs="Times New Roman"/>
                <w:sz w:val="24"/>
                <w:szCs w:val="24"/>
                <w:lang w:val="en-GB" w:eastAsia="en-GB"/>
              </w:rPr>
              <m:t>*</m:t>
            </m:r>
          </m:sup>
        </m:sSubSup>
        <m:r>
          <w:rPr>
            <w:rFonts w:ascii="Cambria Math" w:eastAsia="Times New Roman" w:hAnsi="Cambria Math" w:cs="Times New Roman"/>
            <w:sz w:val="24"/>
            <w:szCs w:val="24"/>
            <w:lang w:val="en-GB" w:eastAsia="en-GB"/>
          </w:rPr>
          <m:t xml:space="preserve">,      t=1, ⋯, </m:t>
        </m:r>
        <m:sSup>
          <m:sSupPr>
            <m:ctrlPr>
              <w:rPr>
                <w:rFonts w:ascii="Cambria Math" w:eastAsia="Times New Roman" w:hAnsi="Cambria Math" w:cs="Times New Roman"/>
                <w:sz w:val="24"/>
                <w:szCs w:val="24"/>
                <w:lang w:val="en-GB" w:eastAsia="en-GB"/>
              </w:rPr>
            </m:ctrlPr>
          </m:sSupPr>
          <m:e>
            <m:r>
              <w:rPr>
                <w:rFonts w:ascii="Cambria Math" w:eastAsia="Times New Roman" w:hAnsi="Cambria Math" w:cs="Times New Roman"/>
                <w:sz w:val="24"/>
                <w:szCs w:val="24"/>
                <w:lang w:val="en-GB" w:eastAsia="en-GB"/>
              </w:rPr>
              <m:t>T</m:t>
            </m:r>
          </m:e>
          <m:sup>
            <m:r>
              <w:rPr>
                <w:rFonts w:ascii="Cambria Math" w:eastAsia="Times New Roman" w:hAnsi="Cambria Math" w:cs="Times New Roman"/>
                <w:sz w:val="24"/>
                <w:szCs w:val="24"/>
                <w:lang w:val="en-GB" w:eastAsia="en-GB"/>
              </w:rPr>
              <m:t>*</m:t>
            </m:r>
          </m:sup>
        </m:sSup>
        <m:r>
          <w:rPr>
            <w:rFonts w:ascii="Cambria Math" w:eastAsia="Times New Roman" w:hAnsi="Cambria Math" w:cs="Times New Roman"/>
            <w:sz w:val="24"/>
            <w:szCs w:val="24"/>
            <w:lang w:val="en-GB" w:eastAsia="en-GB"/>
          </w:rPr>
          <m:t xml:space="preserve">,                </m:t>
        </m:r>
        <m:r>
          <w:rPr>
            <w:rFonts w:ascii="Cambria Math" w:eastAsia="Times New Roman" w:hAnsi="Cambria Math" w:cs="Times New Roman"/>
            <w:sz w:val="24"/>
            <w:szCs w:val="24"/>
            <w:lang w:val="en-GB" w:eastAsia="en-GB"/>
          </w:rPr>
          <m:t xml:space="preserve">  </m:t>
        </m:r>
        <m:r>
          <w:rPr>
            <w:rFonts w:ascii="Cambria Math" w:eastAsia="Times New Roman" w:hAnsi="Cambria Math" w:cs="Times New Roman"/>
            <w:sz w:val="24"/>
            <w:szCs w:val="24"/>
            <w:lang w:val="en-GB" w:eastAsia="en-GB"/>
          </w:rPr>
          <m:t xml:space="preserve">        </m:t>
        </m:r>
        <m:r>
          <m:rPr>
            <m:sty m:val="p"/>
          </m:rPr>
          <w:rPr>
            <w:rFonts w:ascii="Cambria Math" w:eastAsia="Times New Roman" w:hAnsi="Cambria Math" w:cs="Times New Roman"/>
            <w:sz w:val="24"/>
            <w:szCs w:val="24"/>
            <w:lang w:val="en-GB" w:eastAsia="en-GB"/>
          </w:rPr>
          <m:t>(3)</m:t>
        </m:r>
      </m:oMath>
    </w:p>
    <w:p w:rsidR="0004765F" w:rsidRPr="0004765F" w:rsidRDefault="0004765F" w:rsidP="0004765F">
      <w:pPr>
        <w:tabs>
          <w:tab w:val="center" w:pos="4253"/>
          <w:tab w:val="right" w:pos="8222"/>
        </w:tabs>
        <w:spacing w:before="240" w:after="240" w:line="480" w:lineRule="auto"/>
        <w:jc w:val="center"/>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sz w:val="24"/>
          <w:szCs w:val="24"/>
          <w:lang w:val="en-GB" w:eastAsia="en-GB"/>
        </w:rPr>
        <w:lastRenderedPageBreak/>
        <w:t xml:space="preserve">where </w:t>
      </w:r>
      <m:oMath>
        <m:sSub>
          <m:sSubPr>
            <m:ctrlPr>
              <w:rPr>
                <w:rFonts w:ascii="Cambria Math" w:eastAsia="Times New Roman" w:hAnsi="Cambria Math" w:cs="Times New Roman"/>
                <w:i/>
                <w:sz w:val="24"/>
                <w:szCs w:val="24"/>
                <w:lang w:val="en-GB" w:eastAsia="en-GB"/>
              </w:rPr>
            </m:ctrlPr>
          </m:sSubPr>
          <m:e>
            <m:acc>
              <m:accPr>
                <m:ctrlPr>
                  <w:rPr>
                    <w:rFonts w:ascii="Cambria Math" w:eastAsia="Times New Roman" w:hAnsi="Cambria Math" w:cs="Times New Roman"/>
                    <w:i/>
                    <w:sz w:val="24"/>
                    <w:szCs w:val="24"/>
                    <w:lang w:val="en-GB" w:eastAsia="en-GB"/>
                  </w:rPr>
                </m:ctrlPr>
              </m:accPr>
              <m:e>
                <m:r>
                  <w:rPr>
                    <w:rFonts w:ascii="Cambria Math" w:eastAsia="Times New Roman" w:hAnsi="Cambria Math" w:cs="Times New Roman"/>
                    <w:sz w:val="24"/>
                    <w:szCs w:val="24"/>
                    <w:lang w:val="en-GB" w:eastAsia="en-GB"/>
                  </w:rPr>
                  <m:t>α</m:t>
                </m:r>
              </m:e>
            </m:acc>
          </m:e>
          <m:sub>
            <m:r>
              <w:rPr>
                <w:rFonts w:ascii="Cambria Math" w:eastAsia="Times New Roman" w:hAnsi="Cambria Math" w:cs="Times New Roman"/>
                <w:sz w:val="24"/>
                <w:szCs w:val="24"/>
                <w:lang w:val="en-GB" w:eastAsia="en-GB"/>
              </w:rPr>
              <m:t>i</m:t>
            </m:r>
          </m:sub>
        </m:sSub>
      </m:oMath>
      <w:r w:rsidRPr="0004765F">
        <w:rPr>
          <w:rFonts w:ascii="Times New Roman" w:eastAsia="Times New Roman" w:hAnsi="Times New Roman" w:cs="Times New Roman"/>
          <w:sz w:val="24"/>
          <w:szCs w:val="24"/>
          <w:lang w:val="en-GB" w:eastAsia="en-GB"/>
        </w:rPr>
        <w:t xml:space="preserve"> and </w:t>
      </w:r>
      <m:oMath>
        <m:sSub>
          <m:sSubPr>
            <m:ctrlPr>
              <w:rPr>
                <w:rFonts w:ascii="Cambria Math" w:eastAsia="Times New Roman" w:hAnsi="Cambria Math" w:cs="Times New Roman"/>
                <w:i/>
                <w:sz w:val="24"/>
                <w:szCs w:val="24"/>
                <w:lang w:val="en-GB" w:eastAsia="en-GB"/>
              </w:rPr>
            </m:ctrlPr>
          </m:sSubPr>
          <m:e>
            <m:acc>
              <m:accPr>
                <m:ctrlPr>
                  <w:rPr>
                    <w:rFonts w:ascii="Cambria Math" w:eastAsia="Times New Roman" w:hAnsi="Cambria Math" w:cs="Times New Roman"/>
                    <w:i/>
                    <w:sz w:val="24"/>
                    <w:szCs w:val="24"/>
                    <w:lang w:val="en-GB" w:eastAsia="en-GB"/>
                  </w:rPr>
                </m:ctrlPr>
              </m:accPr>
              <m:e>
                <m:r>
                  <w:rPr>
                    <w:rFonts w:ascii="Cambria Math" w:eastAsia="Times New Roman" w:hAnsi="Cambria Math" w:cs="Times New Roman"/>
                    <w:sz w:val="24"/>
                    <w:szCs w:val="24"/>
                    <w:lang w:val="en-GB" w:eastAsia="en-GB"/>
                  </w:rPr>
                  <m:t>β</m:t>
                </m:r>
              </m:e>
            </m:acc>
          </m:e>
          <m:sub>
            <m:r>
              <w:rPr>
                <w:rFonts w:ascii="Cambria Math" w:eastAsia="Times New Roman" w:hAnsi="Cambria Math" w:cs="Times New Roman"/>
                <w:sz w:val="24"/>
                <w:szCs w:val="24"/>
                <w:lang w:val="en-GB" w:eastAsia="en-GB"/>
              </w:rPr>
              <m:t>i,j</m:t>
            </m:r>
          </m:sub>
        </m:sSub>
      </m:oMath>
      <w:r w:rsidRPr="0004765F">
        <w:rPr>
          <w:rFonts w:ascii="Times New Roman" w:eastAsia="Times New Roman" w:hAnsi="Times New Roman" w:cs="Times New Roman"/>
          <w:sz w:val="24"/>
          <w:szCs w:val="24"/>
          <w:lang w:val="en-GB" w:eastAsia="en-GB"/>
        </w:rPr>
        <w:t xml:space="preserve"> are the estimates </w:t>
      </w:r>
      <w:r w:rsidRPr="0004765F">
        <w:rPr>
          <w:rFonts w:ascii="Times New Roman" w:eastAsia="Times New Roman" w:hAnsi="Times New Roman" w:cs="Times New Roman"/>
          <w:kern w:val="2"/>
          <w:sz w:val="24"/>
          <w:szCs w:val="24"/>
          <w:lang w:val="en-GB" w:eastAsia="ja-JP"/>
        </w:rPr>
        <w:t>of</w:t>
      </w:r>
      <w:r w:rsidRPr="0004765F">
        <w:rPr>
          <w:rFonts w:ascii="Times New Roman" w:eastAsia="Times New Roman" w:hAnsi="Times New Roman" w:cs="Times New Roman"/>
          <w:sz w:val="24"/>
          <w:szCs w:val="24"/>
          <w:lang w:val="en-GB" w:eastAsia="en-GB"/>
        </w:rPr>
        <w:t xml:space="preserve"> the parameters in step 2. </w:t>
      </w:r>
    </w:p>
    <w:p w:rsidR="0004765F" w:rsidRPr="0004765F" w:rsidRDefault="0004765F" w:rsidP="007D33E5">
      <w:pPr>
        <w:widowControl w:val="0"/>
        <w:spacing w:before="240" w:after="0" w:line="480" w:lineRule="auto"/>
        <w:ind w:left="720" w:hanging="720"/>
        <w:jc w:val="both"/>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b/>
          <w:bCs/>
          <w:sz w:val="24"/>
          <w:szCs w:val="24"/>
          <w:lang w:val="en-GB" w:eastAsia="en-GB"/>
        </w:rPr>
        <w:t>Step 5</w:t>
      </w:r>
      <w:r w:rsidRPr="0004765F">
        <w:rPr>
          <w:rFonts w:ascii="Times New Roman" w:eastAsia="Times New Roman" w:hAnsi="Times New Roman" w:cs="Times New Roman"/>
          <w:sz w:val="24"/>
          <w:szCs w:val="24"/>
          <w:lang w:val="en-GB" w:eastAsia="en-GB"/>
        </w:rPr>
        <w:t xml:space="preserve">: Substitute </w:t>
      </w:r>
      <m:oMath>
        <m:sSubSup>
          <m:sSubSupPr>
            <m:ctrlPr>
              <w:rPr>
                <w:rFonts w:ascii="Cambria Math" w:eastAsia="Times New Roman" w:hAnsi="Cambria Math" w:cs="Times New Roman"/>
                <w:sz w:val="24"/>
                <w:szCs w:val="24"/>
                <w:lang w:val="en-GB" w:eastAsia="en-GB"/>
              </w:rPr>
            </m:ctrlPr>
          </m:sSubSup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i,t</m:t>
            </m:r>
          </m:sub>
          <m:sup>
            <m:r>
              <w:rPr>
                <w:rFonts w:ascii="Cambria Math" w:eastAsia="Times New Roman" w:hAnsi="Cambria Math" w:cs="Times New Roman"/>
                <w:sz w:val="24"/>
                <w:szCs w:val="24"/>
                <w:lang w:val="en-GB" w:eastAsia="en-GB"/>
              </w:rPr>
              <m:t>*</m:t>
            </m:r>
          </m:sup>
        </m:sSubSup>
      </m:oMath>
      <w:r w:rsidRPr="0004765F">
        <w:rPr>
          <w:rFonts w:ascii="Times New Roman" w:eastAsia="Times New Roman" w:hAnsi="Times New Roman" w:cs="Times New Roman"/>
          <w:sz w:val="24"/>
          <w:szCs w:val="24"/>
          <w:lang w:val="en-GB" w:eastAsia="en-GB"/>
        </w:rPr>
        <w:t xml:space="preserve"> for </w:t>
      </w:r>
      <m:oMath>
        <m:sSub>
          <m:sSubPr>
            <m:ctrlPr>
              <w:rPr>
                <w:rFonts w:ascii="Cambria Math" w:eastAsia="Times New Roman" w:hAnsi="Cambria Math" w:cs="Times New Roman"/>
                <w:sz w:val="24"/>
                <w:szCs w:val="24"/>
                <w:lang w:val="en-GB" w:eastAsia="en-GB"/>
              </w:rPr>
            </m:ctrlPr>
          </m:sSubPr>
          <m:e>
            <m:r>
              <w:rPr>
                <w:rFonts w:ascii="Cambria Math" w:eastAsia="Times New Roman" w:hAnsi="Cambria Math" w:cs="Times New Roman"/>
                <w:sz w:val="24"/>
                <w:szCs w:val="24"/>
                <w:lang w:val="en-GB" w:eastAsia="en-GB"/>
              </w:rPr>
              <m:t>y</m:t>
            </m:r>
          </m:e>
          <m:sub>
            <m:r>
              <w:rPr>
                <w:rFonts w:ascii="Cambria Math" w:eastAsia="Times New Roman" w:hAnsi="Cambria Math" w:cs="Times New Roman"/>
                <w:sz w:val="24"/>
                <w:szCs w:val="24"/>
                <w:lang w:val="en-GB" w:eastAsia="en-GB"/>
              </w:rPr>
              <m:t>i,t</m:t>
            </m:r>
          </m:sub>
        </m:sSub>
      </m:oMath>
      <w:r w:rsidRPr="0004765F">
        <w:rPr>
          <w:rFonts w:ascii="Times New Roman" w:eastAsia="Times New Roman" w:hAnsi="Times New Roman" w:cs="Times New Roman"/>
          <w:sz w:val="24"/>
          <w:szCs w:val="24"/>
          <w:lang w:val="en-GB" w:eastAsia="en-GB"/>
        </w:rPr>
        <w:t xml:space="preserve"> and estimate the set of equations</w:t>
      </w:r>
      <w:r w:rsidRPr="0004765F">
        <w:rPr>
          <w:rFonts w:ascii="Times New Roman" w:eastAsia="Times New Roman" w:hAnsi="Times New Roman" w:cs="Times New Roman"/>
          <w:kern w:val="2"/>
          <w:sz w:val="24"/>
          <w:szCs w:val="24"/>
          <w:lang w:val="en-GB" w:eastAsia="en-GB"/>
        </w:rPr>
        <w:t xml:space="preserve"> (1)</w:t>
      </w:r>
      <w:r w:rsidRPr="0004765F">
        <w:rPr>
          <w:rFonts w:ascii="Times New Roman" w:eastAsia="Times New Roman" w:hAnsi="Times New Roman" w:cs="Times New Roman"/>
          <w:sz w:val="24"/>
          <w:szCs w:val="24"/>
          <w:lang w:val="en-GB" w:eastAsia="en-GB"/>
        </w:rPr>
        <w:t xml:space="preserve"> without imposing any restrictions on the parameters, and then calculate the individual Wald statistics by testing for the non</w:t>
      </w:r>
      <w:r w:rsidRPr="0004765F">
        <w:rPr>
          <w:rFonts w:ascii="Cambria Math" w:eastAsia="Times New Roman" w:hAnsi="Cambria Math" w:cs="Cambria Math"/>
          <w:sz w:val="24"/>
          <w:szCs w:val="24"/>
          <w:lang w:val="en-GB" w:eastAsia="en-GB"/>
        </w:rPr>
        <w:t>-</w:t>
      </w:r>
      <w:r w:rsidRPr="0004765F">
        <w:rPr>
          <w:rFonts w:ascii="Times New Roman" w:eastAsia="Times New Roman" w:hAnsi="Times New Roman" w:cs="Times New Roman"/>
          <w:sz w:val="24"/>
          <w:szCs w:val="24"/>
          <w:lang w:val="en-GB" w:eastAsia="en-GB"/>
        </w:rPr>
        <w:t>causality null hypothesis for each of the cross</w:t>
      </w:r>
      <w:r w:rsidRPr="0004765F">
        <w:rPr>
          <w:rFonts w:ascii="Cambria Math" w:eastAsia="Times New Roman" w:hAnsi="Cambria Math" w:cs="Cambria Math"/>
          <w:sz w:val="24"/>
          <w:szCs w:val="24"/>
          <w:lang w:val="en-GB" w:eastAsia="en-GB"/>
        </w:rPr>
        <w:t>-</w:t>
      </w:r>
      <w:r w:rsidRPr="0004765F">
        <w:rPr>
          <w:rFonts w:ascii="Times New Roman" w:eastAsia="Times New Roman" w:hAnsi="Times New Roman" w:cs="Times New Roman"/>
          <w:sz w:val="24"/>
          <w:szCs w:val="24"/>
          <w:lang w:val="en-GB" w:eastAsia="en-GB"/>
        </w:rPr>
        <w:t xml:space="preserve">sectional units. </w:t>
      </w:r>
    </w:p>
    <w:p w:rsidR="002B112E" w:rsidRPr="0004765F" w:rsidRDefault="0004765F" w:rsidP="0004765F">
      <w:pPr>
        <w:widowControl w:val="0"/>
        <w:spacing w:before="240" w:after="0" w:line="480" w:lineRule="auto"/>
        <w:ind w:left="720" w:hanging="720"/>
        <w:jc w:val="both"/>
        <w:rPr>
          <w:rFonts w:ascii="Times New Roman" w:eastAsia="Times New Roman" w:hAnsi="Times New Roman" w:cs="Times New Roman"/>
          <w:sz w:val="24"/>
          <w:szCs w:val="24"/>
          <w:lang w:val="en-GB" w:eastAsia="en-GB"/>
        </w:rPr>
      </w:pPr>
      <w:r w:rsidRPr="0004765F">
        <w:rPr>
          <w:rFonts w:ascii="Times New Roman" w:eastAsia="Times New Roman" w:hAnsi="Times New Roman" w:cs="Times New Roman"/>
          <w:b/>
          <w:bCs/>
          <w:sz w:val="24"/>
          <w:szCs w:val="24"/>
          <w:lang w:val="en-GB" w:eastAsia="en-GB"/>
        </w:rPr>
        <w:t>Step 6</w:t>
      </w:r>
      <w:r w:rsidRPr="0004765F">
        <w:rPr>
          <w:rFonts w:ascii="Times New Roman" w:eastAsia="Times New Roman" w:hAnsi="Times New Roman" w:cs="Times New Roman"/>
          <w:sz w:val="24"/>
          <w:szCs w:val="24"/>
          <w:lang w:val="en-GB" w:eastAsia="en-GB"/>
        </w:rPr>
        <w:t xml:space="preserve">: Obtain the empirical </w:t>
      </w:r>
      <w:r w:rsidRPr="0004765F">
        <w:rPr>
          <w:rFonts w:ascii="Times New Roman" w:eastAsia="Times New Roman" w:hAnsi="Times New Roman" w:cs="Times New Roman"/>
          <w:kern w:val="2"/>
          <w:sz w:val="24"/>
          <w:szCs w:val="24"/>
          <w:lang w:val="en-GB" w:eastAsia="ja-JP"/>
        </w:rPr>
        <w:t>distribution</w:t>
      </w:r>
      <w:r w:rsidRPr="0004765F">
        <w:rPr>
          <w:rFonts w:ascii="Times New Roman" w:eastAsia="Times New Roman" w:hAnsi="Times New Roman" w:cs="Times New Roman"/>
          <w:sz w:val="24"/>
          <w:szCs w:val="24"/>
          <w:lang w:val="en-GB" w:eastAsia="en-GB"/>
        </w:rPr>
        <w:t xml:space="preserve"> of the individual Wald statistics by repeating steps 3</w:t>
      </w:r>
      <w:r w:rsidRPr="0004765F">
        <w:rPr>
          <w:rFonts w:ascii="Cambria Math" w:eastAsia="Times New Roman" w:hAnsi="Cambria Math" w:cs="Cambria Math"/>
          <w:sz w:val="24"/>
          <w:szCs w:val="24"/>
          <w:lang w:val="en-GB" w:eastAsia="en-GB"/>
        </w:rPr>
        <w:t>‐</w:t>
      </w:r>
      <w:r w:rsidRPr="0004765F">
        <w:rPr>
          <w:rFonts w:ascii="Times New Roman" w:eastAsia="Times New Roman" w:hAnsi="Times New Roman" w:cs="Times New Roman"/>
          <w:sz w:val="24"/>
          <w:szCs w:val="24"/>
          <w:lang w:val="en-GB" w:eastAsia="en-GB"/>
        </w:rPr>
        <w:t xml:space="preserve">5 many times, calculate the appropriate percentiles of the bootstrap distributions (bootstrap critical values), and then </w:t>
      </w:r>
      <w:r w:rsidRPr="0004765F">
        <w:rPr>
          <w:rFonts w:ascii="Times New Roman" w:eastAsia="Times New Roman" w:hAnsi="Times New Roman" w:cs="Times New Roman"/>
          <w:kern w:val="2"/>
          <w:sz w:val="24"/>
          <w:szCs w:val="24"/>
          <w:lang w:val="en-GB" w:eastAsia="ja-JP"/>
        </w:rPr>
        <w:t>compare</w:t>
      </w:r>
      <w:r w:rsidRPr="0004765F">
        <w:rPr>
          <w:rFonts w:ascii="Times New Roman" w:eastAsia="Times New Roman" w:hAnsi="Times New Roman" w:cs="Times New Roman"/>
          <w:sz w:val="24"/>
          <w:szCs w:val="24"/>
          <w:lang w:val="en-GB" w:eastAsia="en-GB"/>
        </w:rPr>
        <w:t xml:space="preserve"> the Wald statistics corresponding to the original data set (step 1) with the empirical critical values for each cross</w:t>
      </w:r>
      <w:r w:rsidRPr="0004765F">
        <w:rPr>
          <w:rFonts w:ascii="Cambria Math" w:eastAsia="Times New Roman" w:hAnsi="Cambria Math" w:cs="Cambria Math"/>
          <w:sz w:val="24"/>
          <w:szCs w:val="24"/>
          <w:lang w:val="en-GB" w:eastAsia="en-GB"/>
        </w:rPr>
        <w:t>‐</w:t>
      </w:r>
      <w:r w:rsidRPr="0004765F">
        <w:rPr>
          <w:rFonts w:ascii="Times New Roman" w:eastAsia="Times New Roman" w:hAnsi="Times New Roman" w:cs="Times New Roman"/>
          <w:sz w:val="24"/>
          <w:szCs w:val="24"/>
          <w:lang w:val="en-GB" w:eastAsia="en-GB"/>
        </w:rPr>
        <w:t>section.</w:t>
      </w:r>
    </w:p>
    <w:p w:rsidR="002B112E" w:rsidRPr="008F7EB3" w:rsidRDefault="008772AF" w:rsidP="00D43042">
      <w:pPr>
        <w:spacing w:before="240" w:after="0" w:line="480" w:lineRule="auto"/>
        <w:jc w:val="both"/>
        <w:rPr>
          <w:rFonts w:asciiTheme="majorBidi" w:hAnsiTheme="majorBidi"/>
          <w:b/>
          <w:bCs/>
          <w:sz w:val="28"/>
          <w:szCs w:val="28"/>
        </w:rPr>
      </w:pPr>
      <w:r w:rsidRPr="008F7EB3">
        <w:rPr>
          <w:rFonts w:asciiTheme="majorBidi" w:hAnsiTheme="majorBidi"/>
          <w:b/>
          <w:bCs/>
          <w:sz w:val="28"/>
          <w:szCs w:val="28"/>
        </w:rPr>
        <w:t>References</w:t>
      </w:r>
    </w:p>
    <w:p w:rsidR="004763D6" w:rsidRDefault="004763D6" w:rsidP="004763D6">
      <w:pPr>
        <w:spacing w:line="360" w:lineRule="auto"/>
        <w:ind w:left="720" w:hanging="720"/>
        <w:jc w:val="both"/>
        <w:rPr>
          <w:rFonts w:asciiTheme="majorBidi" w:hAnsiTheme="majorBidi"/>
        </w:rPr>
      </w:pPr>
      <w:r w:rsidRPr="004763D6">
        <w:rPr>
          <w:rFonts w:asciiTheme="majorBidi" w:hAnsiTheme="majorBidi"/>
        </w:rPr>
        <w:t xml:space="preserve">Haghnejad, A., Samadi, S., Nasrollahi, K., Azarbayjani, K., &amp; Kazemi, I. (2020). Market </w:t>
      </w:r>
      <w:r>
        <w:rPr>
          <w:rFonts w:asciiTheme="majorBidi" w:hAnsiTheme="majorBidi"/>
        </w:rPr>
        <w:t>p</w:t>
      </w:r>
      <w:r w:rsidRPr="004763D6">
        <w:rPr>
          <w:rFonts w:asciiTheme="majorBidi" w:hAnsiTheme="majorBidi"/>
        </w:rPr>
        <w:t xml:space="preserve">ower and </w:t>
      </w:r>
      <w:r>
        <w:rPr>
          <w:rFonts w:asciiTheme="majorBidi" w:hAnsiTheme="majorBidi"/>
        </w:rPr>
        <w:t>e</w:t>
      </w:r>
      <w:r w:rsidRPr="004763D6">
        <w:rPr>
          <w:rFonts w:asciiTheme="majorBidi" w:hAnsiTheme="majorBidi"/>
        </w:rPr>
        <w:t xml:space="preserve">fficiency in the Iranian </w:t>
      </w:r>
      <w:r>
        <w:rPr>
          <w:rFonts w:asciiTheme="majorBidi" w:hAnsiTheme="majorBidi"/>
        </w:rPr>
        <w:t>b</w:t>
      </w:r>
      <w:r w:rsidRPr="004763D6">
        <w:rPr>
          <w:rFonts w:asciiTheme="majorBidi" w:hAnsiTheme="majorBidi"/>
        </w:rPr>
        <w:t xml:space="preserve">anking </w:t>
      </w:r>
      <w:r>
        <w:rPr>
          <w:rFonts w:asciiTheme="majorBidi" w:hAnsiTheme="majorBidi"/>
        </w:rPr>
        <w:t>i</w:t>
      </w:r>
      <w:r w:rsidRPr="004763D6">
        <w:rPr>
          <w:rFonts w:asciiTheme="majorBidi" w:hAnsiTheme="majorBidi"/>
        </w:rPr>
        <w:t>ndustry. </w:t>
      </w:r>
      <w:r w:rsidRPr="004763D6">
        <w:rPr>
          <w:rFonts w:asciiTheme="majorBidi" w:hAnsiTheme="majorBidi"/>
          <w:i/>
          <w:iCs/>
        </w:rPr>
        <w:t>Emerging Markets Finance and Trade</w:t>
      </w:r>
      <w:r w:rsidRPr="004763D6">
        <w:rPr>
          <w:rFonts w:asciiTheme="majorBidi" w:hAnsiTheme="majorBidi"/>
        </w:rPr>
        <w:t>, </w:t>
      </w:r>
      <w:r w:rsidRPr="004E2082">
        <w:rPr>
          <w:rFonts w:asciiTheme="majorBidi" w:hAnsiTheme="majorBidi"/>
        </w:rPr>
        <w:t>56(13)</w:t>
      </w:r>
      <w:r w:rsidRPr="004763D6">
        <w:rPr>
          <w:rFonts w:asciiTheme="majorBidi" w:hAnsiTheme="majorBidi"/>
        </w:rPr>
        <w:t xml:space="preserve">, 3217-3234. </w:t>
      </w:r>
    </w:p>
    <w:p w:rsidR="004763D6" w:rsidRDefault="004763D6" w:rsidP="004763D6">
      <w:pPr>
        <w:spacing w:line="360" w:lineRule="auto"/>
        <w:ind w:left="720" w:hanging="720"/>
        <w:jc w:val="both"/>
        <w:rPr>
          <w:rFonts w:asciiTheme="majorBidi" w:hAnsiTheme="majorBidi"/>
        </w:rPr>
      </w:pPr>
      <w:r w:rsidRPr="004763D6">
        <w:rPr>
          <w:rFonts w:asciiTheme="majorBidi" w:hAnsiTheme="majorBidi"/>
        </w:rPr>
        <w:t>Kónya, L. (2006). Exports and growth: Granger causality analysis on OECD countries with a panel data approach. </w:t>
      </w:r>
      <w:r w:rsidRPr="004763D6">
        <w:rPr>
          <w:rFonts w:asciiTheme="majorBidi" w:hAnsiTheme="majorBidi"/>
          <w:i/>
          <w:iCs/>
        </w:rPr>
        <w:t>Economic Modelling</w:t>
      </w:r>
      <w:r w:rsidRPr="004763D6">
        <w:rPr>
          <w:rFonts w:asciiTheme="majorBidi" w:hAnsiTheme="majorBidi"/>
        </w:rPr>
        <w:t>, </w:t>
      </w:r>
      <w:r w:rsidRPr="004E2082">
        <w:rPr>
          <w:rFonts w:asciiTheme="majorBidi" w:hAnsiTheme="majorBidi"/>
        </w:rPr>
        <w:t>23(6)</w:t>
      </w:r>
      <w:r w:rsidRPr="004763D6">
        <w:rPr>
          <w:rFonts w:asciiTheme="majorBidi" w:hAnsiTheme="majorBidi"/>
        </w:rPr>
        <w:t xml:space="preserve">, 978-992. </w:t>
      </w:r>
    </w:p>
    <w:p w:rsidR="00D43042" w:rsidRPr="0004765F" w:rsidRDefault="00D43042" w:rsidP="003F1984">
      <w:pPr>
        <w:jc w:val="both"/>
        <w:rPr>
          <w:rFonts w:asciiTheme="majorBidi" w:hAnsiTheme="majorBidi"/>
          <w:sz w:val="26"/>
          <w:szCs w:val="26"/>
        </w:rPr>
      </w:pPr>
    </w:p>
    <w:p w:rsidR="00D43042" w:rsidRPr="0004765F" w:rsidRDefault="00D43042" w:rsidP="003F1984">
      <w:pPr>
        <w:jc w:val="both"/>
        <w:rPr>
          <w:rFonts w:asciiTheme="majorBidi" w:hAnsiTheme="majorBidi"/>
          <w:sz w:val="26"/>
          <w:szCs w:val="26"/>
        </w:rPr>
      </w:pPr>
    </w:p>
    <w:p w:rsidR="00D43042" w:rsidRPr="0004765F" w:rsidRDefault="00D43042" w:rsidP="003F1984">
      <w:pPr>
        <w:jc w:val="both"/>
        <w:rPr>
          <w:rFonts w:asciiTheme="majorBidi" w:hAnsiTheme="majorBidi"/>
          <w:sz w:val="26"/>
          <w:szCs w:val="26"/>
        </w:rPr>
      </w:pPr>
    </w:p>
    <w:p w:rsidR="0008075A" w:rsidRPr="0004765F" w:rsidRDefault="0008075A"/>
    <w:sectPr w:rsidR="0008075A" w:rsidRPr="000476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8BB" w:rsidRDefault="000E58BB" w:rsidP="00BB36BA">
      <w:pPr>
        <w:spacing w:after="0" w:line="240" w:lineRule="auto"/>
      </w:pPr>
      <w:r>
        <w:separator/>
      </w:r>
    </w:p>
  </w:endnote>
  <w:endnote w:type="continuationSeparator" w:id="0">
    <w:p w:rsidR="000E58BB" w:rsidRDefault="000E58BB" w:rsidP="00BB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libri Light">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618258"/>
      <w:docPartObj>
        <w:docPartGallery w:val="Page Numbers (Bottom of Page)"/>
        <w:docPartUnique/>
      </w:docPartObj>
    </w:sdtPr>
    <w:sdtEndPr>
      <w:rPr>
        <w:noProof/>
      </w:rPr>
    </w:sdtEndPr>
    <w:sdtContent>
      <w:p w:rsidR="00BB36BA" w:rsidRDefault="00BB36BA">
        <w:pPr>
          <w:pStyle w:val="Footer"/>
          <w:jc w:val="center"/>
        </w:pPr>
        <w:r>
          <w:fldChar w:fldCharType="begin"/>
        </w:r>
        <w:r>
          <w:instrText xml:space="preserve"> PAGE   \* MERGEFORMAT </w:instrText>
        </w:r>
        <w:r>
          <w:fldChar w:fldCharType="separate"/>
        </w:r>
        <w:r w:rsidR="00D01E7F">
          <w:rPr>
            <w:noProof/>
          </w:rPr>
          <w:t>1</w:t>
        </w:r>
        <w:r>
          <w:rPr>
            <w:noProof/>
          </w:rPr>
          <w:fldChar w:fldCharType="end"/>
        </w:r>
      </w:p>
    </w:sdtContent>
  </w:sdt>
  <w:p w:rsidR="00BB36BA" w:rsidRDefault="00BB3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8BB" w:rsidRDefault="000E58BB" w:rsidP="00BB36BA">
      <w:pPr>
        <w:spacing w:after="0" w:line="240" w:lineRule="auto"/>
      </w:pPr>
      <w:r>
        <w:separator/>
      </w:r>
    </w:p>
  </w:footnote>
  <w:footnote w:type="continuationSeparator" w:id="0">
    <w:p w:rsidR="000E58BB" w:rsidRDefault="000E58BB" w:rsidP="00BB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83A6B"/>
    <w:multiLevelType w:val="hybridMultilevel"/>
    <w:tmpl w:val="A0C2D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13"/>
    <w:rsid w:val="000125CA"/>
    <w:rsid w:val="00014EA4"/>
    <w:rsid w:val="00025373"/>
    <w:rsid w:val="00026060"/>
    <w:rsid w:val="000375A3"/>
    <w:rsid w:val="00041BE2"/>
    <w:rsid w:val="00042959"/>
    <w:rsid w:val="0004765F"/>
    <w:rsid w:val="00047859"/>
    <w:rsid w:val="00057B9B"/>
    <w:rsid w:val="000647A3"/>
    <w:rsid w:val="000664B1"/>
    <w:rsid w:val="000671C5"/>
    <w:rsid w:val="00071731"/>
    <w:rsid w:val="00073332"/>
    <w:rsid w:val="0007415F"/>
    <w:rsid w:val="000759C3"/>
    <w:rsid w:val="00077FCD"/>
    <w:rsid w:val="0008075A"/>
    <w:rsid w:val="00080E51"/>
    <w:rsid w:val="00085078"/>
    <w:rsid w:val="00086143"/>
    <w:rsid w:val="00087861"/>
    <w:rsid w:val="00092E8F"/>
    <w:rsid w:val="000A3891"/>
    <w:rsid w:val="000A76BD"/>
    <w:rsid w:val="000B20E7"/>
    <w:rsid w:val="000B3102"/>
    <w:rsid w:val="000C19E6"/>
    <w:rsid w:val="000C7D97"/>
    <w:rsid w:val="000D5F1F"/>
    <w:rsid w:val="000E58BB"/>
    <w:rsid w:val="000E5DD6"/>
    <w:rsid w:val="000E6361"/>
    <w:rsid w:val="000E6A05"/>
    <w:rsid w:val="000E7CD1"/>
    <w:rsid w:val="001019A0"/>
    <w:rsid w:val="00112764"/>
    <w:rsid w:val="00116CF6"/>
    <w:rsid w:val="00120BF9"/>
    <w:rsid w:val="001224E0"/>
    <w:rsid w:val="00126E08"/>
    <w:rsid w:val="00130DA5"/>
    <w:rsid w:val="001456FF"/>
    <w:rsid w:val="00155170"/>
    <w:rsid w:val="00165189"/>
    <w:rsid w:val="00165838"/>
    <w:rsid w:val="00175FFF"/>
    <w:rsid w:val="001772DA"/>
    <w:rsid w:val="001A48C9"/>
    <w:rsid w:val="001A4E5B"/>
    <w:rsid w:val="001A78A4"/>
    <w:rsid w:val="001B50C2"/>
    <w:rsid w:val="001C5903"/>
    <w:rsid w:val="001C7DF7"/>
    <w:rsid w:val="001C7E5C"/>
    <w:rsid w:val="001D0F09"/>
    <w:rsid w:val="001D6693"/>
    <w:rsid w:val="001E22EF"/>
    <w:rsid w:val="001E43D2"/>
    <w:rsid w:val="001F2D65"/>
    <w:rsid w:val="001F38C3"/>
    <w:rsid w:val="001F4AEC"/>
    <w:rsid w:val="00205926"/>
    <w:rsid w:val="00205E74"/>
    <w:rsid w:val="0021107A"/>
    <w:rsid w:val="00214DDF"/>
    <w:rsid w:val="00216109"/>
    <w:rsid w:val="00220E7B"/>
    <w:rsid w:val="00223CD3"/>
    <w:rsid w:val="00224EAF"/>
    <w:rsid w:val="002266D7"/>
    <w:rsid w:val="002353EF"/>
    <w:rsid w:val="00245023"/>
    <w:rsid w:val="00245C5C"/>
    <w:rsid w:val="00253FAD"/>
    <w:rsid w:val="00263621"/>
    <w:rsid w:val="002656A2"/>
    <w:rsid w:val="00267975"/>
    <w:rsid w:val="00275406"/>
    <w:rsid w:val="002914FC"/>
    <w:rsid w:val="002917CD"/>
    <w:rsid w:val="002B0270"/>
    <w:rsid w:val="002B112E"/>
    <w:rsid w:val="002B1CFA"/>
    <w:rsid w:val="002B7DDC"/>
    <w:rsid w:val="002C1D7F"/>
    <w:rsid w:val="002C2146"/>
    <w:rsid w:val="002C2EAA"/>
    <w:rsid w:val="002C68F5"/>
    <w:rsid w:val="002C6A52"/>
    <w:rsid w:val="002D44EE"/>
    <w:rsid w:val="002D7378"/>
    <w:rsid w:val="002E6DD6"/>
    <w:rsid w:val="002F1039"/>
    <w:rsid w:val="002F35A5"/>
    <w:rsid w:val="00307074"/>
    <w:rsid w:val="0031070F"/>
    <w:rsid w:val="00313032"/>
    <w:rsid w:val="003157F2"/>
    <w:rsid w:val="00316AAF"/>
    <w:rsid w:val="003211D0"/>
    <w:rsid w:val="003239BD"/>
    <w:rsid w:val="003253D9"/>
    <w:rsid w:val="00325903"/>
    <w:rsid w:val="003315E0"/>
    <w:rsid w:val="00333600"/>
    <w:rsid w:val="003338C3"/>
    <w:rsid w:val="00335E6A"/>
    <w:rsid w:val="0034711B"/>
    <w:rsid w:val="00347208"/>
    <w:rsid w:val="00347EF8"/>
    <w:rsid w:val="00352221"/>
    <w:rsid w:val="0035421E"/>
    <w:rsid w:val="003546B9"/>
    <w:rsid w:val="00364248"/>
    <w:rsid w:val="003675A2"/>
    <w:rsid w:val="0037176E"/>
    <w:rsid w:val="0038263C"/>
    <w:rsid w:val="003829F4"/>
    <w:rsid w:val="003857FD"/>
    <w:rsid w:val="003B0EE0"/>
    <w:rsid w:val="003B5756"/>
    <w:rsid w:val="003B5F0A"/>
    <w:rsid w:val="003C46D1"/>
    <w:rsid w:val="003C527B"/>
    <w:rsid w:val="003D3F5E"/>
    <w:rsid w:val="003E208C"/>
    <w:rsid w:val="003E4614"/>
    <w:rsid w:val="003E6090"/>
    <w:rsid w:val="003F1984"/>
    <w:rsid w:val="003F2CDC"/>
    <w:rsid w:val="00401799"/>
    <w:rsid w:val="00407551"/>
    <w:rsid w:val="0041240C"/>
    <w:rsid w:val="00430F79"/>
    <w:rsid w:val="00433C81"/>
    <w:rsid w:val="00433DEC"/>
    <w:rsid w:val="00434A9D"/>
    <w:rsid w:val="00435024"/>
    <w:rsid w:val="00436B35"/>
    <w:rsid w:val="0043789B"/>
    <w:rsid w:val="00441E8D"/>
    <w:rsid w:val="004434FE"/>
    <w:rsid w:val="00444F25"/>
    <w:rsid w:val="00452517"/>
    <w:rsid w:val="00454C19"/>
    <w:rsid w:val="0045765F"/>
    <w:rsid w:val="00463EB3"/>
    <w:rsid w:val="00465019"/>
    <w:rsid w:val="004703EB"/>
    <w:rsid w:val="00472302"/>
    <w:rsid w:val="004763D6"/>
    <w:rsid w:val="00483625"/>
    <w:rsid w:val="004852BD"/>
    <w:rsid w:val="00490192"/>
    <w:rsid w:val="004950E5"/>
    <w:rsid w:val="004A2FC9"/>
    <w:rsid w:val="004A51E6"/>
    <w:rsid w:val="004A7FC3"/>
    <w:rsid w:val="004B3A49"/>
    <w:rsid w:val="004B44FC"/>
    <w:rsid w:val="004D0E6C"/>
    <w:rsid w:val="004D35A6"/>
    <w:rsid w:val="004D3C82"/>
    <w:rsid w:val="004D7D69"/>
    <w:rsid w:val="004E00BD"/>
    <w:rsid w:val="004E2082"/>
    <w:rsid w:val="004E6398"/>
    <w:rsid w:val="004F2B5E"/>
    <w:rsid w:val="00501A9C"/>
    <w:rsid w:val="00503C25"/>
    <w:rsid w:val="0050440D"/>
    <w:rsid w:val="00527726"/>
    <w:rsid w:val="0053076A"/>
    <w:rsid w:val="0053365D"/>
    <w:rsid w:val="00535F6C"/>
    <w:rsid w:val="005364FF"/>
    <w:rsid w:val="00536D4F"/>
    <w:rsid w:val="005446FD"/>
    <w:rsid w:val="005515E9"/>
    <w:rsid w:val="005516C0"/>
    <w:rsid w:val="00551F3E"/>
    <w:rsid w:val="00555EBE"/>
    <w:rsid w:val="005570D9"/>
    <w:rsid w:val="00564FE1"/>
    <w:rsid w:val="00581503"/>
    <w:rsid w:val="00592FA0"/>
    <w:rsid w:val="00594B38"/>
    <w:rsid w:val="005B2ED3"/>
    <w:rsid w:val="005C08EE"/>
    <w:rsid w:val="005C1ADE"/>
    <w:rsid w:val="005C5126"/>
    <w:rsid w:val="005D1EBA"/>
    <w:rsid w:val="005D23B2"/>
    <w:rsid w:val="005E20B1"/>
    <w:rsid w:val="005E20C8"/>
    <w:rsid w:val="005E4770"/>
    <w:rsid w:val="005E6B8B"/>
    <w:rsid w:val="005E7F1F"/>
    <w:rsid w:val="005F726C"/>
    <w:rsid w:val="00600BE7"/>
    <w:rsid w:val="00601BB6"/>
    <w:rsid w:val="00602200"/>
    <w:rsid w:val="0061055B"/>
    <w:rsid w:val="00614F2D"/>
    <w:rsid w:val="006161EF"/>
    <w:rsid w:val="00617699"/>
    <w:rsid w:val="00622A2F"/>
    <w:rsid w:val="00622B07"/>
    <w:rsid w:val="00624B68"/>
    <w:rsid w:val="006256F3"/>
    <w:rsid w:val="00631A12"/>
    <w:rsid w:val="00636543"/>
    <w:rsid w:val="006374B2"/>
    <w:rsid w:val="006401A5"/>
    <w:rsid w:val="0064369B"/>
    <w:rsid w:val="00645FFF"/>
    <w:rsid w:val="006467C9"/>
    <w:rsid w:val="00647721"/>
    <w:rsid w:val="00651F6F"/>
    <w:rsid w:val="00656390"/>
    <w:rsid w:val="006566F4"/>
    <w:rsid w:val="006645F6"/>
    <w:rsid w:val="00680979"/>
    <w:rsid w:val="00686A65"/>
    <w:rsid w:val="006870E3"/>
    <w:rsid w:val="00687579"/>
    <w:rsid w:val="00695421"/>
    <w:rsid w:val="00697256"/>
    <w:rsid w:val="006A0860"/>
    <w:rsid w:val="006A6265"/>
    <w:rsid w:val="006B1C6C"/>
    <w:rsid w:val="006B5D22"/>
    <w:rsid w:val="006B7C86"/>
    <w:rsid w:val="006D0C91"/>
    <w:rsid w:val="006D209F"/>
    <w:rsid w:val="006D4542"/>
    <w:rsid w:val="006E25F6"/>
    <w:rsid w:val="006E7D82"/>
    <w:rsid w:val="0070519E"/>
    <w:rsid w:val="00705504"/>
    <w:rsid w:val="007162C9"/>
    <w:rsid w:val="007266A1"/>
    <w:rsid w:val="007274F3"/>
    <w:rsid w:val="0072776D"/>
    <w:rsid w:val="00731C5B"/>
    <w:rsid w:val="00737B3D"/>
    <w:rsid w:val="00741B7E"/>
    <w:rsid w:val="00753FAC"/>
    <w:rsid w:val="007657E8"/>
    <w:rsid w:val="0076634C"/>
    <w:rsid w:val="00776296"/>
    <w:rsid w:val="00776F30"/>
    <w:rsid w:val="00781263"/>
    <w:rsid w:val="0079355B"/>
    <w:rsid w:val="007A0A8D"/>
    <w:rsid w:val="007B0477"/>
    <w:rsid w:val="007B6ED9"/>
    <w:rsid w:val="007B7AF6"/>
    <w:rsid w:val="007D0C29"/>
    <w:rsid w:val="007D274B"/>
    <w:rsid w:val="007D33E5"/>
    <w:rsid w:val="0080061D"/>
    <w:rsid w:val="00801B59"/>
    <w:rsid w:val="008039A5"/>
    <w:rsid w:val="00806A80"/>
    <w:rsid w:val="00814498"/>
    <w:rsid w:val="00832127"/>
    <w:rsid w:val="008334F4"/>
    <w:rsid w:val="0083409F"/>
    <w:rsid w:val="0083455E"/>
    <w:rsid w:val="00841916"/>
    <w:rsid w:val="008454C0"/>
    <w:rsid w:val="00851F46"/>
    <w:rsid w:val="0085404B"/>
    <w:rsid w:val="008545B4"/>
    <w:rsid w:val="00856187"/>
    <w:rsid w:val="00856D75"/>
    <w:rsid w:val="00863A5E"/>
    <w:rsid w:val="00866290"/>
    <w:rsid w:val="00870AAE"/>
    <w:rsid w:val="0087166A"/>
    <w:rsid w:val="00872A83"/>
    <w:rsid w:val="00873F3E"/>
    <w:rsid w:val="00875418"/>
    <w:rsid w:val="00875D10"/>
    <w:rsid w:val="008772AF"/>
    <w:rsid w:val="0087753B"/>
    <w:rsid w:val="00884F7F"/>
    <w:rsid w:val="008932FA"/>
    <w:rsid w:val="008943B7"/>
    <w:rsid w:val="00895259"/>
    <w:rsid w:val="008B078B"/>
    <w:rsid w:val="008B0A6B"/>
    <w:rsid w:val="008B4336"/>
    <w:rsid w:val="008C7925"/>
    <w:rsid w:val="008D2CDB"/>
    <w:rsid w:val="008D70C5"/>
    <w:rsid w:val="008E1947"/>
    <w:rsid w:val="008E499D"/>
    <w:rsid w:val="008E61D7"/>
    <w:rsid w:val="008F7EB3"/>
    <w:rsid w:val="009035D1"/>
    <w:rsid w:val="00910F57"/>
    <w:rsid w:val="00912A91"/>
    <w:rsid w:val="009130CC"/>
    <w:rsid w:val="00922F78"/>
    <w:rsid w:val="009300F3"/>
    <w:rsid w:val="00930F36"/>
    <w:rsid w:val="009363E2"/>
    <w:rsid w:val="009417BA"/>
    <w:rsid w:val="0094492E"/>
    <w:rsid w:val="009465EF"/>
    <w:rsid w:val="00951710"/>
    <w:rsid w:val="009716DA"/>
    <w:rsid w:val="00974022"/>
    <w:rsid w:val="009774FD"/>
    <w:rsid w:val="00977BD4"/>
    <w:rsid w:val="00980ED3"/>
    <w:rsid w:val="00982C98"/>
    <w:rsid w:val="0098516A"/>
    <w:rsid w:val="00987C9E"/>
    <w:rsid w:val="00992819"/>
    <w:rsid w:val="00995DD4"/>
    <w:rsid w:val="009A05F7"/>
    <w:rsid w:val="009A59EF"/>
    <w:rsid w:val="009B10EF"/>
    <w:rsid w:val="009C715A"/>
    <w:rsid w:val="009E24BC"/>
    <w:rsid w:val="009E7F5B"/>
    <w:rsid w:val="009F1D81"/>
    <w:rsid w:val="009F253C"/>
    <w:rsid w:val="00A03309"/>
    <w:rsid w:val="00A135E4"/>
    <w:rsid w:val="00A155CE"/>
    <w:rsid w:val="00A15C18"/>
    <w:rsid w:val="00A1622D"/>
    <w:rsid w:val="00A17741"/>
    <w:rsid w:val="00A36EB6"/>
    <w:rsid w:val="00A37A1D"/>
    <w:rsid w:val="00A47145"/>
    <w:rsid w:val="00A51A81"/>
    <w:rsid w:val="00A626D8"/>
    <w:rsid w:val="00A62D5D"/>
    <w:rsid w:val="00A65D39"/>
    <w:rsid w:val="00A7262A"/>
    <w:rsid w:val="00A7349D"/>
    <w:rsid w:val="00A761A6"/>
    <w:rsid w:val="00A84E79"/>
    <w:rsid w:val="00AB6486"/>
    <w:rsid w:val="00AB6788"/>
    <w:rsid w:val="00AC1219"/>
    <w:rsid w:val="00AD1193"/>
    <w:rsid w:val="00AD3F56"/>
    <w:rsid w:val="00AD77DC"/>
    <w:rsid w:val="00AD7C0C"/>
    <w:rsid w:val="00AE691A"/>
    <w:rsid w:val="00AF20AB"/>
    <w:rsid w:val="00AF3AC0"/>
    <w:rsid w:val="00AF504C"/>
    <w:rsid w:val="00B07C18"/>
    <w:rsid w:val="00B07DD4"/>
    <w:rsid w:val="00B132B0"/>
    <w:rsid w:val="00B15498"/>
    <w:rsid w:val="00B20004"/>
    <w:rsid w:val="00B20664"/>
    <w:rsid w:val="00B223E4"/>
    <w:rsid w:val="00B262F3"/>
    <w:rsid w:val="00B26887"/>
    <w:rsid w:val="00B30868"/>
    <w:rsid w:val="00B41C80"/>
    <w:rsid w:val="00B479B3"/>
    <w:rsid w:val="00B57057"/>
    <w:rsid w:val="00B6226E"/>
    <w:rsid w:val="00B631CF"/>
    <w:rsid w:val="00B73B1E"/>
    <w:rsid w:val="00B8728A"/>
    <w:rsid w:val="00B87C70"/>
    <w:rsid w:val="00B944F5"/>
    <w:rsid w:val="00B973A9"/>
    <w:rsid w:val="00BA11E9"/>
    <w:rsid w:val="00BA3629"/>
    <w:rsid w:val="00BA5BC7"/>
    <w:rsid w:val="00BB09CC"/>
    <w:rsid w:val="00BB1CD4"/>
    <w:rsid w:val="00BB36BA"/>
    <w:rsid w:val="00BC4361"/>
    <w:rsid w:val="00BC7E76"/>
    <w:rsid w:val="00BD189B"/>
    <w:rsid w:val="00BD64E2"/>
    <w:rsid w:val="00BE022C"/>
    <w:rsid w:val="00BF0278"/>
    <w:rsid w:val="00BF6721"/>
    <w:rsid w:val="00BF7B79"/>
    <w:rsid w:val="00C10DFD"/>
    <w:rsid w:val="00C14C32"/>
    <w:rsid w:val="00C1598F"/>
    <w:rsid w:val="00C36FCB"/>
    <w:rsid w:val="00C52A73"/>
    <w:rsid w:val="00C557B0"/>
    <w:rsid w:val="00C6221E"/>
    <w:rsid w:val="00C7270A"/>
    <w:rsid w:val="00C73610"/>
    <w:rsid w:val="00C76EB8"/>
    <w:rsid w:val="00C81BDE"/>
    <w:rsid w:val="00C84198"/>
    <w:rsid w:val="00C9070E"/>
    <w:rsid w:val="00CA0046"/>
    <w:rsid w:val="00CA5460"/>
    <w:rsid w:val="00CB164F"/>
    <w:rsid w:val="00CB408E"/>
    <w:rsid w:val="00CC05F2"/>
    <w:rsid w:val="00CD1F2B"/>
    <w:rsid w:val="00CD419A"/>
    <w:rsid w:val="00CD6B82"/>
    <w:rsid w:val="00CD769E"/>
    <w:rsid w:val="00CF0A5A"/>
    <w:rsid w:val="00D01E7F"/>
    <w:rsid w:val="00D022F1"/>
    <w:rsid w:val="00D066CE"/>
    <w:rsid w:val="00D11E53"/>
    <w:rsid w:val="00D126ED"/>
    <w:rsid w:val="00D13F7B"/>
    <w:rsid w:val="00D1599A"/>
    <w:rsid w:val="00D2018E"/>
    <w:rsid w:val="00D2039C"/>
    <w:rsid w:val="00D249D5"/>
    <w:rsid w:val="00D25FF6"/>
    <w:rsid w:val="00D2623B"/>
    <w:rsid w:val="00D37D2B"/>
    <w:rsid w:val="00D43042"/>
    <w:rsid w:val="00D447E4"/>
    <w:rsid w:val="00D457F8"/>
    <w:rsid w:val="00D61B85"/>
    <w:rsid w:val="00D673D6"/>
    <w:rsid w:val="00D75623"/>
    <w:rsid w:val="00D77A8D"/>
    <w:rsid w:val="00D85222"/>
    <w:rsid w:val="00D86208"/>
    <w:rsid w:val="00D87420"/>
    <w:rsid w:val="00D900EB"/>
    <w:rsid w:val="00DA18B9"/>
    <w:rsid w:val="00DA5112"/>
    <w:rsid w:val="00DB244F"/>
    <w:rsid w:val="00DB599F"/>
    <w:rsid w:val="00DC6CDB"/>
    <w:rsid w:val="00DD0DA6"/>
    <w:rsid w:val="00DD3523"/>
    <w:rsid w:val="00DE0260"/>
    <w:rsid w:val="00DE43B5"/>
    <w:rsid w:val="00E000B6"/>
    <w:rsid w:val="00E01A2B"/>
    <w:rsid w:val="00E14731"/>
    <w:rsid w:val="00E174AE"/>
    <w:rsid w:val="00E22A28"/>
    <w:rsid w:val="00E2381A"/>
    <w:rsid w:val="00E26470"/>
    <w:rsid w:val="00E26AC8"/>
    <w:rsid w:val="00E27213"/>
    <w:rsid w:val="00E4160D"/>
    <w:rsid w:val="00E429EE"/>
    <w:rsid w:val="00E66E99"/>
    <w:rsid w:val="00E72432"/>
    <w:rsid w:val="00E72774"/>
    <w:rsid w:val="00E75131"/>
    <w:rsid w:val="00E75CC0"/>
    <w:rsid w:val="00E762BA"/>
    <w:rsid w:val="00E76AAB"/>
    <w:rsid w:val="00E776AB"/>
    <w:rsid w:val="00E82DEE"/>
    <w:rsid w:val="00E84D52"/>
    <w:rsid w:val="00E93E21"/>
    <w:rsid w:val="00E94CE2"/>
    <w:rsid w:val="00EA60CB"/>
    <w:rsid w:val="00EB235E"/>
    <w:rsid w:val="00EB3A86"/>
    <w:rsid w:val="00EB5610"/>
    <w:rsid w:val="00EC6646"/>
    <w:rsid w:val="00EC6860"/>
    <w:rsid w:val="00EE127F"/>
    <w:rsid w:val="00EE1F04"/>
    <w:rsid w:val="00EE5268"/>
    <w:rsid w:val="00F00D74"/>
    <w:rsid w:val="00F021B4"/>
    <w:rsid w:val="00F059A8"/>
    <w:rsid w:val="00F12F67"/>
    <w:rsid w:val="00F15F8F"/>
    <w:rsid w:val="00F22037"/>
    <w:rsid w:val="00F245E9"/>
    <w:rsid w:val="00F40026"/>
    <w:rsid w:val="00F503A5"/>
    <w:rsid w:val="00F50E3E"/>
    <w:rsid w:val="00F75A7F"/>
    <w:rsid w:val="00F82A31"/>
    <w:rsid w:val="00F87CB7"/>
    <w:rsid w:val="00F901C7"/>
    <w:rsid w:val="00F927EF"/>
    <w:rsid w:val="00FA3FDD"/>
    <w:rsid w:val="00FC43A7"/>
    <w:rsid w:val="00FD6CA5"/>
    <w:rsid w:val="00FF155A"/>
    <w:rsid w:val="00FF3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FA6F"/>
  <w15:chartTrackingRefBased/>
  <w15:docId w15:val="{14C12AFE-BF39-4BC3-9D32-EE616F97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213"/>
  </w:style>
  <w:style w:type="paragraph" w:styleId="Heading2">
    <w:name w:val="heading 2"/>
    <w:basedOn w:val="Normal"/>
    <w:next w:val="Normal"/>
    <w:link w:val="Heading2Char"/>
    <w:qFormat/>
    <w:rsid w:val="00D43042"/>
    <w:pPr>
      <w:keepNext/>
      <w:spacing w:before="360" w:after="60" w:line="360" w:lineRule="auto"/>
      <w:ind w:right="567"/>
      <w:contextualSpacing/>
      <w:outlineLvl w:val="1"/>
    </w:pPr>
    <w:rPr>
      <w:rFonts w:ascii="Times New Roman" w:eastAsia="Times New Roman" w:hAnsi="Times New Roman" w:cs="Arial"/>
      <w:b/>
      <w:bCs/>
      <w:i/>
      <w:iCs/>
      <w:sz w:val="24"/>
      <w:szCs w:val="28"/>
      <w:lang w:val="en-GB" w:eastAsia="en-GB"/>
    </w:rPr>
  </w:style>
  <w:style w:type="paragraph" w:styleId="Heading3">
    <w:name w:val="heading 3"/>
    <w:basedOn w:val="Normal"/>
    <w:next w:val="Normal"/>
    <w:link w:val="Heading3Char"/>
    <w:uiPriority w:val="9"/>
    <w:semiHidden/>
    <w:unhideWhenUsed/>
    <w:qFormat/>
    <w:rsid w:val="002B1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4304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uiPriority w:val="9"/>
    <w:semiHidden/>
    <w:rsid w:val="002B112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4765F"/>
    <w:pPr>
      <w:ind w:left="720"/>
      <w:contextualSpacing/>
    </w:pPr>
  </w:style>
  <w:style w:type="paragraph" w:styleId="Header">
    <w:name w:val="header"/>
    <w:basedOn w:val="Normal"/>
    <w:link w:val="HeaderChar"/>
    <w:uiPriority w:val="99"/>
    <w:unhideWhenUsed/>
    <w:rsid w:val="00BB3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6BA"/>
  </w:style>
  <w:style w:type="paragraph" w:styleId="Footer">
    <w:name w:val="footer"/>
    <w:basedOn w:val="Normal"/>
    <w:link w:val="FooterChar"/>
    <w:uiPriority w:val="99"/>
    <w:unhideWhenUsed/>
    <w:rsid w:val="00BB3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6BA"/>
  </w:style>
  <w:style w:type="character" w:styleId="Hyperlink">
    <w:name w:val="Hyperlink"/>
    <w:basedOn w:val="DefaultParagraphFont"/>
    <w:uiPriority w:val="99"/>
    <w:unhideWhenUsed/>
    <w:rsid w:val="006B5D22"/>
    <w:rPr>
      <w:color w:val="0000FF"/>
      <w:u w:val="single"/>
    </w:rPr>
  </w:style>
  <w:style w:type="character" w:styleId="PlaceholderText">
    <w:name w:val="Placeholder Text"/>
    <w:basedOn w:val="DefaultParagraphFont"/>
    <w:uiPriority w:val="99"/>
    <w:semiHidden/>
    <w:rsid w:val="00C14C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2021-03-07T07:52:00Z</cp:lastPrinted>
  <dcterms:created xsi:type="dcterms:W3CDTF">2021-03-05T17:57:00Z</dcterms:created>
  <dcterms:modified xsi:type="dcterms:W3CDTF">2021-03-07T14:22:00Z</dcterms:modified>
</cp:coreProperties>
</file>