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Business General Liability Policy</w:t>
      </w:r>
    </w:p>
    <w:p>
      <w:r>
        <w:t>Policy Number: SC-BIZ-LIAB-0017 | Region: Lakeside | Effective: 2024-01-01 | Expiry: 2025-01-01</w:t>
      </w:r>
    </w:p>
    <w:p>
      <w:r>
        <w:t>Synthetic training data for development/testing only; not a real insurance contract.</w:t>
      </w:r>
    </w:p>
    <w:p>
      <w:pPr>
        <w:pStyle w:val="Heading1"/>
      </w:pPr>
      <w:r>
        <w:t>1. Policy Overview</w:t>
      </w:r>
    </w:p>
    <w:p>
      <w:r>
        <w:t>The Business General Liability Policy provides coverage for third-party bodily injury and property damage arising from covered business operations. Coverage is subject to the definitions, limits, conditions, exclusions, and endorsements in this document.</w:t>
      </w:r>
    </w:p>
    <w:p>
      <w:r>
        <w:t>Policy SC-BIZ-LIAB-0017 is a synthetic policy record for region Lakeside. The policy period begins on 2024-01-01 and ends at 00:01 on 2025-01-01.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$500,000.</w:t>
      </w:r>
    </w:p>
    <w:p>
      <w:pPr>
        <w:pStyle w:val="ListBullet"/>
      </w:pPr>
      <w:r>
        <w:t>Standard deductible: $2,500.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third-party bodily injury and property damage arising from covered business operations.</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$2,500. The deductible applies once per covered occurrence unless a coverage provision states otherwise.</w:t>
      </w:r>
    </w:p>
    <w:p>
      <w:r>
        <w:t>The overall base policy limit is $500,000.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SC-BIZ-LIAB-0017, the base version represented by this document is effective from 2024-01-01 through 2025-01-01.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SC-BIZ-LIAB-0017.</w:t>
      </w:r>
    </w:p>
    <w:p>
      <w:pPr>
        <w:pStyle w:val="ListBullet"/>
      </w:pPr>
      <w:r>
        <w:t>Applicable base version start: 2024-01-01.</w:t>
      </w:r>
    </w:p>
    <w:p>
      <w:pPr>
        <w:pStyle w:val="ListBullet"/>
      </w:pPr>
      <w:r>
        <w:t>Applicable base version end: 2025-01-01.</w:t>
      </w:r>
    </w:p>
    <w:p>
      <w:pPr>
        <w:pStyle w:val="ListBullet"/>
      </w:pPr>
      <w:r>
        <w:t>Base deductible: $2,500.</w:t>
      </w:r>
    </w:p>
    <w:p>
      <w:pPr>
        <w:pStyle w:val="ListBullet"/>
      </w:pPr>
      <w:r>
        <w:t>Base policy limit: $500,000.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