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Bluefield Indemnity — Marine Cargo Policy</w:t>
      </w:r>
    </w:p>
    <w:p>
      <w:r>
        <w:t>Policy Number: SC-MARINE-CARGO-0008 | Region: Central Plains | Effective: 2024-01-01 | Expiry: 2025-01-01</w:t>
      </w:r>
    </w:p>
    <w:p>
      <w:r>
        <w:t>Synthetic training data for development/testing only; not a real insurance contract.</w:t>
      </w:r>
    </w:p>
    <w:p>
      <w:pPr>
        <w:pStyle w:val="Heading1"/>
      </w:pPr>
      <w:r>
        <w:t>1. Policy Overview</w:t>
      </w:r>
    </w:p>
    <w:p>
      <w:r>
        <w:t>The Marine Cargo Policy provides coverage for physical loss of or damage to covered cargo during transit. Coverage is subject to the definitions, limits, conditions, exclusions, and endorsements in this document.</w:t>
      </w:r>
    </w:p>
    <w:p>
      <w:r>
        <w:t>Policy SC-MARINE-CARGO-0008 is a synthetic policy record for region Central Plains. The policy period begins on 2024-01-01 and ends at 00:01 on 2025-01-01.</w:t>
      </w:r>
    </w:p>
    <w:p>
      <w:r>
        <w:t>A claim must be evaluated using the policy wording and endorsements that were effective on the date of loss. A later amendment does not automatically replace wording that governed an earlier loss date.</w:t>
      </w:r>
    </w:p>
    <w:p>
      <w:pPr>
        <w:pStyle w:val="ListBullet"/>
      </w:pPr>
      <w:r>
        <w:t>Base policy limit: $75,000.</w:t>
      </w:r>
    </w:p>
    <w:p>
      <w:pPr>
        <w:pStyle w:val="ListBullet"/>
      </w:pPr>
      <w:r>
        <w:t>Standard deductible: $1,000.</w:t>
      </w:r>
    </w:p>
    <w:p>
      <w:pPr>
        <w:pStyle w:val="ListBullet"/>
      </w:pPr>
      <w:r>
        <w:t>Coverage applies only to eligible losses occurring within the policy period unless a specific extension states otherwise.</w:t>
      </w:r>
    </w:p>
    <w:p>
      <w:pPr>
        <w:pStyle w:val="ListBullet"/>
      </w:pPr>
      <w:r>
        <w:t>All limits are subject to sublimits and exclusions stated in later sections.</w:t>
      </w:r>
    </w:p>
    <w:p>
      <w:pPr>
        <w:pStyle w:val="Heading1"/>
      </w:pPr>
      <w:r>
        <w:t>2. Definitions and Eligibility</w:t>
      </w:r>
    </w:p>
    <w:p>
      <w:r>
        <w:t>For purposes of this policy, the insured is the person or organization listed in the policy record. The date of loss is the date on which the covered event first occurs.</w:t>
      </w:r>
    </w:p>
    <w:p>
      <w:r>
        <w:t>A covered loss is an accidental, fortuitous event that falls within an insured coverage and is not removed by an applicable exclusion. A loss discovered after the event is still evaluated using the event date when that date can be established.</w:t>
      </w:r>
    </w:p>
    <w:p>
      <w:r>
        <w:t>An occurrence means a single event or series of closely related events arising from the same originating cause.</w:t>
      </w:r>
    </w:p>
    <w:p>
      <w:pPr>
        <w:pStyle w:val="ListBullet"/>
      </w:pPr>
      <w:r>
        <w:t>The insured must provide reasonable information needed to evaluate a claim.</w:t>
      </w:r>
    </w:p>
    <w:p>
      <w:pPr>
        <w:pStyle w:val="ListBullet"/>
      </w:pPr>
      <w:r>
        <w:t>Material misrepresentation, intentional concealment, or fraudulent statements may affect eligibility for payment.</w:t>
      </w:r>
    </w:p>
    <w:p>
      <w:pPr>
        <w:pStyle w:val="ListBullet"/>
      </w:pPr>
      <w:r>
        <w:t>Coverage cannot exceed the applicable policy limit or sublimit.</w:t>
      </w:r>
    </w:p>
    <w:p>
      <w:pPr>
        <w:pStyle w:val="ListBullet"/>
      </w:pPr>
      <w:r>
        <w:t>Where an endorsement conflicts with a base-policy provision, the endorsement controls only to the extent of the conflict.</w:t>
      </w:r>
    </w:p>
    <w:p>
      <w:pPr>
        <w:pStyle w:val="Heading1"/>
      </w:pPr>
      <w:r>
        <w:t>3. Covered Events</w:t>
      </w:r>
    </w:p>
    <w:p>
      <w:r>
        <w:t>Subject to the deductible and applicable limits, the policy covers qualifying direct loss or eligible expense associated with physical loss of or damage to covered cargo during transit.</w:t>
      </w:r>
    </w:p>
    <w:p>
      <w:r>
        <w:t>The cause of loss must be consistent with an insured event. Evidence may include invoices, photographs, incident reports, repair estimates, medical records where applicable, or other reliable documentation.</w:t>
      </w:r>
    </w:p>
    <w:p>
      <w:pPr>
        <w:pStyle w:val="ListBullet"/>
      </w:pPr>
      <w:r>
        <w:t>Sudden accidental loss may be covered when it falls within the selected coverage.</w:t>
      </w:r>
    </w:p>
    <w:p>
      <w:pPr>
        <w:pStyle w:val="ListBullet"/>
      </w:pPr>
      <w:r>
        <w:t>Reasonable emergency measures taken to prevent additional covered loss may be considered, subject to policy conditions.</w:t>
      </w:r>
    </w:p>
    <w:p>
      <w:pPr>
        <w:pStyle w:val="ListBullet"/>
      </w:pPr>
      <w:r>
        <w:t>Temporary expenses are covered only when the applicable coverage explicitly provides for them.</w:t>
      </w:r>
    </w:p>
    <w:p>
      <w:pPr>
        <w:pStyle w:val="ListBullet"/>
      </w:pPr>
      <w:r>
        <w:t>Wear and tear, deterioration, or maintenance issues are not converted into covered losses merely because a separate accident is later reported.</w:t>
      </w:r>
    </w:p>
    <w:p>
      <w:pPr>
        <w:pStyle w:val="Heading1"/>
      </w:pPr>
      <w:r>
        <w:t>4. Exclusions</w:t>
      </w:r>
    </w:p>
    <w:p>
      <w:r>
        <w:t>The following exclusions apply unless an endorsement expressly restores or modifies the excluded coverage.</w:t>
      </w:r>
    </w:p>
    <w:p>
      <w:pPr>
        <w:pStyle w:val="ListBullet"/>
      </w:pPr>
      <w:r>
        <w:t>Intentional loss caused or arranged by an insured.</w:t>
      </w:r>
    </w:p>
    <w:p>
      <w:pPr>
        <w:pStyle w:val="ListBullet"/>
      </w:pPr>
      <w:r>
        <w:t>Normal wear and tear, gradual deterioration, corrosion, or maintenance defects.</w:t>
      </w:r>
    </w:p>
    <w:p>
      <w:pPr>
        <w:pStyle w:val="ListBullet"/>
      </w:pPr>
      <w:r>
        <w:t>Loss arising from illegal activity by an insured when the exclusion is applicable to the claim circumstances.</w:t>
      </w:r>
    </w:p>
    <w:p>
      <w:pPr>
        <w:pStyle w:val="ListBullet"/>
      </w:pPr>
      <w:r>
        <w:t>Loss caused solely by an excluded peril or excluded expense.</w:t>
      </w:r>
    </w:p>
    <w:p>
      <w:pPr>
        <w:pStyle w:val="ListBullet"/>
      </w:pPr>
      <w:r>
        <w:t>Loss resulting from failure to take reasonable steps to prevent foreseeable additional damage, to the extent permitted by applicable law.</w:t>
      </w:r>
    </w:p>
    <w:p>
      <w:pPr>
        <w:pStyle w:val="ListBullet"/>
      </w:pPr>
      <w:r>
        <w:t>Amounts above the applicable policy limit or sublimit.</w:t>
      </w:r>
    </w:p>
    <w:p>
      <w:pPr>
        <w:pStyle w:val="ListBullet"/>
      </w:pPr>
      <w:r>
        <w:t>Fraudulent or materially false claim information.</w:t>
      </w:r>
    </w:p>
    <w:p>
      <w:pPr>
        <w:pStyle w:val="Heading1"/>
      </w:pPr>
      <w:r>
        <w:t>5. Special Limits and Deductibles</w:t>
      </w:r>
    </w:p>
    <w:p>
      <w:r>
        <w:t>The base deductible for this synthetic policy is $1,000. The deductible applies once per covered occurrence unless a coverage provision states otherwise.</w:t>
      </w:r>
    </w:p>
    <w:p>
      <w:r>
        <w:t>The overall base policy limit is $75,000. Certain categories may have lower sublimits, and a sublimit is the maximum payable for that category even if the overall limit is higher.</w:t>
      </w:r>
    </w:p>
    <w:p>
      <w:pPr>
        <w:pStyle w:val="ListBullet"/>
      </w:pPr>
      <w:r>
        <w:t>A higher deductible selected by endorsement supersedes the standard deductible.</w:t>
      </w:r>
    </w:p>
    <w:p>
      <w:pPr>
        <w:pStyle w:val="ListBullet"/>
      </w:pPr>
      <w:r>
        <w:t>Separate deductibles may apply to specifically scheduled risks when stated in an endorsement.</w:t>
      </w:r>
    </w:p>
    <w:p>
      <w:pPr>
        <w:pStyle w:val="ListBullet"/>
      </w:pPr>
      <w:r>
        <w:t>Recoverable amounts are reduced by applicable deductibles and non-covered portions.</w:t>
      </w:r>
    </w:p>
    <w:p>
      <w:pPr>
        <w:pStyle w:val="ListBullet"/>
      </w:pPr>
      <w:r>
        <w:t>Payment is limited to reasonable and necessary covered amounts supported by evidence.</w:t>
      </w:r>
    </w:p>
    <w:p>
      <w:pPr>
        <w:pStyle w:val="Heading1"/>
      </w:pPr>
      <w:r>
        <w:t>6. Claims Reporting and Investigation</w:t>
      </w:r>
    </w:p>
    <w:p>
      <w:r>
        <w:t>The insured should notify the insurer promptly after discovering a potential loss. Notice should identify the policy, date and location of loss, known circumstances, and the type of loss or expense claimed.</w:t>
      </w:r>
    </w:p>
    <w:p>
      <w:r>
        <w:t>The insurer may request supporting documents and may inspect the loss or obtain additional evidence. Cooperation is a condition of claim handling to the extent allowed by applicable law.</w:t>
      </w:r>
    </w:p>
    <w:p>
      <w:r>
        <w:t>The adjuster should record material evidence and the reasoning used to reach a recommendation. If evidence is incomplete, the claim should be marked for additional information rather than assuming missing facts.</w:t>
      </w:r>
    </w:p>
    <w:p>
      <w:pPr>
        <w:pStyle w:val="ListBullet"/>
      </w:pPr>
      <w:r>
        <w:t>Record the date of loss separately from the date the claim was reported.</w:t>
      </w:r>
    </w:p>
    <w:p>
      <w:pPr>
        <w:pStyle w:val="ListBullet"/>
      </w:pPr>
      <w:r>
        <w:t>Preserve source documents used to support a material coverage conclusion.</w:t>
      </w:r>
    </w:p>
    <w:p>
      <w:pPr>
        <w:pStyle w:val="ListBullet"/>
      </w:pPr>
      <w:r>
        <w:t>Identify the policy version selected for the loss date.</w:t>
      </w:r>
    </w:p>
    <w:p>
      <w:pPr>
        <w:pStyle w:val="ListBullet"/>
      </w:pPr>
      <w:r>
        <w:t>Record unresolved questions and route them to the appropriate human reviewer.</w:t>
      </w:r>
    </w:p>
    <w:p>
      <w:pPr>
        <w:pStyle w:val="Heading1"/>
      </w:pPr>
      <w:r>
        <w:t>7. Claim Evaluation Guidance</w:t>
      </w:r>
    </w:p>
    <w:p>
      <w:r>
        <w:t>Claim evaluation should follow a traceable sequence: identify the loss date, select the policy version applicable on that date, identify the relevant coverage, check exclusions and limits, and document the evidence supporting the recommendation.</w:t>
      </w:r>
    </w:p>
    <w:p>
      <w:r>
        <w:t>A recommendation is not a final payment decision. Finalized decisions remain under human control and must be recorded through the approval workflow.</w:t>
      </w:r>
    </w:p>
    <w:p>
      <w:pPr>
        <w:pStyle w:val="ListBullet"/>
      </w:pPr>
      <w:r>
        <w:t>Do not treat a retrieved document snippet as authoritative without checking its policy version and source metadata.</w:t>
      </w:r>
    </w:p>
    <w:p>
      <w:pPr>
        <w:pStyle w:val="ListBullet"/>
      </w:pPr>
      <w:r>
        <w:t>When two documents appear inconsistent, prefer the version whose effective period covers the loss date, subject to endorsements and supersession rules.</w:t>
      </w:r>
    </w:p>
    <w:p>
      <w:pPr>
        <w:pStyle w:val="ListBullet"/>
      </w:pPr>
      <w:r>
        <w:t>Escalate ambiguity when the available evidence cannot establish a reliable coverage conclusion.</w:t>
      </w:r>
    </w:p>
    <w:p>
      <w:pPr>
        <w:pStyle w:val="Heading1"/>
      </w:pPr>
      <w:r>
        <w:t>8. Amendments and Policy Versioning</w:t>
      </w:r>
    </w:p>
    <w:p>
      <w:r>
        <w:t>This policy may be amended by endorsements or renewal versions. Each version has an effective date. For a claim with loss date D, the applicable version is the version whose effective period covers D, subject to explicit retroactive wording.</w:t>
      </w:r>
    </w:p>
    <w:p>
      <w:r>
        <w:t>For policy SC-MARINE-CARGO-0008, the base version represented by this document is effective from 2024-01-01 through 2025-01-01.</w:t>
      </w:r>
    </w:p>
    <w:p>
      <w:pPr>
        <w:pStyle w:val="ListBullet"/>
      </w:pPr>
      <w:r>
        <w:t>Always store policy version identifiers with retrieved policy evidence.</w:t>
      </w:r>
    </w:p>
    <w:p>
      <w:pPr>
        <w:pStyle w:val="ListBullet"/>
      </w:pPr>
      <w:r>
        <w:t>Use the loss date as the primary temporal key when selecting a version.</w:t>
      </w:r>
    </w:p>
    <w:p>
      <w:pPr>
        <w:pStyle w:val="ListBullet"/>
      </w:pPr>
      <w:r>
        <w:t>If no valid version can be identified, raise a policy-version-not-found condition for human review.</w:t>
      </w:r>
    </w:p>
    <w:p>
      <w:pPr>
        <w:pStyle w:val="ListBullet"/>
      </w:pPr>
      <w:r>
        <w:t>Endorsements should reference the base policy version they modify.</w:t>
      </w:r>
    </w:p>
    <w:p>
      <w:pPr>
        <w:pStyle w:val="Heading1"/>
      </w:pPr>
      <w:r>
        <w:t>9. Records, Audit, and Data Handling</w:t>
      </w:r>
    </w:p>
    <w:p>
      <w:r>
        <w:t>Claim handling records should identify who performed a material action and when it occurred. The system should retain enough context to reproduce the reasoning path used for a recommendation.</w:t>
      </w:r>
    </w:p>
    <w:p>
      <w:r>
        <w:t>Sensitive customer information should be exposed only to users authorized for the relevant claim and policy data. Access outside this scope should be logged and reviewed periodically.</w:t>
      </w:r>
    </w:p>
    <w:p>
      <w:r>
        <w:t>Audit records for this policy line are retained for a minimum of seven years from the date of policy expiry, or longer where required by applicable regulation.</w:t>
      </w:r>
    </w:p>
    <w:p>
      <w:pPr>
        <w:pStyle w:val="ListBullet"/>
      </w:pPr>
      <w:r>
        <w:t>Record claim, policy, and policy-version identifiers in audit events where applicable.</w:t>
      </w:r>
    </w:p>
    <w:p>
      <w:pPr>
        <w:pStyle w:val="ListBullet"/>
      </w:pPr>
      <w:r>
        <w:t>Record approval decisions separately from AI-generated recommendations.</w:t>
      </w:r>
    </w:p>
    <w:p>
      <w:pPr>
        <w:pStyle w:val="ListBullet"/>
      </w:pPr>
      <w:r>
        <w:t>Do not treat model output as a substitute for an approval record.</w:t>
      </w:r>
    </w:p>
    <w:p>
      <w:pPr>
        <w:pStyle w:val="ListBullet"/>
      </w:pPr>
      <w:r>
        <w:t>Use least-privilege access for claim and policy information.</w:t>
      </w:r>
    </w:p>
    <w:p>
      <w:pPr>
        <w:pStyle w:val="Heading1"/>
      </w:pPr>
      <w:r>
        <w:t>10. Operational Reference</w:t>
      </w:r>
    </w:p>
    <w:p>
      <w:r>
        <w:t>This section provides compact reference rules for retrieval evaluation. The statements are synthetic and intentionally explicit so a retrieval system can distinguish coverage, exclusions, limits, and versioning rules.</w:t>
      </w:r>
    </w:p>
    <w:p>
      <w:pPr>
        <w:pStyle w:val="ListBullet"/>
      </w:pPr>
      <w:r>
        <w:t>Policy ID: SC-MARINE-CARGO-0008.</w:t>
      </w:r>
    </w:p>
    <w:p>
      <w:pPr>
        <w:pStyle w:val="ListBullet"/>
      </w:pPr>
      <w:r>
        <w:t>Applicable base version start: 2024-01-01.</w:t>
      </w:r>
    </w:p>
    <w:p>
      <w:pPr>
        <w:pStyle w:val="ListBullet"/>
      </w:pPr>
      <w:r>
        <w:t>Applicable base version end: 2025-01-01.</w:t>
      </w:r>
    </w:p>
    <w:p>
      <w:pPr>
        <w:pStyle w:val="ListBullet"/>
      </w:pPr>
      <w:r>
        <w:t>Base deductible: $1,000.</w:t>
      </w:r>
    </w:p>
    <w:p>
      <w:pPr>
        <w:pStyle w:val="ListBullet"/>
      </w:pPr>
      <w:r>
        <w:t>Base policy limit: $75,000.</w:t>
      </w:r>
    </w:p>
    <w:p>
      <w:pPr>
        <w:pStyle w:val="ListBullet"/>
      </w:pPr>
      <w:r>
        <w:t>Loss-date rule: use the policy version effective on the date of loss.</w:t>
      </w:r>
    </w:p>
    <w:p>
      <w:pPr>
        <w:pStyle w:val="ListBullet"/>
      </w:pPr>
      <w:r>
        <w:t>Approval rule: an AI recommendation is not a finalized claim decision.</w:t>
      </w:r>
    </w:p>
    <w:p>
      <w:pPr>
        <w:pStyle w:val="ListBullet"/>
      </w:pPr>
      <w:r>
        <w:t>Evidence rule: material recommendations should be grounded in identifiable policy or claim evidence.</w:t>
      </w:r>
    </w:p>
    <w:p>
      <w:pPr>
        <w:pStyle w:val="ListBullet"/>
      </w:pPr>
      <w:r>
        <w:t>Escalation rule: unresolved policy-version ambiguity should be sent for human review.</w:t>
      </w:r>
    </w:p>
    <w:p>
      <w:pPr>
        <w:pStyle w:val="Heading1"/>
      </w:pPr>
      <w:r>
        <w:t>11. Synthetic Evaluation Notes</w:t>
      </w:r>
    </w:p>
    <w:p>
      <w:r>
        <w:t>This document is intentionally one member of a larger synthetic corpus. Other documents may contain different limits, dates, product types, exclusions, or amendments. A retrieval system should use document metadata and policy dates rather than relying only on lexical similarity.</w:t>
      </w:r>
    </w:p>
    <w:p>
      <w:r>
        <w:t>The corpus is designed to support testing of document ingestion, chunking, embeddings, hybrid retrieval, policy-version selection, grounded answers, citations, and human approval workflows.</w:t>
      </w:r>
    </w:p>
    <w:p>
      <w:r>
        <w:t>Where two versions of the same policy type appear in the corpus, a query naming a specific loss date should retrieve the version whose effective period covers that date, not simply the most recently ingested document.</w:t>
      </w:r>
    </w:p>
    <w:p>
      <w:pPr>
        <w:pStyle w:val="Heading1"/>
      </w:pPr>
      <w:r>
        <w:t>12. Endorsement Schedule</w:t>
      </w:r>
    </w:p>
    <w:p>
      <w:r>
        <w:t>The following endorsements may apply to this policy where separately purchased and listed on the declarations page. Each endorsement modifies the base policy only to the extent stated in its own wording.</w:t>
      </w:r>
    </w:p>
    <w:p>
      <w:pPr>
        <w:pStyle w:val="ListBullet"/>
      </w:pPr>
      <w:r>
        <w:t>Endorsement A1 — Increased Limit: raises the base policy limit by up to 50 percent for an additional premium, subject to underwriting approval.</w:t>
      </w:r>
    </w:p>
    <w:p>
      <w:pPr>
        <w:pStyle w:val="ListBullet"/>
      </w:pPr>
      <w:r>
        <w:t>Endorsement A2 — Reduced Deductible: lowers the standard deductible for scheduled risks identified in the endorsement schedule.</w:t>
      </w:r>
    </w:p>
    <w:p>
      <w:pPr>
        <w:pStyle w:val="ListBullet"/>
      </w:pPr>
      <w:r>
        <w:t>Endorsement A3 — Extended Reporting Period: extends the notice window for reporting a loss beyond the standard reporting requirement.</w:t>
      </w:r>
    </w:p>
    <w:p>
      <w:pPr>
        <w:pStyle w:val="ListBullet"/>
      </w:pPr>
      <w:r>
        <w:t>Endorsement A4 — Named Peril Addition: adds a specifically named peril to covered events that would otherwise fall under a general exclusion.</w:t>
      </w:r>
    </w:p>
    <w:p>
      <w:pPr>
        <w:pStyle w:val="ListBullet"/>
      </w:pPr>
      <w:r>
        <w:t>Endorsement A5 — Waiver of Subrogation: waives the insurer's right to recover from a third party in specified circumstances.</w:t>
      </w:r>
    </w:p>
    <w:p>
      <w:pPr>
        <w:pStyle w:val="ListBullet"/>
      </w:pPr>
      <w:r>
        <w:t>Endorsement A6 — Additional Insured: extends coverage to a named additional party with an insurable interest in the covered risk.</w:t>
      </w:r>
    </w:p>
    <w:p>
      <w:pPr>
        <w:pStyle w:val="ListBullet"/>
      </w:pPr>
      <w:r>
        <w:t>Endorsement A7 — Loss of Use: adds coverage for reasonable additional expenses incurred while a covered loss is being repaired or replaced.</w:t>
      </w:r>
    </w:p>
    <w:p>
      <w:pPr>
        <w:pStyle w:val="ListBullet"/>
      </w:pPr>
      <w:r>
        <w:t>Endorsement A8 — Scheduled Property Rider: lists specific high-value items covered at an agreed value rather than the standard valuation method.</w:t>
      </w:r>
    </w:p>
    <w:p>
      <w:pPr>
        <w:pStyle w:val="Heading1"/>
      </w:pPr>
      <w:r>
        <w:t>13. Glossary of Terms</w:t>
      </w:r>
    </w:p>
    <w:p>
      <w:r>
        <w:t>Actual Cash Value — the cost to replace a covered item minus depreciation for age and condition at the time of loss.</w:t>
      </w:r>
    </w:p>
    <w:p>
      <w:r>
        <w:t>Betterment — an improvement to the condition of property beyond its pre-loss state, the cost of which is not covered under standard repair provisions.</w:t>
      </w:r>
    </w:p>
    <w:p>
      <w:r>
        <w:t>Endorsement — a document that amends, adds to, or removes from the coverage provided by the base policy.</w:t>
      </w:r>
    </w:p>
    <w:p>
      <w:r>
        <w:t>Indemnity — the principle that a covered loss is compensated to restore the insured to their pre-loss financial position, without profit.</w:t>
      </w:r>
    </w:p>
    <w:p>
      <w:r>
        <w:t>Peril — a specific cause of loss, such as fire, theft, or accidental damage, that may or may not be covered depending on the policy wording.</w:t>
      </w:r>
    </w:p>
    <w:p>
      <w:r>
        <w:t>Proximate Cause — the dominant, effective cause of a loss when more than one cause contributes to the same occurrence.</w:t>
      </w:r>
    </w:p>
    <w:p>
      <w:r>
        <w:t>Subrogation — the insurer's right, after paying a claim, to pursue recovery from a third party responsible for the loss.</w:t>
      </w:r>
    </w:p>
    <w:p>
      <w:r>
        <w:t>Sublimit — a cap on coverage for a specific category of loss that is lower than the overall policy limit.</w:t>
      </w:r>
    </w:p>
    <w:p>
      <w:r>
        <w:t>Underwriting — the process by which an insurer evaluates and prices the risk before issuing or renewing a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